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E30B8" w:rsidP="00D6016D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41.55pt;margin-top:-4.85pt;width:496.5pt;height:111.4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CF5F4C">
                    <w:rPr>
                      <w:b/>
                      <w:lang w:val="es-SV"/>
                    </w:rPr>
                    <w:t>-</w:t>
                  </w:r>
                  <w:r w:rsidR="0080235E">
                    <w:rPr>
                      <w:b/>
                      <w:lang w:val="es-SV"/>
                    </w:rPr>
                    <w:t>2</w:t>
                  </w:r>
                </w:p>
                <w:p w:rsidR="0045206E" w:rsidRDefault="00C6354F" w:rsidP="00DF08C7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CF5F4C" w:rsidRPr="00CF399E">
                    <w:rPr>
                      <w:b/>
                      <w:lang w:val="es-SV"/>
                    </w:rPr>
                    <w:t>:</w:t>
                  </w:r>
                  <w:r w:rsidR="00042B2A">
                    <w:rPr>
                      <w:b/>
                      <w:lang w:val="es-SV"/>
                    </w:rPr>
                    <w:t xml:space="preserve"> </w:t>
                  </w:r>
                  <w:r w:rsidR="00DF08C7" w:rsidRPr="00377427">
                    <w:rPr>
                      <w:b/>
                    </w:rPr>
                    <w:t>Autorización</w:t>
                  </w:r>
                  <w:r w:rsidR="00DF08C7" w:rsidRPr="00AD08E8">
                    <w:rPr>
                      <w:b/>
                      <w:lang w:val="es-SV"/>
                    </w:rPr>
                    <w:t xml:space="preserve"> de </w:t>
                  </w:r>
                  <w:r w:rsidR="00DF08C7">
                    <w:rPr>
                      <w:b/>
                      <w:lang w:val="es-SV"/>
                    </w:rPr>
                    <w:t>inicio de operaciones de nuevas entidades.</w:t>
                  </w:r>
                </w:p>
                <w:p w:rsidR="00DF08C7" w:rsidRDefault="00DF08C7" w:rsidP="00DF08C7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80235E">
                    <w:rPr>
                      <w:lang w:val="es-SV"/>
                    </w:rPr>
                    <w:t>18</w:t>
                  </w:r>
                  <w:r w:rsidR="00E93A61">
                    <w:rPr>
                      <w:lang w:val="es-SV"/>
                    </w:rPr>
                    <w:t>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2E4B96" w:rsidRPr="00C906B5" w:rsidRDefault="00C538DA" w:rsidP="00C906B5">
      <w:pPr>
        <w:tabs>
          <w:tab w:val="left" w:pos="960"/>
        </w:tabs>
        <w:jc w:val="both"/>
        <w:rPr>
          <w:b/>
          <w:bCs/>
          <w:iCs/>
          <w:sz w:val="16"/>
          <w:szCs w:val="16"/>
        </w:rPr>
      </w:pPr>
      <w:r>
        <w:rPr>
          <w:lang w:val="es-SV"/>
        </w:rPr>
        <w:tab/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D6016D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D6016D">
      <w:pPr>
        <w:spacing w:after="0" w:line="240" w:lineRule="auto"/>
        <w:jc w:val="both"/>
        <w:rPr>
          <w:iCs/>
        </w:rPr>
      </w:pPr>
    </w:p>
    <w:p w:rsidR="0080235E" w:rsidRPr="00CD70F4" w:rsidRDefault="0080235E" w:rsidP="008023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Autorizar Cooperativas de Ahorro y Crédito para la Captación de Ahorros del Público (NPNB1-01</w:t>
      </w:r>
      <w:r w:rsidRPr="00FA505F">
        <w:rPr>
          <w:szCs w:val="20"/>
          <w:lang w:val="es-SV"/>
        </w:rPr>
        <w:t>).</w:t>
      </w:r>
    </w:p>
    <w:p w:rsidR="0080235E" w:rsidRPr="00CD70F4" w:rsidRDefault="0080235E" w:rsidP="008023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Normas para Constituir y Operar Cooperativas de Ahorro y Crédito para Captar Ahorros del Público (NPNB1-02).</w:t>
      </w:r>
    </w:p>
    <w:p w:rsidR="0080235E" w:rsidRPr="00CD70F4" w:rsidRDefault="0080235E" w:rsidP="008023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u w:val="single"/>
          <w:lang w:val="es-SV"/>
        </w:rPr>
      </w:pPr>
      <w:r>
        <w:rPr>
          <w:szCs w:val="20"/>
          <w:lang w:val="es-SV"/>
        </w:rPr>
        <w:t>Reglamento para Constituir y Operar Nuevos Bancos y Financieras en El Salvador (NPB1-04).</w:t>
      </w:r>
    </w:p>
    <w:p w:rsidR="00FD03FB" w:rsidRDefault="00FD03FB" w:rsidP="00FD03FB">
      <w:pPr>
        <w:pStyle w:val="Prrafodelista"/>
        <w:spacing w:after="0" w:line="240" w:lineRule="auto"/>
        <w:jc w:val="both"/>
        <w:rPr>
          <w:szCs w:val="20"/>
          <w:lang w:val="es-SV"/>
        </w:rPr>
      </w:pPr>
    </w:p>
    <w:p w:rsidR="007F5609" w:rsidRPr="00FD03FB" w:rsidRDefault="007F5609" w:rsidP="00FD03FB">
      <w:pPr>
        <w:spacing w:after="0" w:line="240" w:lineRule="auto"/>
        <w:ind w:left="360"/>
        <w:jc w:val="both"/>
        <w:rPr>
          <w:iCs/>
        </w:rPr>
      </w:pPr>
    </w:p>
    <w:p w:rsidR="00CF5F4C" w:rsidRDefault="002E4B96" w:rsidP="00D6016D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80235E" w:rsidRDefault="0080235E" w:rsidP="00D6016D">
      <w:pPr>
        <w:spacing w:after="0" w:line="240" w:lineRule="auto"/>
        <w:jc w:val="both"/>
        <w:rPr>
          <w:b/>
          <w:bCs/>
          <w:iCs/>
          <w:u w:val="single"/>
        </w:rPr>
      </w:pPr>
    </w:p>
    <w:p w:rsidR="0080235E" w:rsidRPr="00CD70F4" w:rsidRDefault="0080235E" w:rsidP="0080235E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>
        <w:rPr>
          <w:b/>
        </w:rPr>
        <w:t>PARA AUTORIZAR EL INICIO DE OPERACIONES:</w:t>
      </w:r>
    </w:p>
    <w:p w:rsidR="0080235E" w:rsidRPr="00CD70F4" w:rsidRDefault="0080235E" w:rsidP="0080235E">
      <w:pPr>
        <w:pStyle w:val="Prrafodelista"/>
        <w:spacing w:after="0" w:line="240" w:lineRule="auto"/>
        <w:ind w:left="360"/>
      </w:pPr>
    </w:p>
    <w:p w:rsidR="0080235E" w:rsidRPr="00CD70F4" w:rsidRDefault="0080235E" w:rsidP="0080235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Carta de solicitud de autorización de inicio de operaciones y remisión  de información dirigida al Superintendente del Sistema Financiero, suscrita por  el Presidente del Banco,  dentro de un plazo de 180 días contados a partir de la fecha de comunicación del acuerdo de autorización para la constitución del Banco;</w:t>
      </w:r>
    </w:p>
    <w:p w:rsidR="0080235E" w:rsidRPr="00CD70F4" w:rsidRDefault="0080235E" w:rsidP="0080235E">
      <w:pPr>
        <w:pStyle w:val="Prrafodelista"/>
        <w:spacing w:after="0" w:line="240" w:lineRule="auto"/>
        <w:ind w:left="360"/>
        <w:jc w:val="both"/>
      </w:pPr>
    </w:p>
    <w:p w:rsidR="0080235E" w:rsidRPr="00CD70F4" w:rsidRDefault="0080235E" w:rsidP="0080235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La solicitud debe relacionar cuando fue autorizada la constitución por esta Superintendencia, así como información sobre la inscripción de la escritura de constitución de la sociedad en el Registro de Comercio;</w:t>
      </w:r>
    </w:p>
    <w:p w:rsidR="0080235E" w:rsidRPr="00CD70F4" w:rsidRDefault="0080235E" w:rsidP="0080235E">
      <w:pPr>
        <w:pStyle w:val="Prrafodelista"/>
        <w:spacing w:after="0" w:line="240" w:lineRule="auto"/>
        <w:ind w:left="360"/>
      </w:pPr>
    </w:p>
    <w:p w:rsidR="0080235E" w:rsidRPr="00CD70F4" w:rsidRDefault="0080235E" w:rsidP="0080235E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Adjuntar la información siguiente: </w:t>
      </w:r>
    </w:p>
    <w:p w:rsidR="0080235E" w:rsidRPr="00CD70F4" w:rsidRDefault="0080235E" w:rsidP="0080235E">
      <w:pPr>
        <w:pStyle w:val="Prrafodelista"/>
        <w:spacing w:after="0" w:line="240" w:lineRule="auto"/>
        <w:ind w:left="792"/>
        <w:jc w:val="both"/>
      </w:pPr>
    </w:p>
    <w:p w:rsidR="0080235E" w:rsidRPr="00CD70F4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>
        <w:t>Las políticas, procedimientos operativos y manuales de funciones y de puestos,  debidamente autorizados, relacionados con:</w:t>
      </w:r>
    </w:p>
    <w:p w:rsidR="0080235E" w:rsidRPr="00CD70F4" w:rsidRDefault="0080235E" w:rsidP="0080235E">
      <w:pPr>
        <w:pStyle w:val="Prrafodelista"/>
        <w:spacing w:after="0" w:line="240" w:lineRule="auto"/>
        <w:jc w:val="both"/>
      </w:pPr>
    </w:p>
    <w:p w:rsidR="0080235E" w:rsidRPr="00CD70F4" w:rsidRDefault="0080235E" w:rsidP="0080235E">
      <w:pPr>
        <w:pStyle w:val="Prrafodelista"/>
        <w:numPr>
          <w:ilvl w:val="0"/>
          <w:numId w:val="8"/>
        </w:numPr>
        <w:spacing w:after="0" w:line="240" w:lineRule="auto"/>
        <w:ind w:left="1211"/>
        <w:jc w:val="both"/>
      </w:pPr>
      <w:r>
        <w:t>Gestión integral de riesgos que incluya gobierno corporativo (incluye manuales de gestión);</w:t>
      </w:r>
    </w:p>
    <w:p w:rsidR="0080235E" w:rsidRPr="00CD70F4" w:rsidRDefault="0080235E" w:rsidP="0080235E">
      <w:pPr>
        <w:pStyle w:val="Prrafodelista"/>
        <w:spacing w:after="0" w:line="240" w:lineRule="auto"/>
        <w:ind w:left="1211" w:hanging="360"/>
        <w:jc w:val="both"/>
      </w:pPr>
    </w:p>
    <w:p w:rsidR="0080235E" w:rsidRPr="00CD70F4" w:rsidRDefault="0080235E" w:rsidP="0080235E">
      <w:pPr>
        <w:pStyle w:val="Prrafodelista"/>
        <w:numPr>
          <w:ilvl w:val="0"/>
          <w:numId w:val="8"/>
        </w:numPr>
        <w:spacing w:after="0" w:line="240" w:lineRule="auto"/>
        <w:ind w:left="1211"/>
      </w:pPr>
      <w:r>
        <w:t xml:space="preserve">Prevención de Lavado de Dinero y Financiamiento al Terrorismo que incluya el Sistema de Monitoreo y alertas </w:t>
      </w:r>
      <w:proofErr w:type="spellStart"/>
      <w:r>
        <w:t>parametrizadas</w:t>
      </w:r>
      <w:proofErr w:type="spellEnd"/>
      <w:r>
        <w:t>;</w:t>
      </w:r>
    </w:p>
    <w:p w:rsidR="0080235E" w:rsidRPr="00CD70F4" w:rsidRDefault="0080235E" w:rsidP="0080235E">
      <w:pPr>
        <w:pStyle w:val="Prrafodelista"/>
        <w:spacing w:after="0" w:line="240" w:lineRule="auto"/>
      </w:pPr>
    </w:p>
    <w:p w:rsidR="0080235E" w:rsidRPr="00CD70F4" w:rsidRDefault="0080235E" w:rsidP="0080235E">
      <w:pPr>
        <w:pStyle w:val="Prrafodelista"/>
        <w:numPr>
          <w:ilvl w:val="0"/>
          <w:numId w:val="8"/>
        </w:numPr>
        <w:spacing w:after="0" w:line="240" w:lineRule="auto"/>
        <w:ind w:left="1211"/>
      </w:pPr>
      <w:r>
        <w:t>Área de negocios;</w:t>
      </w:r>
    </w:p>
    <w:p w:rsidR="0080235E" w:rsidRDefault="0080235E" w:rsidP="0080235E">
      <w:pPr>
        <w:pStyle w:val="Prrafodelista"/>
        <w:numPr>
          <w:ilvl w:val="0"/>
          <w:numId w:val="8"/>
        </w:numPr>
        <w:spacing w:after="0" w:line="240" w:lineRule="auto"/>
        <w:ind w:left="1211"/>
      </w:pPr>
      <w:r w:rsidRPr="00D0443F">
        <w:t>Auditoría interna;</w:t>
      </w:r>
      <w:r>
        <w:t xml:space="preserve"> y</w:t>
      </w:r>
    </w:p>
    <w:p w:rsidR="0080235E" w:rsidRPr="00D0443F" w:rsidRDefault="0080235E" w:rsidP="0080235E">
      <w:pPr>
        <w:pStyle w:val="Prrafodelista"/>
        <w:spacing w:after="0" w:line="240" w:lineRule="auto"/>
        <w:ind w:left="1211"/>
      </w:pPr>
    </w:p>
    <w:p w:rsidR="0080235E" w:rsidRDefault="0080235E" w:rsidP="0080235E">
      <w:pPr>
        <w:pStyle w:val="Prrafodelista"/>
        <w:numPr>
          <w:ilvl w:val="0"/>
          <w:numId w:val="8"/>
        </w:numPr>
        <w:spacing w:after="0" w:line="240" w:lineRule="auto"/>
        <w:ind w:left="1211"/>
      </w:pPr>
      <w:r w:rsidRPr="00D0443F">
        <w:t>Tecnología de información</w:t>
      </w:r>
      <w:r>
        <w:t>.</w:t>
      </w:r>
    </w:p>
    <w:p w:rsidR="0080235E" w:rsidRDefault="0080235E" w:rsidP="0080235E">
      <w:pPr>
        <w:pStyle w:val="Prrafodelista"/>
        <w:spacing w:after="0" w:line="240" w:lineRule="auto"/>
        <w:ind w:left="1211"/>
      </w:pPr>
    </w:p>
    <w:p w:rsidR="0080235E" w:rsidRPr="00685A98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685A98">
        <w:lastRenderedPageBreak/>
        <w:t>En los manuales de funciones y procedimientos operativos, es obligatorio incluir los ciclos de depósitos, préstamos, cobranzas, compra venta de moneda extranjera, inversiones</w:t>
      </w:r>
      <w:r>
        <w:t>, avales y fianzas y cartas de crédito (cuando aplique);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DD6061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Organigrama de la sociedad</w:t>
      </w:r>
      <w:r>
        <w:t>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DD6061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Nombramiento del Oficial de Cumplimien</w:t>
      </w:r>
      <w:r>
        <w:t>to aprobado por junta Directiva;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DD6061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Programa de cap</w:t>
      </w:r>
      <w:r>
        <w:t>acitaciones en materia de LA/FT;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DD6061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Responsables de la Unidad de Riesgos y de Auditoría Interna, incorporados previ</w:t>
      </w:r>
      <w:r>
        <w:t>amente al inicio de operaciones;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3B1E66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 xml:space="preserve">Detalle de productos y servicios ofrecidos al público, adjuntando los modelos de contratos relacionados para su depósito, que deberán remitirse en forma física y </w:t>
      </w:r>
      <w:r w:rsidRPr="003B1E66">
        <w:t>electrónica, solic</w:t>
      </w:r>
      <w:r>
        <w:t>itando expresamente su depósito;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3B1E66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3B1E66">
        <w:t xml:space="preserve">La descripción del mobiliario y equipo a utilizar; 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3B1E66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3B1E66">
        <w:t>La descripción de los sistemas de vigilancia y de los seguros a contratar;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Pr="003B1E66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3B1E66">
        <w:t>Normas de</w:t>
      </w:r>
      <w:r w:rsidRPr="00DD6061">
        <w:t xml:space="preserve"> regulación de depósitos a la vista, depósitos a plazo y depósitos en cuentas </w:t>
      </w:r>
      <w:r w:rsidRPr="003B1E66">
        <w:t>de ahorro, en cuanto a características, modalidades y condiciones en que podrán const</w:t>
      </w:r>
      <w:r>
        <w:t>ituirse, aprobadas por el BCR;</w:t>
      </w:r>
    </w:p>
    <w:p w:rsidR="0080235E" w:rsidRDefault="0080235E" w:rsidP="0080235E">
      <w:pPr>
        <w:pStyle w:val="Prrafodelista"/>
        <w:spacing w:after="0" w:line="240" w:lineRule="auto"/>
        <w:ind w:left="851"/>
        <w:jc w:val="both"/>
      </w:pPr>
    </w:p>
    <w:p w:rsidR="0080235E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3B1E66">
        <w:t>Debe dar cumplimiento a las medidas de seguridad de las agencias según lo establecido en las Normas para la Apertura, Cierre y Funcionam</w:t>
      </w:r>
      <w:r>
        <w:t>iento de las Agencias (NPB1-14);</w:t>
      </w:r>
    </w:p>
    <w:p w:rsidR="0080235E" w:rsidRDefault="0080235E" w:rsidP="0080235E">
      <w:pPr>
        <w:pStyle w:val="Prrafodelista"/>
      </w:pPr>
    </w:p>
    <w:p w:rsidR="0080235E" w:rsidRPr="003B1E66" w:rsidRDefault="002E30B8" w:rsidP="0080235E">
      <w:pPr>
        <w:pStyle w:val="Prrafodelista"/>
        <w:spacing w:after="0" w:line="240" w:lineRule="auto"/>
        <w:ind w:left="851"/>
        <w:jc w:val="center"/>
      </w:pPr>
      <w:hyperlink r:id="rId8" w:history="1">
        <w:bookmarkStart w:id="0" w:name="_MON_1590577345"/>
        <w:bookmarkEnd w:id="0"/>
        <w:r w:rsidR="0080235E">
          <w:object w:dxaOrig="1551" w:dyaOrig="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45pt;height:50.25pt" o:ole="">
              <v:imagedata r:id="rId9" o:title=""/>
            </v:shape>
            <o:OLEObject Type="Embed" ProgID="Word.Document.12" ShapeID="_x0000_i1025" DrawAspect="Icon" ObjectID="_1592046636" r:id="rId10">
              <o:FieldCodes>\s</o:FieldCodes>
            </o:OLEObject>
          </w:object>
        </w:r>
      </w:hyperlink>
    </w:p>
    <w:p w:rsidR="0080235E" w:rsidRDefault="0080235E" w:rsidP="00D6016D">
      <w:pPr>
        <w:spacing w:after="0" w:line="240" w:lineRule="auto"/>
        <w:jc w:val="both"/>
        <w:rPr>
          <w:b/>
          <w:bCs/>
          <w:iCs/>
          <w:u w:val="single"/>
        </w:rPr>
      </w:pPr>
    </w:p>
    <w:p w:rsidR="0080235E" w:rsidRDefault="0080235E" w:rsidP="0080235E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El Sistema Contable debe ser autorizado previamente, para lo cual deberán remitir la información siguiente: (en caso de una SAC se autoriza dentro del p</w:t>
      </w:r>
      <w:r>
        <w:t>roceso de inicio de operaciones</w:t>
      </w:r>
      <w:r w:rsidRPr="00DD6061">
        <w:t>)</w:t>
      </w:r>
    </w:p>
    <w:p w:rsidR="0080235E" w:rsidRPr="00DD6061" w:rsidRDefault="0080235E" w:rsidP="0080235E">
      <w:pPr>
        <w:pStyle w:val="Prrafodelista"/>
        <w:spacing w:after="0" w:line="240" w:lineRule="auto"/>
        <w:ind w:left="993"/>
        <w:jc w:val="both"/>
      </w:pPr>
    </w:p>
    <w:p w:rsidR="0080235E" w:rsidRPr="00DD6061" w:rsidRDefault="0080235E" w:rsidP="0080235E">
      <w:pPr>
        <w:pStyle w:val="Prrafodelista"/>
        <w:numPr>
          <w:ilvl w:val="0"/>
          <w:numId w:val="10"/>
        </w:numPr>
        <w:spacing w:after="0" w:line="240" w:lineRule="auto"/>
      </w:pPr>
      <w:r w:rsidRPr="00DD6061">
        <w:t>Datos generales:</w:t>
      </w:r>
    </w:p>
    <w:p w:rsidR="0080235E" w:rsidRPr="00DD6061" w:rsidRDefault="0080235E" w:rsidP="0080235E">
      <w:pPr>
        <w:pStyle w:val="Prrafodelista"/>
        <w:numPr>
          <w:ilvl w:val="0"/>
          <w:numId w:val="11"/>
        </w:numPr>
        <w:spacing w:after="0" w:line="240" w:lineRule="auto"/>
      </w:pPr>
      <w:r w:rsidRPr="00DD6061">
        <w:t xml:space="preserve">Número de Identificación Tributaria (NIT); </w:t>
      </w:r>
    </w:p>
    <w:p w:rsidR="0080235E" w:rsidRPr="00DD6061" w:rsidRDefault="0080235E" w:rsidP="0080235E">
      <w:pPr>
        <w:pStyle w:val="Prrafodelista"/>
        <w:numPr>
          <w:ilvl w:val="0"/>
          <w:numId w:val="11"/>
        </w:numPr>
        <w:spacing w:after="0" w:line="240" w:lineRule="auto"/>
      </w:pPr>
      <w:r w:rsidRPr="00DD6061">
        <w:t xml:space="preserve">Dirección exacta de la oficina donde se llevará la contabilidad; </w:t>
      </w:r>
    </w:p>
    <w:p w:rsidR="0080235E" w:rsidRPr="00DD6061" w:rsidRDefault="0080235E" w:rsidP="0080235E">
      <w:pPr>
        <w:pStyle w:val="Prrafodelista"/>
        <w:numPr>
          <w:ilvl w:val="0"/>
          <w:numId w:val="11"/>
        </w:numPr>
        <w:spacing w:after="0" w:line="240" w:lineRule="auto"/>
      </w:pPr>
      <w:r w:rsidRPr="00DD6061">
        <w:t xml:space="preserve">Número de teléfono y nombre del Contador con título reconocido; </w:t>
      </w:r>
      <w:r>
        <w:t>y</w:t>
      </w:r>
    </w:p>
    <w:p w:rsidR="0080235E" w:rsidRPr="00DD6061" w:rsidRDefault="0080235E" w:rsidP="0080235E">
      <w:pPr>
        <w:pStyle w:val="Prrafodelista"/>
        <w:numPr>
          <w:ilvl w:val="0"/>
          <w:numId w:val="11"/>
        </w:numPr>
        <w:spacing w:after="0" w:line="240" w:lineRule="auto"/>
      </w:pPr>
      <w:r w:rsidRPr="00DD6061">
        <w:t>Dirección de la empresa.</w:t>
      </w:r>
    </w:p>
    <w:p w:rsidR="0080235E" w:rsidRDefault="0080235E" w:rsidP="0080235E">
      <w:pPr>
        <w:pStyle w:val="Prrafodelista"/>
        <w:spacing w:after="0" w:line="240" w:lineRule="auto"/>
        <w:ind w:left="1353"/>
      </w:pPr>
    </w:p>
    <w:p w:rsidR="0080235E" w:rsidRPr="00DD6061" w:rsidRDefault="0080235E" w:rsidP="0080235E">
      <w:pPr>
        <w:pStyle w:val="Prrafodelista"/>
        <w:numPr>
          <w:ilvl w:val="0"/>
          <w:numId w:val="10"/>
        </w:numPr>
        <w:spacing w:after="0" w:line="240" w:lineRule="auto"/>
      </w:pPr>
      <w:r w:rsidRPr="00DD6061">
        <w:t xml:space="preserve">Datos del Registro Contable: </w:t>
      </w:r>
    </w:p>
    <w:p w:rsidR="0080235E" w:rsidRPr="00DD6061" w:rsidRDefault="0080235E" w:rsidP="0080235E">
      <w:pPr>
        <w:pStyle w:val="Prrafodelista"/>
        <w:numPr>
          <w:ilvl w:val="0"/>
          <w:numId w:val="12"/>
        </w:numPr>
        <w:spacing w:after="0" w:line="240" w:lineRule="auto"/>
        <w:ind w:left="1560" w:hanging="342"/>
      </w:pPr>
      <w:r w:rsidRPr="00DD6061">
        <w:t xml:space="preserve">Lista de Libros Principales y Auxiliares, adjuntando una muestra de una página de cada uno de ellos; </w:t>
      </w:r>
      <w:r>
        <w:t>y</w:t>
      </w:r>
    </w:p>
    <w:p w:rsidR="0080235E" w:rsidRDefault="0080235E" w:rsidP="0080235E">
      <w:pPr>
        <w:pStyle w:val="Prrafodelista"/>
        <w:numPr>
          <w:ilvl w:val="0"/>
          <w:numId w:val="12"/>
        </w:numPr>
        <w:spacing w:after="0" w:line="240" w:lineRule="auto"/>
        <w:ind w:left="1560" w:hanging="342"/>
      </w:pPr>
      <w:r w:rsidRPr="00DD6061">
        <w:t>Descripción de la forma en que se registrarán las transacciones en cada uno de esos libros.</w:t>
      </w:r>
    </w:p>
    <w:p w:rsidR="00F71C59" w:rsidRPr="00DD6061" w:rsidRDefault="00F71C59" w:rsidP="00F71C59">
      <w:pPr>
        <w:pStyle w:val="Prrafodelista"/>
        <w:spacing w:after="0" w:line="240" w:lineRule="auto"/>
        <w:ind w:left="1560"/>
      </w:pPr>
    </w:p>
    <w:p w:rsidR="00F71C59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 xml:space="preserve">Comprobantes fundamentales, Ingresos, Egresos, Diario y demás necesarios: </w:t>
      </w:r>
    </w:p>
    <w:p w:rsidR="00F71C59" w:rsidRPr="00DD6061" w:rsidRDefault="00F71C59" w:rsidP="00F71C59">
      <w:pPr>
        <w:pStyle w:val="Prrafodelista"/>
        <w:spacing w:after="0" w:line="240" w:lineRule="auto"/>
        <w:ind w:left="85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3"/>
        </w:numPr>
        <w:spacing w:after="0" w:line="240" w:lineRule="auto"/>
      </w:pPr>
      <w:r w:rsidRPr="00DD6061">
        <w:t>Muestra de formularios contables (Ingresos, Egresos, Diario, etc.);</w:t>
      </w:r>
    </w:p>
    <w:p w:rsidR="00F71C59" w:rsidRDefault="00F71C59" w:rsidP="00F71C59">
      <w:pPr>
        <w:pStyle w:val="Prrafodelista"/>
        <w:spacing w:after="0" w:line="240" w:lineRule="auto"/>
        <w:ind w:left="1211"/>
      </w:pPr>
    </w:p>
    <w:p w:rsidR="00F71C59" w:rsidRPr="00DD6061" w:rsidRDefault="00F71C59" w:rsidP="00F71C59">
      <w:pPr>
        <w:pStyle w:val="Prrafodelista"/>
        <w:numPr>
          <w:ilvl w:val="0"/>
          <w:numId w:val="13"/>
        </w:numPr>
        <w:spacing w:after="0" w:line="240" w:lineRule="auto"/>
      </w:pPr>
      <w:r w:rsidRPr="00DD6061">
        <w:t>Detalle de los documentos justificativos de cada comprobante;</w:t>
      </w:r>
    </w:p>
    <w:p w:rsidR="00F71C59" w:rsidRDefault="00F71C59" w:rsidP="00F71C59">
      <w:pPr>
        <w:pStyle w:val="Prrafodelista"/>
        <w:spacing w:after="0" w:line="240" w:lineRule="auto"/>
        <w:ind w:left="1211"/>
      </w:pPr>
    </w:p>
    <w:p w:rsidR="00F71C59" w:rsidRPr="00DD6061" w:rsidRDefault="00F71C59" w:rsidP="00F71C59">
      <w:pPr>
        <w:pStyle w:val="Prrafodelista"/>
        <w:numPr>
          <w:ilvl w:val="0"/>
          <w:numId w:val="13"/>
        </w:numPr>
        <w:spacing w:after="0" w:line="240" w:lineRule="auto"/>
      </w:pPr>
      <w:r w:rsidRPr="00DD6061">
        <w:t>Indicación de quién será el funcionario encargado de autorizar los comprobantes de Ingresos, Egresos y Diario, para su respectivo asiento en los registros;</w:t>
      </w:r>
    </w:p>
    <w:p w:rsidR="00F71C59" w:rsidRDefault="00F71C59" w:rsidP="00F71C59">
      <w:pPr>
        <w:pStyle w:val="Prrafodelista"/>
        <w:spacing w:after="0" w:line="240" w:lineRule="auto"/>
        <w:ind w:left="1211"/>
      </w:pPr>
    </w:p>
    <w:p w:rsidR="00F71C59" w:rsidRPr="00DD6061" w:rsidRDefault="00F71C59" w:rsidP="00F71C59">
      <w:pPr>
        <w:pStyle w:val="Prrafodelista"/>
        <w:numPr>
          <w:ilvl w:val="0"/>
          <w:numId w:val="13"/>
        </w:numPr>
        <w:spacing w:after="0" w:line="240" w:lineRule="auto"/>
      </w:pPr>
      <w:r w:rsidRPr="00DD6061">
        <w:t>Indicación de si se harán comprobantes por cada operación o grupo de operaciones y en que período.</w:t>
      </w:r>
    </w:p>
    <w:p w:rsidR="00F71C59" w:rsidRDefault="00F71C59" w:rsidP="00F71C59">
      <w:pPr>
        <w:pStyle w:val="Prrafodelista"/>
        <w:spacing w:after="0" w:line="240" w:lineRule="auto"/>
        <w:ind w:left="851"/>
        <w:jc w:val="both"/>
      </w:pPr>
    </w:p>
    <w:p w:rsidR="00F71C59" w:rsidRPr="00DD6061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Modelos de estados financieros básicos a utilizar según el período de presentación (diarios, semanales, men</w:t>
      </w:r>
      <w:r>
        <w:t>suales, trimestrales y anuales);</w:t>
      </w:r>
    </w:p>
    <w:p w:rsidR="00F71C59" w:rsidRDefault="00F71C59" w:rsidP="00F71C59">
      <w:pPr>
        <w:pStyle w:val="Prrafodelista"/>
        <w:spacing w:after="0" w:line="240" w:lineRule="auto"/>
        <w:ind w:left="851"/>
        <w:jc w:val="both"/>
      </w:pPr>
    </w:p>
    <w:p w:rsidR="00F71C59" w:rsidRPr="00DD6061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D6061">
        <w:t>Mat</w:t>
      </w:r>
      <w:r>
        <w:t>riz de cumplimiento regulatorio;</w:t>
      </w:r>
    </w:p>
    <w:p w:rsidR="00F71C59" w:rsidRDefault="00F71C59" w:rsidP="00F71C59">
      <w:pPr>
        <w:spacing w:after="0" w:line="240" w:lineRule="auto"/>
        <w:jc w:val="both"/>
      </w:pPr>
    </w:p>
    <w:p w:rsidR="00F71C59" w:rsidRPr="00CD70F4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FA505F">
        <w:t xml:space="preserve">Requerimientos Informáticos: </w:t>
      </w: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Descripción general del sistema y de los principales procesos;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Diseño Relacional de los Archivos (E-R);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Descripción y Diseño detallado de los archivos y campos (Diccionario de datos);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Manuales de Usuario para los sistemas, ejemplos: Número único de identificación de cliente, Contabilidad, Caja, Préstamos, Ahorros y Depósitos a plazo fijo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Copia de los programas fuentes en disco compacto (CD);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Listado del tipo de usuarios que tendrán acceso, especificando el nivel jerárquico del usuario y el tipo de acceso que tendrán a cada una de las opciones del sistema; incluyendo la frecuencia con que se genera y número de copias cómo se distribuye. Si los sistemas están den desarrollo, describir el procedimiento para probar y aprobar los programas y las responsabilidades de estas actividades.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Detalle de los reportes que genera el sistema, especificando por cada uno la frecuencia con que se genera, el número de copias y como se distribuyen;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Procedimiento para probar y aprobar los programas así como las responsabilidades de estas actividades;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Inventario y características del equipo informático;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 xml:space="preserve">Características detalladas de las herramientas de desarrollo; 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DD6061">
        <w:t>Copia del contrato de garantía o mantenimiento del equipo central y periféricos;</w:t>
      </w:r>
    </w:p>
    <w:p w:rsidR="00F71C59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D6061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DD6061">
        <w:t>Copia del contrato de garantía o mantenimiento de los programas, si éstos han sido contratados a consultores;</w:t>
      </w: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CD70F4">
        <w:t>Procedimientos para realizar Back-up;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lastRenderedPageBreak/>
        <w:t>Documentación en concordancia a la NPB4-50:</w:t>
      </w:r>
    </w:p>
    <w:p w:rsidR="00F71C59" w:rsidRPr="00CD70F4" w:rsidRDefault="00F71C59" w:rsidP="00F71C59">
      <w:pPr>
        <w:pStyle w:val="Prrafodelista"/>
        <w:numPr>
          <w:ilvl w:val="0"/>
          <w:numId w:val="17"/>
        </w:numPr>
        <w:spacing w:after="0" w:line="240" w:lineRule="auto"/>
        <w:jc w:val="both"/>
      </w:pPr>
      <w:r w:rsidRPr="00FA505F">
        <w:t xml:space="preserve">Análisis de Impacto en el Negocio (BIA); </w:t>
      </w:r>
    </w:p>
    <w:p w:rsidR="00F71C59" w:rsidRPr="00CD70F4" w:rsidRDefault="00F71C59" w:rsidP="00F71C59">
      <w:pPr>
        <w:pStyle w:val="Prrafodelista"/>
        <w:numPr>
          <w:ilvl w:val="0"/>
          <w:numId w:val="17"/>
        </w:numPr>
        <w:spacing w:after="0" w:line="240" w:lineRule="auto"/>
        <w:jc w:val="both"/>
      </w:pPr>
      <w:r w:rsidRPr="00FA505F">
        <w:t xml:space="preserve">Plan de continuidad del negocio con sus respectivos planes de contingencia; </w:t>
      </w:r>
    </w:p>
    <w:p w:rsidR="00F71C59" w:rsidRPr="00CD70F4" w:rsidRDefault="00F71C59" w:rsidP="00F71C59">
      <w:pPr>
        <w:pStyle w:val="Prrafodelista"/>
        <w:numPr>
          <w:ilvl w:val="0"/>
          <w:numId w:val="17"/>
        </w:numPr>
        <w:spacing w:after="0" w:line="240" w:lineRule="auto"/>
        <w:jc w:val="both"/>
      </w:pPr>
      <w:r w:rsidRPr="00FA505F">
        <w:t xml:space="preserve">Plan de Recuperación de Desastres; </w:t>
      </w:r>
    </w:p>
    <w:p w:rsidR="00F71C59" w:rsidRPr="00CD70F4" w:rsidRDefault="00F71C59" w:rsidP="00F71C59">
      <w:pPr>
        <w:pStyle w:val="Prrafodelista"/>
        <w:numPr>
          <w:ilvl w:val="0"/>
          <w:numId w:val="17"/>
        </w:numPr>
        <w:spacing w:after="0" w:line="240" w:lineRule="auto"/>
        <w:jc w:val="both"/>
      </w:pPr>
      <w:r w:rsidRPr="00FA505F">
        <w:t xml:space="preserve">Plan de Gestión de Incidentes. 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Procedimientos autorizados para el manejo de claves de acceso; 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Normas autorizadas para el mantenimiento de los sistemas;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Normas de higiene para el equipo de cómputo y sus periféricos;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Diagrama de Red, sobre la interrelación y comunicación de datos del sistema central, sus sistemas periféricos (Agencias) y las conexiones externas.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Inventario de licencias de software a utilizar;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Evidencia de que cuentan con un sistema electrónico de comunicación para el envío y recibo de información con la Superintendencia;  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Organigrama</w:t>
      </w:r>
      <w:r w:rsidRPr="00CD70F4">
        <w:t xml:space="preserve">  </w:t>
      </w:r>
      <w:r>
        <w:t>del departamento de cómputo y contabilidad; y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Procedimiento para el registro de pistas de auditoría o bitácoras en el aplicativo informático, que incluya el nombre de archivo o tabla y la descripción de los campos.</w:t>
      </w:r>
    </w:p>
    <w:p w:rsidR="00F71C59" w:rsidRPr="00CD70F4" w:rsidRDefault="00F71C59" w:rsidP="00F71C59">
      <w:pPr>
        <w:pStyle w:val="Prrafodelista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Política de Seguridad Informática.</w:t>
      </w:r>
    </w:p>
    <w:p w:rsidR="00F71C59" w:rsidRPr="00CD70F4" w:rsidRDefault="00F71C59" w:rsidP="00F71C59">
      <w:pPr>
        <w:pStyle w:val="Prrafodelista"/>
      </w:pPr>
    </w:p>
    <w:p w:rsidR="00F71C59" w:rsidRPr="00CD70F4" w:rsidRDefault="00F71C59" w:rsidP="00F71C59">
      <w:pPr>
        <w:pStyle w:val="Prrafodelista"/>
        <w:numPr>
          <w:ilvl w:val="0"/>
          <w:numId w:val="14"/>
        </w:numPr>
        <w:spacing w:after="0" w:line="240" w:lineRule="auto"/>
        <w:jc w:val="both"/>
      </w:pPr>
      <w:r w:rsidRPr="00FA505F">
        <w:t>Contar con un ambiente de pruebas debidamente configurado.</w:t>
      </w:r>
    </w:p>
    <w:p w:rsidR="00F71C59" w:rsidRPr="00CD70F4" w:rsidRDefault="00F71C59" w:rsidP="00F71C59">
      <w:pPr>
        <w:spacing w:after="0" w:line="240" w:lineRule="auto"/>
        <w:jc w:val="center"/>
        <w:rPr>
          <w:strike/>
        </w:rPr>
      </w:pPr>
    </w:p>
    <w:p w:rsidR="00F71C59" w:rsidRPr="00CD70F4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>
        <w:t>Documentar que el área de Tecnología ha completado al 100% las pruebas de los distintos sistemas incluidos en el inicio de operaciones, en ambiente de producción.</w:t>
      </w:r>
    </w:p>
    <w:p w:rsidR="00F71C59" w:rsidRPr="00CD70F4" w:rsidRDefault="00F71C59" w:rsidP="00F71C59">
      <w:pPr>
        <w:spacing w:after="0" w:line="240" w:lineRule="auto"/>
        <w:jc w:val="both"/>
      </w:pPr>
    </w:p>
    <w:p w:rsidR="00F71C59" w:rsidRPr="00CD70F4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>
        <w:t>Presentar Informes de auditoría Interna sobre las pruebas realizadas a los sistemas, considerando:</w:t>
      </w:r>
    </w:p>
    <w:p w:rsidR="00F71C59" w:rsidRPr="00CD70F4" w:rsidRDefault="00F71C59" w:rsidP="00F71C59">
      <w:pPr>
        <w:spacing w:after="0" w:line="240" w:lineRule="auto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La Elaboración de los informes  por cada sistema relacionado con los productos y servicios incluidos en el inicio de operaciones; y</w:t>
      </w:r>
    </w:p>
    <w:p w:rsidR="00F71C59" w:rsidRPr="00CD70F4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Documentación de las pruebas que se ejecutaron como parte de las evaluaciones  realizadas.</w:t>
      </w:r>
    </w:p>
    <w:p w:rsidR="00F71C59" w:rsidRPr="00CD70F4" w:rsidRDefault="00F71C59" w:rsidP="00F71C59">
      <w:pPr>
        <w:pStyle w:val="Prrafodelista"/>
        <w:spacing w:after="0" w:line="240" w:lineRule="auto"/>
        <w:ind w:left="851"/>
        <w:jc w:val="both"/>
      </w:pPr>
    </w:p>
    <w:p w:rsidR="00F71C59" w:rsidRPr="00D21C21" w:rsidRDefault="00F71C59" w:rsidP="00F71C59">
      <w:pPr>
        <w:pStyle w:val="Prrafodelista"/>
        <w:numPr>
          <w:ilvl w:val="1"/>
          <w:numId w:val="9"/>
        </w:numPr>
        <w:spacing w:after="0" w:line="240" w:lineRule="auto"/>
        <w:ind w:left="851" w:hanging="487"/>
        <w:jc w:val="both"/>
      </w:pPr>
      <w:r w:rsidRPr="00D21C21">
        <w:t>Registrar las acciones del Banco o SAC en la Bolsa de Valores de El Salvador, S.A., conforme a lo establecido en el artículo 6 de la Ley de Bancos:</w:t>
      </w:r>
    </w:p>
    <w:p w:rsidR="00F71C59" w:rsidRPr="00D21C21" w:rsidRDefault="00F71C59" w:rsidP="00F71C59">
      <w:pPr>
        <w:pStyle w:val="Prrafodelista"/>
        <w:spacing w:after="0" w:line="240" w:lineRule="auto"/>
        <w:ind w:left="1134"/>
        <w:jc w:val="both"/>
      </w:pPr>
    </w:p>
    <w:p w:rsidR="00F71C59" w:rsidRPr="00D21C21" w:rsidRDefault="00F71C59" w:rsidP="00F71C59">
      <w:pPr>
        <w:pStyle w:val="Prrafodelista"/>
        <w:numPr>
          <w:ilvl w:val="0"/>
          <w:numId w:val="16"/>
        </w:numPr>
        <w:spacing w:after="0" w:line="240" w:lineRule="auto"/>
        <w:jc w:val="both"/>
      </w:pPr>
      <w:r w:rsidRPr="00D21C21">
        <w:t>Realizar el trámite a más tardar 60 días después de que se haya inscrito la escritura correspondiente en el Registro de Comercio; y</w:t>
      </w:r>
    </w:p>
    <w:p w:rsidR="00F71C59" w:rsidRPr="00D21C21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21C21" w:rsidRDefault="00F71C59" w:rsidP="00F71C59">
      <w:pPr>
        <w:pStyle w:val="Prrafodelista"/>
        <w:numPr>
          <w:ilvl w:val="0"/>
          <w:numId w:val="16"/>
        </w:numPr>
        <w:spacing w:after="0" w:line="240" w:lineRule="auto"/>
        <w:jc w:val="both"/>
      </w:pPr>
      <w:r w:rsidRPr="00D21C21">
        <w:t xml:space="preserve">Registrar las acciones de tesorería </w:t>
      </w:r>
      <w:proofErr w:type="gramStart"/>
      <w:r w:rsidRPr="00D21C21">
        <w:t>previo</w:t>
      </w:r>
      <w:proofErr w:type="gramEnd"/>
      <w:r w:rsidRPr="00D21C21">
        <w:t xml:space="preserve"> a su colocación, si fuere el caso.</w:t>
      </w:r>
    </w:p>
    <w:p w:rsidR="00F71C59" w:rsidRPr="00D21C21" w:rsidRDefault="00F71C59" w:rsidP="00F71C59">
      <w:pPr>
        <w:pStyle w:val="Prrafodelista"/>
      </w:pPr>
    </w:p>
    <w:p w:rsidR="00F71C59" w:rsidRPr="00D21C21" w:rsidRDefault="00F71C59" w:rsidP="00F71C59">
      <w:pPr>
        <w:pStyle w:val="Prrafodelista"/>
        <w:spacing w:after="0" w:line="240" w:lineRule="auto"/>
        <w:ind w:left="1211"/>
        <w:jc w:val="both"/>
      </w:pPr>
    </w:p>
    <w:p w:rsidR="00F71C59" w:rsidRPr="00D21C21" w:rsidRDefault="00F71C59" w:rsidP="00F71C59">
      <w:pPr>
        <w:pStyle w:val="Prrafodelista"/>
        <w:numPr>
          <w:ilvl w:val="1"/>
          <w:numId w:val="9"/>
        </w:numPr>
        <w:tabs>
          <w:tab w:val="left" w:pos="851"/>
          <w:tab w:val="left" w:pos="1418"/>
        </w:tabs>
        <w:spacing w:after="0" w:line="240" w:lineRule="auto"/>
        <w:ind w:left="851" w:hanging="491"/>
        <w:jc w:val="both"/>
      </w:pPr>
      <w:r w:rsidRPr="00D21C21">
        <w:t xml:space="preserve">Copia de actas del Órgano Director donde se acordó la autorización de políticas,  manuales y reglamentos, etc. </w:t>
      </w:r>
    </w:p>
    <w:p w:rsidR="00F71C59" w:rsidRPr="00CD70F4" w:rsidRDefault="00F71C59" w:rsidP="00F71C59">
      <w:pPr>
        <w:pStyle w:val="Prrafodelista"/>
        <w:spacing w:after="0" w:line="240" w:lineRule="auto"/>
        <w:jc w:val="both"/>
      </w:pPr>
    </w:p>
    <w:p w:rsidR="00F71C59" w:rsidRPr="00CD70F4" w:rsidRDefault="00F71C59" w:rsidP="00F71C59">
      <w:pPr>
        <w:pStyle w:val="Prrafodelista"/>
        <w:tabs>
          <w:tab w:val="left" w:pos="851"/>
        </w:tabs>
        <w:spacing w:after="0" w:line="240" w:lineRule="auto"/>
        <w:ind w:left="851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b/>
        </w:rPr>
      </w:pPr>
      <w:r>
        <w:rPr>
          <w:b/>
        </w:rPr>
        <w:t>POSTERIOR A LA COMUNICACIÓN DEL ACUERDO DE CONSEJO DIRECTIVO</w:t>
      </w:r>
    </w:p>
    <w:p w:rsidR="00F71C59" w:rsidRPr="00CD70F4" w:rsidRDefault="00F71C59" w:rsidP="00F71C59">
      <w:pPr>
        <w:pStyle w:val="Prrafodelista"/>
        <w:spacing w:after="0" w:line="240" w:lineRule="auto"/>
        <w:jc w:val="both"/>
      </w:pPr>
    </w:p>
    <w:p w:rsidR="00F71C59" w:rsidRPr="00CD70F4" w:rsidRDefault="00F71C59" w:rsidP="00F71C59">
      <w:pPr>
        <w:pStyle w:val="Prrafodelista"/>
        <w:numPr>
          <w:ilvl w:val="0"/>
          <w:numId w:val="19"/>
        </w:numPr>
        <w:spacing w:after="0" w:line="240" w:lineRule="auto"/>
        <w:ind w:left="378" w:hanging="406"/>
      </w:pPr>
      <w:r>
        <w:t>Carta dirigida al Superintendente del Sistema Financiero, suscrita por el Presidente del Banco, con 30 días de anticipación a la fecha del inicio de operaciones, informando lo siguiente:</w:t>
      </w:r>
    </w:p>
    <w:p w:rsidR="00F71C59" w:rsidRPr="00CD70F4" w:rsidRDefault="00F71C59" w:rsidP="00F71C59">
      <w:pPr>
        <w:pStyle w:val="Prrafodelista"/>
        <w:spacing w:after="0" w:line="240" w:lineRule="auto"/>
        <w:ind w:left="378"/>
      </w:pPr>
    </w:p>
    <w:p w:rsidR="00F71C59" w:rsidRPr="00CD70F4" w:rsidRDefault="00F71C59" w:rsidP="00F71C59">
      <w:pPr>
        <w:pStyle w:val="Prrafodelista"/>
        <w:numPr>
          <w:ilvl w:val="1"/>
          <w:numId w:val="18"/>
        </w:numPr>
        <w:spacing w:after="0" w:line="240" w:lineRule="auto"/>
        <w:ind w:left="851" w:hanging="473"/>
      </w:pPr>
      <w:r>
        <w:t>El día en que abrirá sus puertas al público, detallando el horario de atención;</w:t>
      </w:r>
    </w:p>
    <w:p w:rsidR="00F71C59" w:rsidRPr="00CD70F4" w:rsidRDefault="00F71C59" w:rsidP="00F71C59">
      <w:pPr>
        <w:pStyle w:val="Prrafodelista"/>
        <w:spacing w:after="0" w:line="240" w:lineRule="auto"/>
        <w:ind w:left="851"/>
      </w:pPr>
    </w:p>
    <w:p w:rsidR="00F71C59" w:rsidRPr="00CD70F4" w:rsidRDefault="00F71C59" w:rsidP="00F71C59">
      <w:pPr>
        <w:pStyle w:val="Prrafodelista"/>
        <w:numPr>
          <w:ilvl w:val="1"/>
          <w:numId w:val="18"/>
        </w:numPr>
        <w:spacing w:after="0" w:line="240" w:lineRule="auto"/>
        <w:ind w:left="851" w:hanging="473"/>
      </w:pPr>
      <w:r>
        <w:t>Nómina del personal superior de la institución;</w:t>
      </w:r>
    </w:p>
    <w:p w:rsidR="00F71C59" w:rsidRPr="00CD70F4" w:rsidRDefault="00F71C59" w:rsidP="00F71C59">
      <w:pPr>
        <w:pStyle w:val="Prrafodelista"/>
        <w:spacing w:after="0" w:line="240" w:lineRule="auto"/>
        <w:ind w:left="851"/>
      </w:pPr>
    </w:p>
    <w:p w:rsidR="00F71C59" w:rsidRPr="00CD70F4" w:rsidRDefault="00F71C59" w:rsidP="00F71C59">
      <w:pPr>
        <w:pStyle w:val="Prrafodelista"/>
        <w:numPr>
          <w:ilvl w:val="1"/>
          <w:numId w:val="18"/>
        </w:numPr>
        <w:spacing w:after="0" w:line="240" w:lineRule="auto"/>
        <w:ind w:left="851" w:hanging="473"/>
      </w:pPr>
      <w:r>
        <w:t>Un Registro de las firmas autorizadas; y</w:t>
      </w:r>
    </w:p>
    <w:p w:rsidR="00F71C59" w:rsidRPr="00CD70F4" w:rsidRDefault="00F71C59" w:rsidP="00F71C59">
      <w:pPr>
        <w:pStyle w:val="Prrafodelista"/>
      </w:pPr>
    </w:p>
    <w:p w:rsidR="00F71C59" w:rsidRPr="00CD70F4" w:rsidRDefault="00F71C59" w:rsidP="00F71C59">
      <w:pPr>
        <w:pStyle w:val="Prrafodelista"/>
        <w:numPr>
          <w:ilvl w:val="1"/>
          <w:numId w:val="18"/>
        </w:numPr>
        <w:spacing w:after="0" w:line="240" w:lineRule="auto"/>
        <w:ind w:left="851" w:hanging="473"/>
      </w:pPr>
      <w:r>
        <w:t>Número de Identificación Tributaria (NIT).</w:t>
      </w:r>
    </w:p>
    <w:p w:rsidR="00F71C59" w:rsidRPr="00CD70F4" w:rsidRDefault="00F71C59" w:rsidP="00F71C59">
      <w:pPr>
        <w:pStyle w:val="Estil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F71C59" w:rsidRPr="00CD70F4" w:rsidRDefault="00F71C59" w:rsidP="00F71C59">
      <w:pPr>
        <w:spacing w:after="0" w:line="240" w:lineRule="auto"/>
      </w:pPr>
    </w:p>
    <w:p w:rsidR="0080235E" w:rsidRDefault="0080235E" w:rsidP="00D6016D">
      <w:pPr>
        <w:spacing w:after="0" w:line="240" w:lineRule="auto"/>
        <w:jc w:val="both"/>
        <w:rPr>
          <w:b/>
          <w:bCs/>
          <w:iCs/>
          <w:u w:val="single"/>
        </w:rPr>
      </w:pPr>
    </w:p>
    <w:sectPr w:rsidR="0080235E" w:rsidSect="00BB082E">
      <w:headerReference w:type="default" r:id="rId11"/>
      <w:footerReference w:type="default" r:id="rId12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B" w:rsidRDefault="00E64A0B" w:rsidP="00BB082E">
      <w:pPr>
        <w:spacing w:after="0" w:line="240" w:lineRule="auto"/>
      </w:pPr>
      <w:r>
        <w:separator/>
      </w:r>
    </w:p>
  </w:endnote>
  <w:end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E30B8" w:rsidP="00555371">
        <w:pPr>
          <w:pStyle w:val="Piedepgina"/>
          <w:jc w:val="right"/>
        </w:pPr>
        <w:fldSimple w:instr=" PAGE   \* MERGEFORMAT ">
          <w:r w:rsidR="000B105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B" w:rsidRDefault="00E64A0B" w:rsidP="00BB082E">
      <w:pPr>
        <w:spacing w:after="0" w:line="240" w:lineRule="auto"/>
      </w:pPr>
      <w:r>
        <w:separator/>
      </w:r>
    </w:p>
  </w:footnote>
  <w:footnote w:type="continuationSeparator" w:id="0">
    <w:p w:rsidR="00E64A0B" w:rsidRDefault="00E64A0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C27"/>
    <w:multiLevelType w:val="hybridMultilevel"/>
    <w:tmpl w:val="5824EFB4"/>
    <w:lvl w:ilvl="0" w:tplc="440A001B">
      <w:start w:val="1"/>
      <w:numFmt w:val="lowerRoman"/>
      <w:lvlText w:val="%1."/>
      <w:lvlJc w:val="right"/>
      <w:pPr>
        <w:ind w:left="1931" w:hanging="360"/>
      </w:pPr>
    </w:lvl>
    <w:lvl w:ilvl="1" w:tplc="440A0019" w:tentative="1">
      <w:start w:val="1"/>
      <w:numFmt w:val="lowerLetter"/>
      <w:lvlText w:val="%2."/>
      <w:lvlJc w:val="left"/>
      <w:pPr>
        <w:ind w:left="2651" w:hanging="360"/>
      </w:pPr>
    </w:lvl>
    <w:lvl w:ilvl="2" w:tplc="440A001B" w:tentative="1">
      <w:start w:val="1"/>
      <w:numFmt w:val="lowerRoman"/>
      <w:lvlText w:val="%3."/>
      <w:lvlJc w:val="right"/>
      <w:pPr>
        <w:ind w:left="3371" w:hanging="180"/>
      </w:pPr>
    </w:lvl>
    <w:lvl w:ilvl="3" w:tplc="440A000F" w:tentative="1">
      <w:start w:val="1"/>
      <w:numFmt w:val="decimal"/>
      <w:lvlText w:val="%4."/>
      <w:lvlJc w:val="left"/>
      <w:pPr>
        <w:ind w:left="4091" w:hanging="360"/>
      </w:pPr>
    </w:lvl>
    <w:lvl w:ilvl="4" w:tplc="440A0019" w:tentative="1">
      <w:start w:val="1"/>
      <w:numFmt w:val="lowerLetter"/>
      <w:lvlText w:val="%5."/>
      <w:lvlJc w:val="left"/>
      <w:pPr>
        <w:ind w:left="4811" w:hanging="360"/>
      </w:pPr>
    </w:lvl>
    <w:lvl w:ilvl="5" w:tplc="440A001B" w:tentative="1">
      <w:start w:val="1"/>
      <w:numFmt w:val="lowerRoman"/>
      <w:lvlText w:val="%6."/>
      <w:lvlJc w:val="right"/>
      <w:pPr>
        <w:ind w:left="5531" w:hanging="180"/>
      </w:pPr>
    </w:lvl>
    <w:lvl w:ilvl="6" w:tplc="440A000F" w:tentative="1">
      <w:start w:val="1"/>
      <w:numFmt w:val="decimal"/>
      <w:lvlText w:val="%7."/>
      <w:lvlJc w:val="left"/>
      <w:pPr>
        <w:ind w:left="6251" w:hanging="360"/>
      </w:pPr>
    </w:lvl>
    <w:lvl w:ilvl="7" w:tplc="440A0019" w:tentative="1">
      <w:start w:val="1"/>
      <w:numFmt w:val="lowerLetter"/>
      <w:lvlText w:val="%8."/>
      <w:lvlJc w:val="left"/>
      <w:pPr>
        <w:ind w:left="6971" w:hanging="360"/>
      </w:pPr>
    </w:lvl>
    <w:lvl w:ilvl="8" w:tplc="4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F5F61"/>
    <w:multiLevelType w:val="multilevel"/>
    <w:tmpl w:val="2CF8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6C9"/>
    <w:multiLevelType w:val="hybridMultilevel"/>
    <w:tmpl w:val="3AE4B9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2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86403"/>
    <w:multiLevelType w:val="hybridMultilevel"/>
    <w:tmpl w:val="0EFE7BC0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  <w:num w:numId="1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2B2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105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3B35"/>
    <w:rsid w:val="00117611"/>
    <w:rsid w:val="00125FEF"/>
    <w:rsid w:val="0013243B"/>
    <w:rsid w:val="00137226"/>
    <w:rsid w:val="00156520"/>
    <w:rsid w:val="00163375"/>
    <w:rsid w:val="001717D4"/>
    <w:rsid w:val="00174775"/>
    <w:rsid w:val="001858E5"/>
    <w:rsid w:val="001A182A"/>
    <w:rsid w:val="001A2950"/>
    <w:rsid w:val="001A3130"/>
    <w:rsid w:val="001A3B7A"/>
    <w:rsid w:val="001A46DA"/>
    <w:rsid w:val="001A535F"/>
    <w:rsid w:val="001A5BA2"/>
    <w:rsid w:val="001B0508"/>
    <w:rsid w:val="001B61CD"/>
    <w:rsid w:val="001B7237"/>
    <w:rsid w:val="001C2B49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6372A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30B8"/>
    <w:rsid w:val="002E4B96"/>
    <w:rsid w:val="002E7C78"/>
    <w:rsid w:val="002F0584"/>
    <w:rsid w:val="002F4092"/>
    <w:rsid w:val="00301060"/>
    <w:rsid w:val="00317F25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1580"/>
    <w:rsid w:val="003F2C42"/>
    <w:rsid w:val="003F4F15"/>
    <w:rsid w:val="003F5D4B"/>
    <w:rsid w:val="003F5FDD"/>
    <w:rsid w:val="003F7ECB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45FFE"/>
    <w:rsid w:val="0045206E"/>
    <w:rsid w:val="004525A5"/>
    <w:rsid w:val="0045360D"/>
    <w:rsid w:val="0046395C"/>
    <w:rsid w:val="004710A6"/>
    <w:rsid w:val="00480E29"/>
    <w:rsid w:val="00482256"/>
    <w:rsid w:val="00483C75"/>
    <w:rsid w:val="00497400"/>
    <w:rsid w:val="004A2E25"/>
    <w:rsid w:val="004A4648"/>
    <w:rsid w:val="004B114D"/>
    <w:rsid w:val="004C77DE"/>
    <w:rsid w:val="004D017F"/>
    <w:rsid w:val="004D0C28"/>
    <w:rsid w:val="004D2398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0C54"/>
    <w:rsid w:val="00536DCF"/>
    <w:rsid w:val="00541A76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4C47"/>
    <w:rsid w:val="005B778D"/>
    <w:rsid w:val="005C5206"/>
    <w:rsid w:val="005C52B3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20D"/>
    <w:rsid w:val="006404C6"/>
    <w:rsid w:val="006477F3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B46CD"/>
    <w:rsid w:val="006C2209"/>
    <w:rsid w:val="006D7E05"/>
    <w:rsid w:val="006E10E6"/>
    <w:rsid w:val="006E1EFC"/>
    <w:rsid w:val="006F2C33"/>
    <w:rsid w:val="006F327C"/>
    <w:rsid w:val="006F5BFB"/>
    <w:rsid w:val="006F5C2D"/>
    <w:rsid w:val="006F5DFB"/>
    <w:rsid w:val="00717358"/>
    <w:rsid w:val="00723B02"/>
    <w:rsid w:val="00731C3C"/>
    <w:rsid w:val="00733504"/>
    <w:rsid w:val="007438A2"/>
    <w:rsid w:val="00757242"/>
    <w:rsid w:val="007625B4"/>
    <w:rsid w:val="00776EAD"/>
    <w:rsid w:val="007903A7"/>
    <w:rsid w:val="007A0002"/>
    <w:rsid w:val="007A7323"/>
    <w:rsid w:val="007B08AE"/>
    <w:rsid w:val="007C11C6"/>
    <w:rsid w:val="007C395A"/>
    <w:rsid w:val="007C7CAE"/>
    <w:rsid w:val="007D4728"/>
    <w:rsid w:val="007D6C6E"/>
    <w:rsid w:val="007F5609"/>
    <w:rsid w:val="0080235E"/>
    <w:rsid w:val="008036A6"/>
    <w:rsid w:val="00806841"/>
    <w:rsid w:val="00816A27"/>
    <w:rsid w:val="00817CC7"/>
    <w:rsid w:val="00825F82"/>
    <w:rsid w:val="00826B40"/>
    <w:rsid w:val="00831E77"/>
    <w:rsid w:val="0084197E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3F56"/>
    <w:rsid w:val="008C54F1"/>
    <w:rsid w:val="008D0833"/>
    <w:rsid w:val="008D71BD"/>
    <w:rsid w:val="008E14D3"/>
    <w:rsid w:val="008E7428"/>
    <w:rsid w:val="008F0320"/>
    <w:rsid w:val="00904C5E"/>
    <w:rsid w:val="00907BA0"/>
    <w:rsid w:val="00910FA1"/>
    <w:rsid w:val="009112E4"/>
    <w:rsid w:val="0092027A"/>
    <w:rsid w:val="00921529"/>
    <w:rsid w:val="009350E1"/>
    <w:rsid w:val="0094171F"/>
    <w:rsid w:val="009469D2"/>
    <w:rsid w:val="009503CD"/>
    <w:rsid w:val="009554E7"/>
    <w:rsid w:val="009708FC"/>
    <w:rsid w:val="0097580C"/>
    <w:rsid w:val="00985171"/>
    <w:rsid w:val="009A3C69"/>
    <w:rsid w:val="009A429C"/>
    <w:rsid w:val="009A42EF"/>
    <w:rsid w:val="009D0C38"/>
    <w:rsid w:val="009D634A"/>
    <w:rsid w:val="009E3AD8"/>
    <w:rsid w:val="009E6475"/>
    <w:rsid w:val="009F1DBB"/>
    <w:rsid w:val="00A01359"/>
    <w:rsid w:val="00A01790"/>
    <w:rsid w:val="00A062A5"/>
    <w:rsid w:val="00A20F2E"/>
    <w:rsid w:val="00A248DB"/>
    <w:rsid w:val="00A51655"/>
    <w:rsid w:val="00A52C45"/>
    <w:rsid w:val="00A54B93"/>
    <w:rsid w:val="00A57068"/>
    <w:rsid w:val="00A57FAF"/>
    <w:rsid w:val="00A65C83"/>
    <w:rsid w:val="00A6619E"/>
    <w:rsid w:val="00A7121D"/>
    <w:rsid w:val="00A8371B"/>
    <w:rsid w:val="00A93225"/>
    <w:rsid w:val="00A9416C"/>
    <w:rsid w:val="00AA215B"/>
    <w:rsid w:val="00AA289E"/>
    <w:rsid w:val="00AC23D0"/>
    <w:rsid w:val="00AC4D71"/>
    <w:rsid w:val="00AD258E"/>
    <w:rsid w:val="00AD7959"/>
    <w:rsid w:val="00AE04C6"/>
    <w:rsid w:val="00AE23A4"/>
    <w:rsid w:val="00AE2B3D"/>
    <w:rsid w:val="00AE39C0"/>
    <w:rsid w:val="00AF290B"/>
    <w:rsid w:val="00AF292C"/>
    <w:rsid w:val="00B014E1"/>
    <w:rsid w:val="00B065CA"/>
    <w:rsid w:val="00B14897"/>
    <w:rsid w:val="00B2753A"/>
    <w:rsid w:val="00B31503"/>
    <w:rsid w:val="00B34CB1"/>
    <w:rsid w:val="00B36CF5"/>
    <w:rsid w:val="00B40193"/>
    <w:rsid w:val="00B41B61"/>
    <w:rsid w:val="00B41C7C"/>
    <w:rsid w:val="00B50819"/>
    <w:rsid w:val="00B6463C"/>
    <w:rsid w:val="00B70EBE"/>
    <w:rsid w:val="00B71CC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204B"/>
    <w:rsid w:val="00C538DA"/>
    <w:rsid w:val="00C553BA"/>
    <w:rsid w:val="00C62CDD"/>
    <w:rsid w:val="00C6354F"/>
    <w:rsid w:val="00C72218"/>
    <w:rsid w:val="00C726F4"/>
    <w:rsid w:val="00C75097"/>
    <w:rsid w:val="00C82FDB"/>
    <w:rsid w:val="00C86172"/>
    <w:rsid w:val="00C87B9E"/>
    <w:rsid w:val="00C906B5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CF5F4C"/>
    <w:rsid w:val="00D03C5C"/>
    <w:rsid w:val="00D14B38"/>
    <w:rsid w:val="00D14E87"/>
    <w:rsid w:val="00D21C21"/>
    <w:rsid w:val="00D2504E"/>
    <w:rsid w:val="00D26D97"/>
    <w:rsid w:val="00D37ED9"/>
    <w:rsid w:val="00D42B00"/>
    <w:rsid w:val="00D44007"/>
    <w:rsid w:val="00D53CE0"/>
    <w:rsid w:val="00D55F4E"/>
    <w:rsid w:val="00D57B6E"/>
    <w:rsid w:val="00D6016D"/>
    <w:rsid w:val="00D636AF"/>
    <w:rsid w:val="00D77D08"/>
    <w:rsid w:val="00D82379"/>
    <w:rsid w:val="00D82D5D"/>
    <w:rsid w:val="00D832F3"/>
    <w:rsid w:val="00D8535B"/>
    <w:rsid w:val="00D854ED"/>
    <w:rsid w:val="00D85E7E"/>
    <w:rsid w:val="00D94A1A"/>
    <w:rsid w:val="00D94A2B"/>
    <w:rsid w:val="00DA2637"/>
    <w:rsid w:val="00DA2889"/>
    <w:rsid w:val="00DA3B71"/>
    <w:rsid w:val="00DA48D4"/>
    <w:rsid w:val="00DB2AFD"/>
    <w:rsid w:val="00DC1F8B"/>
    <w:rsid w:val="00DD004E"/>
    <w:rsid w:val="00DD2975"/>
    <w:rsid w:val="00DD51C4"/>
    <w:rsid w:val="00DD5B91"/>
    <w:rsid w:val="00DD62F0"/>
    <w:rsid w:val="00DE1626"/>
    <w:rsid w:val="00DF08C7"/>
    <w:rsid w:val="00DF2E41"/>
    <w:rsid w:val="00DF510E"/>
    <w:rsid w:val="00DF5756"/>
    <w:rsid w:val="00DF5F27"/>
    <w:rsid w:val="00E06FF8"/>
    <w:rsid w:val="00E247E4"/>
    <w:rsid w:val="00E40275"/>
    <w:rsid w:val="00E4399C"/>
    <w:rsid w:val="00E45DA9"/>
    <w:rsid w:val="00E63205"/>
    <w:rsid w:val="00E64026"/>
    <w:rsid w:val="00E64A0B"/>
    <w:rsid w:val="00E64A57"/>
    <w:rsid w:val="00E6663F"/>
    <w:rsid w:val="00E83B6B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0305"/>
    <w:rsid w:val="00EE167B"/>
    <w:rsid w:val="00F01531"/>
    <w:rsid w:val="00F03907"/>
    <w:rsid w:val="00F10C9F"/>
    <w:rsid w:val="00F1461A"/>
    <w:rsid w:val="00F16B62"/>
    <w:rsid w:val="00F1722F"/>
    <w:rsid w:val="00F2223A"/>
    <w:rsid w:val="00F2244B"/>
    <w:rsid w:val="00F30A42"/>
    <w:rsid w:val="00F41C0B"/>
    <w:rsid w:val="00F46EEF"/>
    <w:rsid w:val="00F47739"/>
    <w:rsid w:val="00F519F3"/>
    <w:rsid w:val="00F5239C"/>
    <w:rsid w:val="00F60D58"/>
    <w:rsid w:val="00F610C5"/>
    <w:rsid w:val="00F616B2"/>
    <w:rsid w:val="00F61BD7"/>
    <w:rsid w:val="00F62258"/>
    <w:rsid w:val="00F62C0E"/>
    <w:rsid w:val="00F71C59"/>
    <w:rsid w:val="00F7494A"/>
    <w:rsid w:val="00F749BC"/>
    <w:rsid w:val="00F861EA"/>
    <w:rsid w:val="00F864E6"/>
    <w:rsid w:val="00F86B74"/>
    <w:rsid w:val="00FA2BA7"/>
    <w:rsid w:val="00FA4A8B"/>
    <w:rsid w:val="00FA7D1A"/>
    <w:rsid w:val="00FA7DCB"/>
    <w:rsid w:val="00FB1B2D"/>
    <w:rsid w:val="00FB1C58"/>
    <w:rsid w:val="00FB1F4F"/>
    <w:rsid w:val="00FC165C"/>
    <w:rsid w:val="00FC2643"/>
    <w:rsid w:val="00FD03FB"/>
    <w:rsid w:val="00FD4BAD"/>
    <w:rsid w:val="00FE0CF5"/>
    <w:rsid w:val="00FF030F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paragraph" w:customStyle="1" w:styleId="Estilo">
    <w:name w:val="Estilo"/>
    <w:rsid w:val="00F7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ssf.gob.sv/descargas/Tramites/Bancos%20Cooperativos/BC2-Req%203.1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ocumento_de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42C9-AAB4-4E7F-84B3-37F25CB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Ana Elena Arévalo</cp:lastModifiedBy>
  <cp:revision>9</cp:revision>
  <cp:lastPrinted>2014-09-02T16:41:00Z</cp:lastPrinted>
  <dcterms:created xsi:type="dcterms:W3CDTF">2018-06-15T20:08:00Z</dcterms:created>
  <dcterms:modified xsi:type="dcterms:W3CDTF">2018-07-02T20:20:00Z</dcterms:modified>
</cp:coreProperties>
</file>