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87187B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7.45pt;margin-top:8.4pt;width:493.55pt;height:73pt;z-index:251658240" arcsize="10923f">
            <v:textbox style="mso-next-textbox:#_x0000_s1026">
              <w:txbxContent>
                <w:p w:rsidR="000413E8" w:rsidRPr="00DA2889" w:rsidRDefault="000413E8" w:rsidP="00DA2889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 xml:space="preserve">Tipo de Trámite: </w:t>
                  </w:r>
                  <w:r w:rsidR="006B687E">
                    <w:rPr>
                      <w:b/>
                      <w:lang w:val="es-SV"/>
                    </w:rPr>
                    <w:tab/>
                  </w:r>
                  <w:r w:rsidR="006B687E">
                    <w:rPr>
                      <w:b/>
                      <w:lang w:val="es-SV"/>
                    </w:rPr>
                    <w:tab/>
                  </w:r>
                  <w:r>
                    <w:rPr>
                      <w:b/>
                      <w:lang w:val="es-SV"/>
                    </w:rPr>
                    <w:t>Autorización intercambio de información con burós de créditos</w:t>
                  </w:r>
                </w:p>
                <w:p w:rsidR="000413E8" w:rsidRPr="002C3F26" w:rsidRDefault="000413E8" w:rsidP="002C3F26">
                  <w:pPr>
                    <w:spacing w:after="0" w:line="240" w:lineRule="auto"/>
                    <w:ind w:left="2835" w:hanging="2835"/>
                    <w:jc w:val="both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 </w:t>
                  </w:r>
                  <w:r w:rsidRPr="00072FCE">
                    <w:rPr>
                      <w:lang w:val="es-SV"/>
                    </w:rPr>
                    <w:t>Bancos</w:t>
                  </w:r>
                  <w:r>
                    <w:rPr>
                      <w:lang w:val="es-SV"/>
                    </w:rPr>
                    <w:t>.</w:t>
                  </w:r>
                </w:p>
                <w:p w:rsidR="000413E8" w:rsidRDefault="000413E8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0413E8" w:rsidRPr="000D1183" w:rsidRDefault="000413E8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última actualización:</w:t>
                  </w:r>
                  <w:r>
                    <w:rPr>
                      <w:lang w:val="es-SV"/>
                    </w:rPr>
                    <w:tab/>
                  </w:r>
                  <w:r w:rsidR="00776849" w:rsidRPr="00776849">
                    <w:rPr>
                      <w:lang w:val="es-SV"/>
                    </w:rPr>
                    <w:t>13</w:t>
                  </w:r>
                  <w:r w:rsidR="00603766" w:rsidRPr="00776849">
                    <w:rPr>
                      <w:lang w:val="es-SV"/>
                    </w:rPr>
                    <w:t>/0</w:t>
                  </w:r>
                  <w:r w:rsidR="00776849" w:rsidRPr="00776849">
                    <w:rPr>
                      <w:lang w:val="es-SV"/>
                    </w:rPr>
                    <w:t>6</w:t>
                  </w:r>
                  <w:r w:rsidR="00603766" w:rsidRPr="00776849">
                    <w:rPr>
                      <w:lang w:val="es-SV"/>
                    </w:rPr>
                    <w:t>/2018</w:t>
                  </w:r>
                  <w:r>
                    <w:rPr>
                      <w:lang w:val="es-SV"/>
                    </w:rPr>
                    <w:t xml:space="preserve">, </w:t>
                  </w:r>
                  <w:r w:rsidR="00E72A2F">
                    <w:rPr>
                      <w:lang w:val="es-SV"/>
                    </w:rPr>
                    <w:t>con</w:t>
                  </w:r>
                  <w:r>
                    <w:rPr>
                      <w:lang w:val="es-SV"/>
                    </w:rPr>
                    <w:t xml:space="preserve"> modificación </w:t>
                  </w:r>
                  <w:r w:rsidR="006B687E">
                    <w:rPr>
                      <w:lang w:val="es-SV"/>
                    </w:rPr>
                    <w:t>a la versión de fecha</w:t>
                  </w:r>
                  <w:r>
                    <w:rPr>
                      <w:lang w:val="es-SV"/>
                    </w:rPr>
                    <w:t xml:space="preserve"> </w:t>
                  </w:r>
                  <w:r w:rsidR="00776849">
                    <w:rPr>
                      <w:lang w:val="es-SV"/>
                    </w:rPr>
                    <w:t>30</w:t>
                  </w:r>
                  <w:r>
                    <w:rPr>
                      <w:lang w:val="es-SV"/>
                    </w:rPr>
                    <w:t>/</w:t>
                  </w:r>
                  <w:r w:rsidR="00776849">
                    <w:rPr>
                      <w:lang w:val="es-SV"/>
                    </w:rPr>
                    <w:t>06</w:t>
                  </w:r>
                  <w:r>
                    <w:rPr>
                      <w:lang w:val="es-SV"/>
                    </w:rPr>
                    <w:t>/201</w:t>
                  </w:r>
                  <w:r w:rsidR="00776849">
                    <w:rPr>
                      <w:lang w:val="es-SV"/>
                    </w:rPr>
                    <w:t>6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0E6763" w:rsidRDefault="000E6763" w:rsidP="00C538DA">
      <w:pPr>
        <w:tabs>
          <w:tab w:val="left" w:pos="960"/>
        </w:tabs>
        <w:rPr>
          <w:lang w:val="es-SV"/>
        </w:rPr>
      </w:pPr>
    </w:p>
    <w:p w:rsidR="00D93EDB" w:rsidRDefault="00D93EDB" w:rsidP="00D93EDB">
      <w:pPr>
        <w:spacing w:after="0" w:line="240" w:lineRule="auto"/>
        <w:jc w:val="both"/>
        <w:rPr>
          <w:b/>
          <w:lang w:val="es-SV"/>
        </w:rPr>
      </w:pPr>
      <w:r w:rsidRPr="00C1238A">
        <w:rPr>
          <w:b/>
          <w:lang w:val="es-SV"/>
        </w:rPr>
        <w:t>Sujetos a que aplica el trámite específico:</w:t>
      </w:r>
      <w:r>
        <w:rPr>
          <w:b/>
          <w:lang w:val="es-SV"/>
        </w:rPr>
        <w:t xml:space="preserve"> </w:t>
      </w:r>
    </w:p>
    <w:p w:rsidR="00D93EDB" w:rsidRPr="002C3F26" w:rsidRDefault="00D93EDB" w:rsidP="00D93EDB">
      <w:pPr>
        <w:spacing w:after="0" w:line="240" w:lineRule="auto"/>
        <w:jc w:val="both"/>
        <w:rPr>
          <w:lang w:val="es-SV"/>
        </w:rPr>
      </w:pPr>
      <w:r w:rsidRPr="00FA4A8B">
        <w:rPr>
          <w:lang w:val="es-SV"/>
        </w:rPr>
        <w:t xml:space="preserve">Bancos, </w:t>
      </w:r>
      <w:r>
        <w:rPr>
          <w:lang w:val="es-SV"/>
        </w:rPr>
        <w:t>Bancos Cooperativos y S</w:t>
      </w:r>
      <w:r w:rsidRPr="00FA4A8B">
        <w:rPr>
          <w:lang w:val="es-SV"/>
        </w:rPr>
        <w:t>ociedades</w:t>
      </w:r>
      <w:r>
        <w:rPr>
          <w:lang w:val="es-SV"/>
        </w:rPr>
        <w:t xml:space="preserve"> de Ahorro y Crédito.</w:t>
      </w:r>
    </w:p>
    <w:p w:rsidR="00D93EDB" w:rsidRPr="00C1238A" w:rsidRDefault="00D93EDB" w:rsidP="00D93EDB">
      <w:pPr>
        <w:spacing w:after="0" w:line="240" w:lineRule="auto"/>
        <w:jc w:val="both"/>
        <w:rPr>
          <w:b/>
          <w:lang w:val="es-SV"/>
        </w:rPr>
      </w:pPr>
    </w:p>
    <w:p w:rsidR="00D93EDB" w:rsidRDefault="00D93EDB" w:rsidP="00D93EDB">
      <w:pPr>
        <w:spacing w:after="0" w:line="240" w:lineRule="auto"/>
        <w:jc w:val="both"/>
        <w:rPr>
          <w:b/>
          <w:szCs w:val="20"/>
          <w:lang w:val="es-SV"/>
        </w:rPr>
      </w:pPr>
      <w:r w:rsidRPr="00C1238A">
        <w:rPr>
          <w:b/>
          <w:szCs w:val="20"/>
          <w:lang w:val="es-SV"/>
        </w:rPr>
        <w:t xml:space="preserve">Base Legal: </w:t>
      </w:r>
    </w:p>
    <w:p w:rsidR="00D93EDB" w:rsidRPr="00C1238A" w:rsidRDefault="00D93EDB" w:rsidP="00D93EDB">
      <w:pPr>
        <w:spacing w:after="0" w:line="240" w:lineRule="auto"/>
        <w:jc w:val="both"/>
        <w:rPr>
          <w:b/>
          <w:szCs w:val="20"/>
          <w:lang w:val="es-SV"/>
        </w:rPr>
      </w:pPr>
    </w:p>
    <w:p w:rsidR="00D93EDB" w:rsidRPr="003E0814" w:rsidRDefault="00D93EDB" w:rsidP="00817D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  <w:lang w:val="es-SV"/>
        </w:rPr>
      </w:pPr>
      <w:r w:rsidRPr="00430CDA">
        <w:rPr>
          <w:szCs w:val="20"/>
          <w:lang w:val="es-SV"/>
        </w:rPr>
        <w:t xml:space="preserve">Ley de Regulación de los Servicios de Información sobre el Historial de Crédito de las </w:t>
      </w:r>
      <w:r w:rsidRPr="003E0814">
        <w:rPr>
          <w:szCs w:val="20"/>
          <w:lang w:val="es-SV"/>
        </w:rPr>
        <w:t>Personas.</w:t>
      </w:r>
    </w:p>
    <w:p w:rsidR="00D93EDB" w:rsidRDefault="00D93EDB" w:rsidP="00817D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Ley de Bancos: Artículo 201</w:t>
      </w:r>
    </w:p>
    <w:p w:rsidR="00D93EDB" w:rsidRPr="003E0814" w:rsidRDefault="00D93EDB" w:rsidP="00817D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  <w:lang w:val="es-SV"/>
        </w:rPr>
      </w:pPr>
      <w:r w:rsidRPr="003E0814">
        <w:rPr>
          <w:szCs w:val="20"/>
          <w:lang w:val="es-SV"/>
        </w:rPr>
        <w:t>Ley de Bancos Cooperativos y Sociedades de Ahorro y Crédito</w:t>
      </w:r>
      <w:r>
        <w:rPr>
          <w:szCs w:val="20"/>
          <w:lang w:val="es-SV"/>
        </w:rPr>
        <w:t>: Artículo 123</w:t>
      </w:r>
    </w:p>
    <w:p w:rsidR="00D93EDB" w:rsidRPr="003E0814" w:rsidRDefault="00D93EDB" w:rsidP="00817D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Cs w:val="20"/>
          <w:lang w:val="es-SV"/>
        </w:rPr>
      </w:pPr>
      <w:r>
        <w:rPr>
          <w:szCs w:val="20"/>
          <w:lang w:val="es-SV"/>
        </w:rPr>
        <w:t>Ley de Protección al Consumidor y su reglamento.</w:t>
      </w:r>
    </w:p>
    <w:p w:rsidR="00D93EDB" w:rsidRPr="003E0814" w:rsidRDefault="00D93EDB" w:rsidP="00817D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Cs w:val="20"/>
          <w:lang w:val="es-SV"/>
        </w:rPr>
      </w:pPr>
      <w:r w:rsidRPr="00430CDA">
        <w:rPr>
          <w:szCs w:val="20"/>
          <w:lang w:val="es-SV"/>
        </w:rPr>
        <w:t>Normas Técnicas para los Servicios de Información sobre el Historial de Crédito de las Personas (NT-01</w:t>
      </w:r>
      <w:r>
        <w:rPr>
          <w:szCs w:val="20"/>
          <w:lang w:val="es-SV"/>
        </w:rPr>
        <w:t>/2012</w:t>
      </w:r>
      <w:r w:rsidRPr="00430CDA">
        <w:rPr>
          <w:szCs w:val="20"/>
          <w:lang w:val="es-SV"/>
        </w:rPr>
        <w:t>)</w:t>
      </w:r>
      <w:r>
        <w:rPr>
          <w:szCs w:val="20"/>
          <w:lang w:val="es-SV"/>
        </w:rPr>
        <w:t>.</w:t>
      </w:r>
    </w:p>
    <w:p w:rsidR="00D93EDB" w:rsidRPr="00430CDA" w:rsidRDefault="00D93EDB" w:rsidP="00D93EDB">
      <w:pPr>
        <w:spacing w:after="0" w:line="240" w:lineRule="auto"/>
        <w:jc w:val="both"/>
        <w:rPr>
          <w:b/>
          <w:szCs w:val="20"/>
          <w:lang w:val="es-SV"/>
        </w:rPr>
      </w:pPr>
    </w:p>
    <w:p w:rsidR="00D93EDB" w:rsidRDefault="00D93EDB" w:rsidP="00D93EDB">
      <w:pPr>
        <w:spacing w:after="0" w:line="240" w:lineRule="auto"/>
        <w:jc w:val="both"/>
        <w:rPr>
          <w:b/>
          <w:szCs w:val="20"/>
          <w:u w:val="single"/>
          <w:lang w:val="es-SV"/>
        </w:rPr>
      </w:pPr>
      <w:r w:rsidRPr="00430CDA">
        <w:rPr>
          <w:b/>
          <w:szCs w:val="20"/>
          <w:u w:val="single"/>
          <w:lang w:val="es-SV"/>
        </w:rPr>
        <w:t>Requisitos a presentar:</w:t>
      </w:r>
    </w:p>
    <w:p w:rsidR="00E95843" w:rsidRDefault="00E95843" w:rsidP="00D93EDB">
      <w:pPr>
        <w:spacing w:after="0" w:line="240" w:lineRule="auto"/>
        <w:jc w:val="both"/>
        <w:rPr>
          <w:b/>
          <w:szCs w:val="20"/>
          <w:u w:val="single"/>
          <w:lang w:val="es-SV"/>
        </w:rPr>
      </w:pPr>
    </w:p>
    <w:p w:rsidR="00E95843" w:rsidRPr="00E95843" w:rsidRDefault="00E95843" w:rsidP="00E95843">
      <w:pPr>
        <w:pStyle w:val="Prrafodelista"/>
        <w:numPr>
          <w:ilvl w:val="0"/>
          <w:numId w:val="8"/>
        </w:numPr>
        <w:spacing w:after="0" w:line="240" w:lineRule="auto"/>
        <w:ind w:left="426" w:hanging="426"/>
        <w:jc w:val="both"/>
        <w:rPr>
          <w:b/>
          <w:szCs w:val="20"/>
          <w:lang w:val="es-SV"/>
        </w:rPr>
      </w:pPr>
      <w:r w:rsidRPr="00E95843">
        <w:rPr>
          <w:b/>
          <w:szCs w:val="20"/>
          <w:lang w:val="es-SV"/>
        </w:rPr>
        <w:t>Autorización para intercambio de información con burós de créditos</w:t>
      </w:r>
    </w:p>
    <w:p w:rsidR="00D93EDB" w:rsidRPr="00430CDA" w:rsidRDefault="00D93EDB" w:rsidP="00D93EDB">
      <w:pPr>
        <w:spacing w:after="0" w:line="240" w:lineRule="auto"/>
        <w:jc w:val="both"/>
        <w:rPr>
          <w:b/>
          <w:szCs w:val="20"/>
          <w:u w:val="single"/>
          <w:lang w:val="es-SV"/>
        </w:rPr>
      </w:pPr>
    </w:p>
    <w:p w:rsidR="00D93EDB" w:rsidRDefault="00D93EDB" w:rsidP="00817D2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430CDA">
        <w:t xml:space="preserve">Solicitud de no objeción </w:t>
      </w:r>
      <w:r>
        <w:t xml:space="preserve">de parte del Agente Económico (AE) </w:t>
      </w:r>
      <w:r w:rsidRPr="00430CDA">
        <w:t>para compartir información con Agencias de Información de Datos (AID), relacionada con datos sobre el histo</w:t>
      </w:r>
      <w:r>
        <w:t>rial de crédito de consumidores;</w:t>
      </w:r>
    </w:p>
    <w:p w:rsidR="00D93EDB" w:rsidRPr="00430CDA" w:rsidRDefault="00D93EDB" w:rsidP="00D93EDB">
      <w:pPr>
        <w:pStyle w:val="Prrafodelista"/>
        <w:spacing w:after="0" w:line="240" w:lineRule="auto"/>
        <w:ind w:left="360"/>
        <w:jc w:val="both"/>
      </w:pPr>
    </w:p>
    <w:p w:rsidR="00D93EDB" w:rsidRDefault="00D93EDB" w:rsidP="00817D2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Proyecto de </w:t>
      </w:r>
      <w:r w:rsidRPr="00430CDA">
        <w:t>contrato a suscribirse ent</w:t>
      </w:r>
      <w:r>
        <w:t>re el AE y la AID (en formato Word), en el que deberá considerarse que la información a compartir será la siguiente, de acuerdo a la NT-01/2012:</w:t>
      </w:r>
    </w:p>
    <w:p w:rsidR="00D93EDB" w:rsidRDefault="00D93EDB" w:rsidP="00D93EDB">
      <w:pPr>
        <w:spacing w:after="0" w:line="240" w:lineRule="auto"/>
        <w:jc w:val="both"/>
      </w:pPr>
    </w:p>
    <w:p w:rsidR="00D93EDB" w:rsidRDefault="00D93EDB" w:rsidP="00817D25">
      <w:pPr>
        <w:pStyle w:val="Prrafodelista"/>
        <w:numPr>
          <w:ilvl w:val="1"/>
          <w:numId w:val="1"/>
        </w:numPr>
        <w:spacing w:after="0" w:line="240" w:lineRule="auto"/>
        <w:jc w:val="both"/>
      </w:pPr>
      <w:r w:rsidRPr="002D18BE">
        <w:t>Los datos personales que podrán ser solicitados por un AE a sus  consumidores o clientes, para efectos de elaborar el historial de crédito, son los siguientes:</w:t>
      </w:r>
    </w:p>
    <w:p w:rsidR="00D93EDB" w:rsidRPr="002D18BE" w:rsidRDefault="00D93EDB" w:rsidP="00D93EDB">
      <w:pPr>
        <w:pStyle w:val="Prrafodelista"/>
        <w:spacing w:after="0" w:line="240" w:lineRule="auto"/>
        <w:ind w:left="792"/>
        <w:jc w:val="both"/>
      </w:pPr>
    </w:p>
    <w:p w:rsidR="00D93EDB" w:rsidRPr="002D18BE" w:rsidRDefault="00D93EDB" w:rsidP="00817D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D18BE">
        <w:t>Nom</w:t>
      </w:r>
      <w:r>
        <w:t>bres o razón social;</w:t>
      </w:r>
    </w:p>
    <w:p w:rsidR="00D93EDB" w:rsidRPr="002D18BE" w:rsidRDefault="00D93EDB" w:rsidP="00817D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Primer apellido;</w:t>
      </w:r>
    </w:p>
    <w:p w:rsidR="00D93EDB" w:rsidRPr="002D18BE" w:rsidRDefault="00D93EDB" w:rsidP="00817D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Segundo apellido;</w:t>
      </w:r>
    </w:p>
    <w:p w:rsidR="00D93EDB" w:rsidRPr="002D18BE" w:rsidRDefault="00D93EDB" w:rsidP="00817D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Apellido de casada;</w:t>
      </w:r>
    </w:p>
    <w:p w:rsidR="00D93EDB" w:rsidRPr="002D18BE" w:rsidRDefault="00D93EDB" w:rsidP="00817D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Sexo;</w:t>
      </w:r>
    </w:p>
    <w:p w:rsidR="00D93EDB" w:rsidRPr="002D18BE" w:rsidRDefault="00D93EDB" w:rsidP="00817D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D18BE">
        <w:t>Número de Documento Único de Identidad (DUI), o documento válido en caso de ser extranjero (P</w:t>
      </w:r>
      <w:r>
        <w:t>asaporte o carnet de residente);</w:t>
      </w:r>
    </w:p>
    <w:p w:rsidR="00D93EDB" w:rsidRPr="002D18BE" w:rsidRDefault="00D93EDB" w:rsidP="00817D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D18BE">
        <w:t xml:space="preserve">Número de </w:t>
      </w:r>
      <w:r>
        <w:t>Identificación Tributaria (NIT);</w:t>
      </w:r>
    </w:p>
    <w:p w:rsidR="00D93EDB" w:rsidRPr="002D18BE" w:rsidRDefault="00D93EDB" w:rsidP="00817D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D18BE">
        <w:t>Fecha de nacimiento o</w:t>
      </w:r>
      <w:r>
        <w:t xml:space="preserve"> de constitución de la sociedad;</w:t>
      </w:r>
    </w:p>
    <w:p w:rsidR="00D93EDB" w:rsidRPr="002D18BE" w:rsidRDefault="00D93EDB" w:rsidP="00817D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D18BE">
        <w:t xml:space="preserve">Tipo </w:t>
      </w:r>
      <w:r>
        <w:t>de persona, natural o jurídica;</w:t>
      </w:r>
    </w:p>
    <w:p w:rsidR="00D93EDB" w:rsidRPr="002D18BE" w:rsidRDefault="00D93EDB" w:rsidP="00817D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D18BE">
        <w:t>Tipo de deudor (Ejemplo: principal, codeudor, fiador o avalista)</w:t>
      </w:r>
      <w:r>
        <w:t>;</w:t>
      </w:r>
      <w:r w:rsidRPr="002D18BE">
        <w:t xml:space="preserve"> y</w:t>
      </w:r>
    </w:p>
    <w:p w:rsidR="00D93EDB" w:rsidRPr="00430CDA" w:rsidRDefault="00D93EDB" w:rsidP="00817D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D18BE">
        <w:t>Giro o actividad económica</w:t>
      </w:r>
      <w:r>
        <w:t>.</w:t>
      </w:r>
    </w:p>
    <w:p w:rsidR="002C4D13" w:rsidRDefault="002C4D13" w:rsidP="002C4D13">
      <w:pPr>
        <w:pStyle w:val="Prrafodelista"/>
        <w:spacing w:after="0" w:line="240" w:lineRule="auto"/>
        <w:ind w:left="0"/>
        <w:jc w:val="both"/>
        <w:rPr>
          <w:b/>
          <w:szCs w:val="20"/>
          <w:lang w:val="es-SV"/>
        </w:rPr>
      </w:pPr>
    </w:p>
    <w:p w:rsidR="00D93EDB" w:rsidRPr="00430CDA" w:rsidRDefault="00D93EDB" w:rsidP="00D93EDB">
      <w:pPr>
        <w:pStyle w:val="Prrafodelista"/>
        <w:spacing w:after="0" w:line="240" w:lineRule="auto"/>
        <w:ind w:left="360"/>
        <w:jc w:val="both"/>
      </w:pPr>
      <w:r>
        <w:lastRenderedPageBreak/>
        <w:t xml:space="preserve">Lo anterior </w:t>
      </w:r>
      <w:r w:rsidRPr="0030561B">
        <w:t>sin perjuicio de la información que los AE, deben solicitar a efectos de sus respectivos análisis de riesgos, estudios y conocimiento del cliente para el otorgamiento del crédito; así como los requerimientos de información que dispongan otras normas o leyes.</w:t>
      </w:r>
    </w:p>
    <w:p w:rsidR="00D93EDB" w:rsidRDefault="00D93EDB" w:rsidP="00D93EDB">
      <w:pPr>
        <w:spacing w:after="0" w:line="240" w:lineRule="auto"/>
        <w:jc w:val="both"/>
      </w:pPr>
    </w:p>
    <w:p w:rsidR="00D93EDB" w:rsidRDefault="00D93EDB" w:rsidP="00817D25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 xml:space="preserve">En adición a lo anterior, </w:t>
      </w:r>
      <w:r w:rsidRPr="00574471">
        <w:t>podrán compartir los datos de las obligaciones de los consumidores o clientes que los AE posean, siguientes:</w:t>
      </w:r>
    </w:p>
    <w:p w:rsidR="00D93EDB" w:rsidRDefault="00D93EDB" w:rsidP="00D93EDB">
      <w:pPr>
        <w:pStyle w:val="Prrafodelista"/>
        <w:spacing w:after="0" w:line="240" w:lineRule="auto"/>
        <w:ind w:left="792"/>
        <w:jc w:val="both"/>
      </w:pP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Tipo de crédito u obligación que reporta:</w:t>
      </w:r>
    </w:p>
    <w:p w:rsidR="00D93EDB" w:rsidRPr="00574471" w:rsidRDefault="00D93EDB" w:rsidP="00817D25">
      <w:pPr>
        <w:pStyle w:val="Prrafodelista"/>
        <w:numPr>
          <w:ilvl w:val="1"/>
          <w:numId w:val="4"/>
        </w:numPr>
        <w:spacing w:after="0" w:line="240" w:lineRule="auto"/>
        <w:ind w:left="1560" w:hanging="426"/>
        <w:jc w:val="both"/>
      </w:pPr>
      <w:r>
        <w:t>Tarjeta de crédito comercial;</w:t>
      </w:r>
    </w:p>
    <w:p w:rsidR="00D93EDB" w:rsidRPr="00574471" w:rsidRDefault="00D93EDB" w:rsidP="00817D25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>
        <w:t>Tarjeta de crédito bancaria;</w:t>
      </w:r>
    </w:p>
    <w:p w:rsidR="00D93EDB" w:rsidRPr="00574471" w:rsidRDefault="00D93EDB" w:rsidP="00817D25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>
        <w:t>Crédito comercial;</w:t>
      </w:r>
    </w:p>
    <w:p w:rsidR="00D93EDB" w:rsidRPr="00574471" w:rsidRDefault="00D93EDB" w:rsidP="00817D25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 w:rsidRPr="00574471">
        <w:t>C</w:t>
      </w:r>
      <w:r>
        <w:t>rédito a plazo, contado 30 días;</w:t>
      </w:r>
      <w:r w:rsidRPr="00574471">
        <w:t xml:space="preserve"> </w:t>
      </w:r>
    </w:p>
    <w:p w:rsidR="00D93EDB" w:rsidRPr="00574471" w:rsidRDefault="00D93EDB" w:rsidP="00817D25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>
        <w:t>Crédito bancario decreciente;</w:t>
      </w:r>
    </w:p>
    <w:p w:rsidR="00D93EDB" w:rsidRPr="00574471" w:rsidRDefault="00D93EDB" w:rsidP="00817D25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>
        <w:t>Crédito bancario rotativo;</w:t>
      </w:r>
    </w:p>
    <w:p w:rsidR="00D93EDB" w:rsidRPr="00574471" w:rsidRDefault="00D93EDB" w:rsidP="00817D25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>
        <w:t>Crédito hipotecario;</w:t>
      </w:r>
    </w:p>
    <w:p w:rsidR="00D93EDB" w:rsidRPr="00574471" w:rsidRDefault="00D93EDB" w:rsidP="00817D25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>
        <w:t>Crédito personal;</w:t>
      </w:r>
    </w:p>
    <w:p w:rsidR="00D93EDB" w:rsidRPr="00574471" w:rsidRDefault="00D93EDB" w:rsidP="00817D25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 w:rsidRPr="00574471">
        <w:t>Crédito de consumo</w:t>
      </w:r>
      <w:r>
        <w:t>;</w:t>
      </w:r>
      <w:r w:rsidRPr="00574471">
        <w:t xml:space="preserve"> y</w:t>
      </w:r>
    </w:p>
    <w:p w:rsidR="00D93EDB" w:rsidRDefault="00D93EDB" w:rsidP="00817D25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 w:rsidRPr="00574471">
        <w:t>Otros (Especificar)</w:t>
      </w:r>
      <w:r>
        <w:t>.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Tipo de moneda del crédito</w:t>
      </w:r>
      <w:r>
        <w:t>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Monto o límite del crédito</w:t>
      </w:r>
      <w:r>
        <w:t>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Fecha de otorgamiento</w:t>
      </w:r>
      <w:r>
        <w:t>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Plazo;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Fecha de cancelación</w:t>
      </w:r>
      <w:r>
        <w:t>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Saldo total</w:t>
      </w:r>
      <w:r>
        <w:t>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Número de referencia</w:t>
      </w:r>
      <w:r>
        <w:t>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Fecha de vencimiento</w:t>
      </w:r>
      <w:r>
        <w:t>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Forma de pago (mensual, catorcenal, semanal, otras)</w:t>
      </w:r>
      <w:r>
        <w:t>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Valor de la cuota</w:t>
      </w:r>
      <w:r>
        <w:t>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Número de cuotas</w:t>
      </w:r>
      <w:r>
        <w:t>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Días mora del cliente (antigüedad de la mora)</w:t>
      </w:r>
      <w:r>
        <w:t>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Fecha inicio mora</w:t>
      </w:r>
      <w:r>
        <w:t>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Calificación del deudor o categoría de riesgo (calificaciones objetivas o técnicas)</w:t>
      </w:r>
      <w:r>
        <w:t>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Saldo en m</w:t>
      </w:r>
      <w:r>
        <w:t>ora;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Saldo mora c</w:t>
      </w:r>
      <w:r>
        <w:t>apital;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Saldo mora i</w:t>
      </w:r>
      <w:r>
        <w:t>nterés;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Saldo v</w:t>
      </w:r>
      <w:r>
        <w:t>encido;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Saldo vencido c</w:t>
      </w:r>
      <w:r>
        <w:t>apital;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Saldo vencido i</w:t>
      </w:r>
      <w:r>
        <w:t>nterés;</w:t>
      </w:r>
      <w:r w:rsidRPr="00574471">
        <w:t xml:space="preserve"> 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Fecha de ultimo pago</w:t>
      </w:r>
      <w:r>
        <w:t>;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Fecha de dato negativo;</w:t>
      </w:r>
      <w:r w:rsidRPr="00574471">
        <w:t xml:space="preserve"> </w:t>
      </w:r>
    </w:p>
    <w:p w:rsidR="00D93EDB" w:rsidRPr="00574471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Tipo de garantía (Ejemplo: hipotecaria, p</w:t>
      </w:r>
      <w:r>
        <w:t>rendaria o personal);</w:t>
      </w:r>
      <w:r w:rsidRPr="00574471">
        <w:t xml:space="preserve"> y</w:t>
      </w:r>
    </w:p>
    <w:p w:rsidR="00D93EDB" w:rsidRDefault="00D93EDB" w:rsidP="00817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Nombre de la entidad que otorgo el crédito.</w:t>
      </w:r>
    </w:p>
    <w:p w:rsidR="00D93EDB" w:rsidRDefault="00D93EDB" w:rsidP="00D93EDB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</w:pPr>
    </w:p>
    <w:p w:rsidR="00D93EDB" w:rsidRDefault="00D93EDB" w:rsidP="00D93EDB">
      <w:pPr>
        <w:pStyle w:val="Prrafodelista"/>
        <w:spacing w:after="0" w:line="240" w:lineRule="auto"/>
        <w:ind w:left="360"/>
        <w:jc w:val="both"/>
      </w:pPr>
      <w:r w:rsidRPr="00430CDA">
        <w:t xml:space="preserve">Debe considerarse lo dispuesto en los artículos 123 de la Ley de Bancos Cooperativos y Sociedades de Ahorro y Crédito y artículo 232 de la Ley de Bancos, en cuanto a </w:t>
      </w:r>
      <w:r>
        <w:t>la información sujeta a reserva; y</w:t>
      </w:r>
    </w:p>
    <w:p w:rsidR="00D93EDB" w:rsidRDefault="00D93EDB" w:rsidP="00D93EDB">
      <w:pPr>
        <w:pStyle w:val="Prrafodelista"/>
        <w:spacing w:after="0" w:line="240" w:lineRule="auto"/>
        <w:ind w:left="360"/>
        <w:jc w:val="both"/>
      </w:pPr>
    </w:p>
    <w:p w:rsidR="00E95843" w:rsidRDefault="00E95843" w:rsidP="00D93EDB">
      <w:pPr>
        <w:pStyle w:val="Prrafodelista"/>
        <w:spacing w:after="0" w:line="240" w:lineRule="auto"/>
        <w:ind w:left="360"/>
        <w:jc w:val="both"/>
      </w:pPr>
    </w:p>
    <w:p w:rsidR="00E95843" w:rsidRDefault="00E95843" w:rsidP="00D93EDB">
      <w:pPr>
        <w:pStyle w:val="Prrafodelista"/>
        <w:spacing w:after="0" w:line="240" w:lineRule="auto"/>
        <w:ind w:left="360"/>
        <w:jc w:val="both"/>
      </w:pPr>
    </w:p>
    <w:p w:rsidR="000413E8" w:rsidRDefault="000413E8" w:rsidP="00817D2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0413E8">
        <w:t>Requisitos informáticos para las AE:</w:t>
      </w:r>
    </w:p>
    <w:p w:rsidR="000413E8" w:rsidRDefault="000413E8" w:rsidP="000413E8">
      <w:pPr>
        <w:pStyle w:val="Prrafodelista"/>
        <w:spacing w:after="0" w:line="240" w:lineRule="auto"/>
        <w:ind w:left="360"/>
        <w:jc w:val="both"/>
      </w:pPr>
    </w:p>
    <w:p w:rsidR="000413E8" w:rsidRDefault="000413E8" w:rsidP="00817D25">
      <w:pPr>
        <w:pStyle w:val="Prrafodelista"/>
        <w:numPr>
          <w:ilvl w:val="1"/>
          <w:numId w:val="1"/>
        </w:numPr>
        <w:spacing w:after="0" w:line="240" w:lineRule="auto"/>
        <w:jc w:val="both"/>
      </w:pPr>
      <w:r w:rsidRPr="000413E8">
        <w:t>Diagrama de la estructura de red/comunicaciones y descripción del tipo de conexión a utilizar para el envío de información</w:t>
      </w:r>
      <w:r>
        <w:t>.</w:t>
      </w:r>
    </w:p>
    <w:p w:rsidR="000413E8" w:rsidRDefault="000413E8" w:rsidP="00817D25">
      <w:pPr>
        <w:pStyle w:val="Prrafodelista"/>
        <w:numPr>
          <w:ilvl w:val="1"/>
          <w:numId w:val="1"/>
        </w:numPr>
        <w:spacing w:after="0" w:line="240" w:lineRule="auto"/>
        <w:jc w:val="both"/>
      </w:pPr>
      <w:r w:rsidRPr="000413E8">
        <w:t>Documento que contenga el procedimiento definido para la generación, envío y validación de información que se enviará a la AID, que incluya el diccionario de los datos a entregar a la AID.</w:t>
      </w:r>
    </w:p>
    <w:p w:rsidR="000413E8" w:rsidRDefault="000413E8" w:rsidP="00817D25">
      <w:pPr>
        <w:pStyle w:val="Prrafodelista"/>
        <w:numPr>
          <w:ilvl w:val="1"/>
          <w:numId w:val="1"/>
        </w:numPr>
        <w:spacing w:after="0" w:line="240" w:lineRule="auto"/>
        <w:jc w:val="both"/>
      </w:pPr>
      <w:r w:rsidRPr="000413E8">
        <w:t>Listado de todos los usuarios que tienen acceso a generar y validar la información con sus respectivos roles y accesos asignados.</w:t>
      </w:r>
    </w:p>
    <w:p w:rsidR="000413E8" w:rsidRDefault="000413E8" w:rsidP="00817D25">
      <w:pPr>
        <w:pStyle w:val="Prrafodelista"/>
        <w:numPr>
          <w:ilvl w:val="1"/>
          <w:numId w:val="1"/>
        </w:numPr>
        <w:spacing w:after="0" w:line="240" w:lineRule="auto"/>
        <w:jc w:val="both"/>
      </w:pPr>
      <w:r w:rsidRPr="000413E8">
        <w:t>Detalle de usuarios que consultan la información proporcionada por la AID y procedimiento a seguir en casos de consultas no autorizadas.</w:t>
      </w:r>
    </w:p>
    <w:p w:rsidR="000413E8" w:rsidRDefault="000413E8" w:rsidP="00817D25">
      <w:pPr>
        <w:pStyle w:val="Prrafodelista"/>
        <w:numPr>
          <w:ilvl w:val="1"/>
          <w:numId w:val="1"/>
        </w:numPr>
        <w:spacing w:after="0" w:line="240" w:lineRule="auto"/>
        <w:jc w:val="both"/>
      </w:pPr>
      <w:r w:rsidRPr="000413E8">
        <w:t>Procedimiento para solicitar la creación de nuevos usuarios a la AID</w:t>
      </w:r>
      <w:r>
        <w:t>.</w:t>
      </w:r>
    </w:p>
    <w:p w:rsidR="000413E8" w:rsidRPr="000413E8" w:rsidRDefault="000413E8" w:rsidP="00817D25">
      <w:pPr>
        <w:pStyle w:val="Prrafodelista"/>
        <w:numPr>
          <w:ilvl w:val="1"/>
          <w:numId w:val="1"/>
        </w:numPr>
        <w:spacing w:after="0" w:line="240" w:lineRule="auto"/>
        <w:jc w:val="both"/>
      </w:pPr>
      <w:r w:rsidRPr="000413E8">
        <w:t>Preparación de un ambiente de pruebas para la generación del archivo con la información a compartir a la AID, desde los aplicativos informáticos involucrados.</w:t>
      </w:r>
    </w:p>
    <w:p w:rsidR="000413E8" w:rsidRPr="000413E8" w:rsidRDefault="000413E8" w:rsidP="000413E8">
      <w:pPr>
        <w:pStyle w:val="Prrafodelista"/>
      </w:pPr>
    </w:p>
    <w:p w:rsidR="000413E8" w:rsidRDefault="000413E8" w:rsidP="00817D25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0413E8">
        <w:t>Requisitos informáticos para las AID:</w:t>
      </w:r>
    </w:p>
    <w:p w:rsidR="000413E8" w:rsidRPr="000413E8" w:rsidRDefault="000413E8" w:rsidP="000413E8">
      <w:pPr>
        <w:spacing w:after="0" w:line="240" w:lineRule="auto"/>
        <w:jc w:val="both"/>
      </w:pPr>
    </w:p>
    <w:p w:rsidR="000413E8" w:rsidRDefault="000413E8" w:rsidP="00817D25">
      <w:pPr>
        <w:pStyle w:val="Prrafodelista"/>
        <w:numPr>
          <w:ilvl w:val="0"/>
          <w:numId w:val="7"/>
        </w:numPr>
      </w:pPr>
      <w:r w:rsidRPr="000413E8">
        <w:t>Diagrama de la estructura de red/comunicaciones y descripción del tipo de conexión a utilizar para la recepción y  consulta de información</w:t>
      </w:r>
      <w:r>
        <w:t>.</w:t>
      </w:r>
    </w:p>
    <w:p w:rsidR="000413E8" w:rsidRDefault="000413E8" w:rsidP="00817D25">
      <w:pPr>
        <w:pStyle w:val="Prrafodelista"/>
        <w:numPr>
          <w:ilvl w:val="0"/>
          <w:numId w:val="7"/>
        </w:numPr>
      </w:pPr>
      <w:r w:rsidRPr="000413E8">
        <w:t>Documento que describa la plataforma informática, características de servidores, sistemas operativos, antivirus, gestores de bases de datos, medidas de seguridad implementadas en el proceso de recepción, carga, almacenamiento y consulta de información, anexando la evidencia correspondiente.</w:t>
      </w:r>
    </w:p>
    <w:p w:rsidR="000413E8" w:rsidRDefault="000413E8" w:rsidP="00817D25">
      <w:pPr>
        <w:pStyle w:val="Prrafodelista"/>
        <w:numPr>
          <w:ilvl w:val="0"/>
          <w:numId w:val="7"/>
        </w:numPr>
      </w:pPr>
      <w:r w:rsidRPr="000413E8">
        <w:t>Documento que describa el proceso de carga y  validación de la información recibida.</w:t>
      </w:r>
    </w:p>
    <w:p w:rsidR="000413E8" w:rsidRDefault="000413E8" w:rsidP="00817D25">
      <w:pPr>
        <w:pStyle w:val="Prrafodelista"/>
        <w:numPr>
          <w:ilvl w:val="0"/>
          <w:numId w:val="7"/>
        </w:numPr>
      </w:pPr>
      <w:r w:rsidRPr="000413E8">
        <w:t>Procedimiento para la creación y mantenimiento de claves de acceso solicitadas por las entidades.</w:t>
      </w:r>
    </w:p>
    <w:p w:rsidR="000413E8" w:rsidRDefault="000413E8" w:rsidP="00817D25">
      <w:pPr>
        <w:pStyle w:val="Prrafodelista"/>
        <w:numPr>
          <w:ilvl w:val="0"/>
          <w:numId w:val="7"/>
        </w:numPr>
      </w:pPr>
      <w:r w:rsidRPr="000413E8">
        <w:t>Detalle de roles y privilegios de los usuarios que tienen acceso a la recepción y almacenamiento de la información remitida por las entidades y las medidas de seguridad implementadas</w:t>
      </w:r>
      <w:r>
        <w:t>.</w:t>
      </w:r>
    </w:p>
    <w:p w:rsidR="000413E8" w:rsidRDefault="000413E8" w:rsidP="00817D25">
      <w:pPr>
        <w:pStyle w:val="Prrafodelista"/>
        <w:numPr>
          <w:ilvl w:val="0"/>
          <w:numId w:val="7"/>
        </w:numPr>
      </w:pPr>
      <w:r w:rsidRPr="000413E8">
        <w:t>Formato o plantilla ejemplo del los tipos de reporte que la entidad contratará</w:t>
      </w:r>
      <w:r>
        <w:t>.</w:t>
      </w:r>
    </w:p>
    <w:p w:rsidR="00E95843" w:rsidRPr="000413E8" w:rsidRDefault="00E95843" w:rsidP="00E95843">
      <w:pPr>
        <w:pStyle w:val="Prrafodelista"/>
      </w:pPr>
    </w:p>
    <w:p w:rsidR="00E95843" w:rsidRDefault="00E95843" w:rsidP="00E95843">
      <w:pPr>
        <w:pStyle w:val="Prrafodelista"/>
        <w:numPr>
          <w:ilvl w:val="0"/>
          <w:numId w:val="8"/>
        </w:numPr>
        <w:spacing w:after="0" w:line="240" w:lineRule="auto"/>
        <w:ind w:left="426" w:hanging="426"/>
        <w:jc w:val="both"/>
        <w:rPr>
          <w:b/>
          <w:szCs w:val="20"/>
          <w:lang w:val="es-SV"/>
        </w:rPr>
      </w:pPr>
      <w:r>
        <w:rPr>
          <w:b/>
          <w:szCs w:val="20"/>
          <w:lang w:val="es-SV"/>
        </w:rPr>
        <w:t>Renovación de contrato para el intercambio de información con burós de créditos</w:t>
      </w:r>
    </w:p>
    <w:p w:rsidR="00E95843" w:rsidRDefault="00E95843" w:rsidP="00E95843">
      <w:pPr>
        <w:spacing w:after="0" w:line="240" w:lineRule="auto"/>
        <w:jc w:val="both"/>
        <w:rPr>
          <w:b/>
          <w:szCs w:val="20"/>
          <w:lang w:val="es-SV"/>
        </w:rPr>
      </w:pPr>
    </w:p>
    <w:p w:rsidR="00E95843" w:rsidRPr="00E95843" w:rsidRDefault="00E95843" w:rsidP="00E95843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rPr>
          <w:b/>
          <w:szCs w:val="20"/>
          <w:lang w:val="es-SV"/>
        </w:rPr>
      </w:pPr>
      <w:r>
        <w:rPr>
          <w:szCs w:val="20"/>
          <w:lang w:val="es-SV"/>
        </w:rPr>
        <w:t>Solicitud de no objeción de parte del Agente Económico (AE) para compartir información con Agencias de Información de Datos (AID), relacionada con datos sobre el historial de crédito de consumidores;</w:t>
      </w:r>
    </w:p>
    <w:p w:rsidR="00E95843" w:rsidRPr="00E95843" w:rsidRDefault="00E95843" w:rsidP="00E95843">
      <w:pPr>
        <w:pStyle w:val="Prrafodelista"/>
        <w:spacing w:after="0" w:line="240" w:lineRule="auto"/>
        <w:ind w:left="426"/>
        <w:jc w:val="both"/>
        <w:rPr>
          <w:b/>
          <w:szCs w:val="20"/>
          <w:lang w:val="es-SV"/>
        </w:rPr>
      </w:pPr>
    </w:p>
    <w:p w:rsidR="00E95843" w:rsidRPr="00E95843" w:rsidRDefault="00E95843" w:rsidP="00E95843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rPr>
          <w:b/>
          <w:szCs w:val="20"/>
          <w:lang w:val="es-SV"/>
        </w:rPr>
      </w:pPr>
      <w:r>
        <w:rPr>
          <w:szCs w:val="20"/>
          <w:lang w:val="es-SV"/>
        </w:rPr>
        <w:t>Proyecto de contrato a suscribirse entre el AE y la AID (en formato Word), en el que deberá considerarse que la información a compartir será la siguiente, de acuerdo a la NT-01/2012:</w:t>
      </w:r>
    </w:p>
    <w:p w:rsidR="00E95843" w:rsidRPr="00E95843" w:rsidRDefault="00E95843" w:rsidP="00E95843">
      <w:pPr>
        <w:pStyle w:val="Prrafodelista"/>
        <w:rPr>
          <w:b/>
          <w:szCs w:val="20"/>
          <w:lang w:val="es-SV"/>
        </w:rPr>
      </w:pPr>
    </w:p>
    <w:p w:rsidR="00E95843" w:rsidRDefault="00E95843" w:rsidP="00A51986">
      <w:pPr>
        <w:pStyle w:val="Prrafodelista"/>
        <w:numPr>
          <w:ilvl w:val="1"/>
          <w:numId w:val="9"/>
        </w:numPr>
        <w:spacing w:after="0" w:line="240" w:lineRule="auto"/>
        <w:jc w:val="both"/>
      </w:pPr>
      <w:r w:rsidRPr="002D18BE">
        <w:t>Los datos personales que podrán ser solicitados por un AE a sus  consumidores o clientes, para efectos de elaborar el historial de crédito, son los siguientes:</w:t>
      </w:r>
    </w:p>
    <w:p w:rsidR="00E95843" w:rsidRPr="002D18BE" w:rsidRDefault="00E95843" w:rsidP="00E95843">
      <w:pPr>
        <w:pStyle w:val="Prrafodelista"/>
        <w:spacing w:after="0" w:line="240" w:lineRule="auto"/>
        <w:ind w:left="792"/>
        <w:jc w:val="both"/>
      </w:pPr>
    </w:p>
    <w:p w:rsidR="00E95843" w:rsidRPr="002D18BE" w:rsidRDefault="00E95843" w:rsidP="00A519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2D18BE">
        <w:lastRenderedPageBreak/>
        <w:t>Nom</w:t>
      </w:r>
      <w:r>
        <w:t>bres o razón social;</w:t>
      </w:r>
    </w:p>
    <w:p w:rsidR="00E95843" w:rsidRPr="002D18BE" w:rsidRDefault="00E95843" w:rsidP="00A519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Primer apellido;</w:t>
      </w:r>
    </w:p>
    <w:p w:rsidR="00E95843" w:rsidRPr="002D18BE" w:rsidRDefault="00E95843" w:rsidP="00A519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Segundo apellido;</w:t>
      </w:r>
    </w:p>
    <w:p w:rsidR="00E95843" w:rsidRPr="002D18BE" w:rsidRDefault="00E95843" w:rsidP="00A519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Apellido de casada;</w:t>
      </w:r>
    </w:p>
    <w:p w:rsidR="00E95843" w:rsidRPr="002D18BE" w:rsidRDefault="00E95843" w:rsidP="00A519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Sexo;</w:t>
      </w:r>
    </w:p>
    <w:p w:rsidR="00E95843" w:rsidRPr="002D18BE" w:rsidRDefault="00E95843" w:rsidP="00A519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2D18BE">
        <w:t>Número de Documento Único de Identidad (DUI), o documento válido en caso de ser extranjero (P</w:t>
      </w:r>
      <w:r>
        <w:t>asaporte o carnet de residente);</w:t>
      </w:r>
    </w:p>
    <w:p w:rsidR="00E95843" w:rsidRPr="002D18BE" w:rsidRDefault="00E95843" w:rsidP="00A519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2D18BE">
        <w:t xml:space="preserve">Número de </w:t>
      </w:r>
      <w:r>
        <w:t>Identificación Tributaria (NIT);</w:t>
      </w:r>
    </w:p>
    <w:p w:rsidR="00E95843" w:rsidRPr="002D18BE" w:rsidRDefault="00E95843" w:rsidP="00A519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2D18BE">
        <w:t>Fecha de nacimiento o</w:t>
      </w:r>
      <w:r>
        <w:t xml:space="preserve"> de constitución de la sociedad;</w:t>
      </w:r>
    </w:p>
    <w:p w:rsidR="00E95843" w:rsidRPr="002D18BE" w:rsidRDefault="00E95843" w:rsidP="00A519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2D18BE">
        <w:t xml:space="preserve">Tipo </w:t>
      </w:r>
      <w:r>
        <w:t>de persona, natural o jurídica;</w:t>
      </w:r>
    </w:p>
    <w:p w:rsidR="00E95843" w:rsidRPr="002D18BE" w:rsidRDefault="00E95843" w:rsidP="00A519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2D18BE">
        <w:t>Tipo de deudor (Ejemplo: principal, codeudor, fiador o avalista)</w:t>
      </w:r>
      <w:r>
        <w:t>;</w:t>
      </w:r>
      <w:r w:rsidRPr="002D18BE">
        <w:t xml:space="preserve"> y</w:t>
      </w:r>
    </w:p>
    <w:p w:rsidR="00E95843" w:rsidRPr="00430CDA" w:rsidRDefault="00E95843" w:rsidP="00A519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2D18BE">
        <w:t>Giro o actividad económica</w:t>
      </w:r>
      <w:r>
        <w:t>.</w:t>
      </w:r>
    </w:p>
    <w:p w:rsidR="00E95843" w:rsidRDefault="00E95843" w:rsidP="00E95843">
      <w:pPr>
        <w:pStyle w:val="Prrafodelista"/>
        <w:spacing w:after="0" w:line="240" w:lineRule="auto"/>
        <w:ind w:left="0"/>
        <w:jc w:val="both"/>
        <w:rPr>
          <w:b/>
          <w:szCs w:val="20"/>
          <w:lang w:val="es-SV"/>
        </w:rPr>
      </w:pPr>
    </w:p>
    <w:p w:rsidR="00E95843" w:rsidRPr="00430CDA" w:rsidRDefault="00E95843" w:rsidP="00E95843">
      <w:pPr>
        <w:pStyle w:val="Prrafodelista"/>
        <w:spacing w:after="0" w:line="240" w:lineRule="auto"/>
        <w:ind w:left="360"/>
        <w:jc w:val="both"/>
      </w:pPr>
      <w:r>
        <w:t xml:space="preserve">Lo anterior </w:t>
      </w:r>
      <w:r w:rsidRPr="0030561B">
        <w:t>sin perjuicio de la información que los AE, deben solicitar a efectos de sus respectivos análisis de riesgos, estudios y conocimiento del cliente para el otorgamiento del crédito; así como los requerimientos de información que dispongan otras normas o leyes.</w:t>
      </w:r>
    </w:p>
    <w:p w:rsidR="00E95843" w:rsidRDefault="00E95843" w:rsidP="00E95843">
      <w:pPr>
        <w:spacing w:after="0" w:line="240" w:lineRule="auto"/>
        <w:jc w:val="both"/>
      </w:pPr>
    </w:p>
    <w:p w:rsidR="00E95843" w:rsidRDefault="00E95843" w:rsidP="00A51986">
      <w:pPr>
        <w:pStyle w:val="Prrafodelista"/>
        <w:numPr>
          <w:ilvl w:val="1"/>
          <w:numId w:val="9"/>
        </w:numPr>
        <w:spacing w:after="0" w:line="240" w:lineRule="auto"/>
        <w:jc w:val="both"/>
      </w:pPr>
      <w:r>
        <w:t xml:space="preserve">En adición a lo anterior, </w:t>
      </w:r>
      <w:r w:rsidRPr="00574471">
        <w:t>podrán compartir los datos de las obligaciones de los consumidores o clientes que los AE posean, siguientes:</w:t>
      </w:r>
    </w:p>
    <w:p w:rsidR="00E95843" w:rsidRDefault="00E95843" w:rsidP="00E95843">
      <w:pPr>
        <w:pStyle w:val="Prrafodelista"/>
        <w:spacing w:after="0" w:line="240" w:lineRule="auto"/>
        <w:ind w:left="792"/>
        <w:jc w:val="both"/>
      </w:pP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Tipo de crédito u obligación que reporta:</w:t>
      </w:r>
    </w:p>
    <w:p w:rsidR="00E95843" w:rsidRPr="00574471" w:rsidRDefault="00E95843" w:rsidP="00E95843">
      <w:pPr>
        <w:pStyle w:val="Prrafodelista"/>
        <w:numPr>
          <w:ilvl w:val="1"/>
          <w:numId w:val="4"/>
        </w:numPr>
        <w:spacing w:after="0" w:line="240" w:lineRule="auto"/>
        <w:ind w:left="1560" w:hanging="426"/>
        <w:jc w:val="both"/>
      </w:pPr>
      <w:r>
        <w:t>Tarjeta de crédito comercial;</w:t>
      </w:r>
    </w:p>
    <w:p w:rsidR="00E95843" w:rsidRPr="00574471" w:rsidRDefault="00E95843" w:rsidP="00E95843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>
        <w:t>Tarjeta de crédito bancaria;</w:t>
      </w:r>
    </w:p>
    <w:p w:rsidR="00E95843" w:rsidRPr="00574471" w:rsidRDefault="00E95843" w:rsidP="00E95843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>
        <w:t>Crédito comercial;</w:t>
      </w:r>
    </w:p>
    <w:p w:rsidR="00E95843" w:rsidRPr="00574471" w:rsidRDefault="00E95843" w:rsidP="00E95843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 w:rsidRPr="00574471">
        <w:t>C</w:t>
      </w:r>
      <w:r>
        <w:t>rédito a plazo, contado 30 días;</w:t>
      </w:r>
      <w:r w:rsidRPr="00574471">
        <w:t xml:space="preserve"> </w:t>
      </w:r>
    </w:p>
    <w:p w:rsidR="00E95843" w:rsidRPr="00574471" w:rsidRDefault="00E95843" w:rsidP="00E95843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>
        <w:t>Crédito bancario decreciente;</w:t>
      </w:r>
    </w:p>
    <w:p w:rsidR="00E95843" w:rsidRPr="00574471" w:rsidRDefault="00E95843" w:rsidP="00E95843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>
        <w:t>Crédito bancario rotativo;</w:t>
      </w:r>
    </w:p>
    <w:p w:rsidR="00E95843" w:rsidRPr="00574471" w:rsidRDefault="00E95843" w:rsidP="00E95843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>
        <w:t>Crédito hipotecario;</w:t>
      </w:r>
    </w:p>
    <w:p w:rsidR="00E95843" w:rsidRPr="00574471" w:rsidRDefault="00E95843" w:rsidP="00E95843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>
        <w:t>Crédito personal;</w:t>
      </w:r>
    </w:p>
    <w:p w:rsidR="00E95843" w:rsidRPr="00574471" w:rsidRDefault="00E95843" w:rsidP="00E95843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 w:rsidRPr="00574471">
        <w:t>Crédito de consumo</w:t>
      </w:r>
      <w:r>
        <w:t>;</w:t>
      </w:r>
      <w:r w:rsidRPr="00574471">
        <w:t xml:space="preserve"> y</w:t>
      </w:r>
    </w:p>
    <w:p w:rsidR="00E95843" w:rsidRDefault="00E95843" w:rsidP="00E95843">
      <w:pPr>
        <w:numPr>
          <w:ilvl w:val="1"/>
          <w:numId w:val="4"/>
        </w:numPr>
        <w:spacing w:after="0" w:line="240" w:lineRule="auto"/>
        <w:ind w:left="1560" w:hanging="426"/>
        <w:jc w:val="both"/>
      </w:pPr>
      <w:r w:rsidRPr="00574471">
        <w:t>Otros (Especificar)</w:t>
      </w:r>
      <w:r>
        <w:t>.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Tipo de moneda del crédito</w:t>
      </w:r>
      <w:r>
        <w:t>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Monto o límite del crédito</w:t>
      </w:r>
      <w:r>
        <w:t>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Fecha de otorgamiento</w:t>
      </w:r>
      <w:r>
        <w:t>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>
        <w:t>Plazo;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Fecha de cancelación</w:t>
      </w:r>
      <w:r>
        <w:t>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Saldo total</w:t>
      </w:r>
      <w:r>
        <w:t>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Número de referencia</w:t>
      </w:r>
      <w:r>
        <w:t>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Fecha de vencimiento</w:t>
      </w:r>
      <w:r>
        <w:t>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Forma de pago (mensual, catorcenal, semanal, otras)</w:t>
      </w:r>
      <w:r>
        <w:t>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Valor de la cuota</w:t>
      </w:r>
      <w:r>
        <w:t>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Número de cuotas</w:t>
      </w:r>
      <w:r>
        <w:t>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Días mora del cliente (antigüedad de la mora)</w:t>
      </w:r>
      <w:r>
        <w:t>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Fecha inicio mora</w:t>
      </w:r>
      <w:r>
        <w:t>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Calificación del deudor o categoría de riesgo (calificaciones objetivas o técnicas)</w:t>
      </w:r>
      <w:r>
        <w:t>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Saldo en m</w:t>
      </w:r>
      <w:r>
        <w:t>ora;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Saldo mora c</w:t>
      </w:r>
      <w:r>
        <w:t>apital;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lastRenderedPageBreak/>
        <w:t>Saldo mora i</w:t>
      </w:r>
      <w:r>
        <w:t>nterés;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Saldo v</w:t>
      </w:r>
      <w:r>
        <w:t>encido;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Saldo vencido c</w:t>
      </w:r>
      <w:r>
        <w:t>apital;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Saldo vencido i</w:t>
      </w:r>
      <w:r>
        <w:t>nterés;</w:t>
      </w:r>
      <w:r w:rsidRPr="00574471">
        <w:t xml:space="preserve"> 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Fecha de ultimo pago</w:t>
      </w:r>
      <w:r>
        <w:t>;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>
        <w:t>Fecha de dato negativo;</w:t>
      </w:r>
      <w:r w:rsidRPr="00574471">
        <w:t xml:space="preserve"> </w:t>
      </w:r>
    </w:p>
    <w:p w:rsidR="00E95843" w:rsidRPr="00574471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Tipo de garantía (Ejemplo: hipotecaria, p</w:t>
      </w:r>
      <w:r>
        <w:t>rendaria o personal);</w:t>
      </w:r>
      <w:r w:rsidRPr="00574471">
        <w:t xml:space="preserve"> y</w:t>
      </w:r>
    </w:p>
    <w:p w:rsidR="00E95843" w:rsidRDefault="00E95843" w:rsidP="00A5198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574471">
        <w:t>Nombre de la entidad que otorgo el crédito.</w:t>
      </w:r>
    </w:p>
    <w:p w:rsidR="00E95843" w:rsidRDefault="00E95843" w:rsidP="00E95843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</w:pPr>
    </w:p>
    <w:p w:rsidR="00E95843" w:rsidRPr="00E95843" w:rsidRDefault="00E95843" w:rsidP="00E95843">
      <w:pPr>
        <w:spacing w:after="0" w:line="240" w:lineRule="auto"/>
        <w:jc w:val="both"/>
        <w:rPr>
          <w:b/>
          <w:szCs w:val="20"/>
          <w:lang w:val="es-SV"/>
        </w:rPr>
      </w:pPr>
      <w:r w:rsidRPr="00430CDA">
        <w:t xml:space="preserve">Debe considerarse lo dispuesto en los artículos 123 de la Ley de Bancos Cooperativos y Sociedades de Ahorro y Crédito y artículo 232 de la Ley de Bancos, en cuanto a </w:t>
      </w:r>
      <w:r>
        <w:t>la información sujeta a reserva; y</w:t>
      </w:r>
    </w:p>
    <w:p w:rsidR="00E95843" w:rsidRPr="00E95843" w:rsidRDefault="00E95843" w:rsidP="00E95843">
      <w:pPr>
        <w:spacing w:after="0" w:line="240" w:lineRule="auto"/>
        <w:jc w:val="both"/>
        <w:rPr>
          <w:b/>
          <w:szCs w:val="20"/>
          <w:lang w:val="es-SV"/>
        </w:rPr>
      </w:pPr>
    </w:p>
    <w:p w:rsidR="00E95843" w:rsidRPr="00E95843" w:rsidRDefault="00E95843" w:rsidP="00E95843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0"/>
          <w:lang w:val="es-SV"/>
        </w:rPr>
      </w:pPr>
      <w:r w:rsidRPr="00E95843">
        <w:rPr>
          <w:szCs w:val="20"/>
          <w:lang w:val="es-SV"/>
        </w:rPr>
        <w:t>Anexar el Modelo de Contrato vigente depositado por la AID en esta Superintendencia</w:t>
      </w:r>
      <w:r>
        <w:rPr>
          <w:szCs w:val="20"/>
          <w:lang w:val="es-SV"/>
        </w:rPr>
        <w:t>.</w:t>
      </w:r>
    </w:p>
    <w:sectPr w:rsidR="00E95843" w:rsidRPr="00E95843" w:rsidSect="006B687E">
      <w:headerReference w:type="default" r:id="rId8"/>
      <w:footerReference w:type="default" r:id="rId9"/>
      <w:pgSz w:w="11906" w:h="16838"/>
      <w:pgMar w:top="2268" w:right="1701" w:bottom="1417" w:left="1701" w:header="851" w:footer="6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92" w:rsidRDefault="00F73592" w:rsidP="00BB082E">
      <w:pPr>
        <w:spacing w:after="0" w:line="240" w:lineRule="auto"/>
      </w:pPr>
      <w:r>
        <w:separator/>
      </w:r>
    </w:p>
  </w:endnote>
  <w:endnote w:type="continuationSeparator" w:id="0">
    <w:p w:rsidR="00F73592" w:rsidRDefault="00F73592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0413E8" w:rsidRDefault="0087187B" w:rsidP="008D128F">
        <w:pPr>
          <w:pStyle w:val="Piedepgina"/>
          <w:jc w:val="right"/>
        </w:pPr>
        <w:fldSimple w:instr=" PAGE   \* MERGEFORMAT ">
          <w:r w:rsidR="0077684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92" w:rsidRDefault="00F73592" w:rsidP="00BB082E">
      <w:pPr>
        <w:spacing w:after="0" w:line="240" w:lineRule="auto"/>
      </w:pPr>
      <w:r>
        <w:separator/>
      </w:r>
    </w:p>
  </w:footnote>
  <w:footnote w:type="continuationSeparator" w:id="0">
    <w:p w:rsidR="00F73592" w:rsidRDefault="00F73592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E8" w:rsidRPr="00A008DB" w:rsidRDefault="000413E8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2777490</wp:posOffset>
          </wp:positionH>
          <wp:positionV relativeFrom="paragraph">
            <wp:posOffset>-125730</wp:posOffset>
          </wp:positionV>
          <wp:extent cx="3098165" cy="733425"/>
          <wp:effectExtent l="19050" t="0" r="6985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08DB">
      <w:rPr>
        <w:b/>
        <w:sz w:val="24"/>
      </w:rPr>
      <w:t>BCF-0</w:t>
    </w:r>
    <w:r>
      <w:rPr>
        <w:b/>
        <w:sz w:val="24"/>
      </w:rPr>
      <w:t>24</w:t>
    </w:r>
  </w:p>
  <w:p w:rsidR="000413E8" w:rsidRDefault="000413E8">
    <w:pPr>
      <w:pStyle w:val="Encabezado"/>
      <w:rPr>
        <w:b/>
        <w:sz w:val="24"/>
      </w:rPr>
    </w:pPr>
    <w:r>
      <w:rPr>
        <w:b/>
        <w:sz w:val="24"/>
      </w:rPr>
      <w:t>Autorización intercambio de información</w:t>
    </w:r>
  </w:p>
  <w:p w:rsidR="000413E8" w:rsidRPr="00A008DB" w:rsidRDefault="000413E8">
    <w:pPr>
      <w:pStyle w:val="Encabezado"/>
      <w:rPr>
        <w:b/>
        <w:sz w:val="24"/>
      </w:rPr>
    </w:pPr>
    <w:r>
      <w:rPr>
        <w:b/>
        <w:sz w:val="24"/>
      </w:rPr>
      <w:t>Con burós de créditos.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5A1"/>
    <w:multiLevelType w:val="hybridMultilevel"/>
    <w:tmpl w:val="D3365144"/>
    <w:lvl w:ilvl="0" w:tplc="E6FE53F2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4A537E7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120804"/>
    <w:multiLevelType w:val="hybridMultilevel"/>
    <w:tmpl w:val="51F4685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700A"/>
    <w:multiLevelType w:val="hybridMultilevel"/>
    <w:tmpl w:val="F77A90B8"/>
    <w:lvl w:ilvl="0" w:tplc="40C67A5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10A0B"/>
    <w:multiLevelType w:val="hybridMultilevel"/>
    <w:tmpl w:val="98244C2C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4A4A"/>
    <w:multiLevelType w:val="multilevel"/>
    <w:tmpl w:val="C7A80BAE"/>
    <w:lvl w:ilvl="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6">
    <w:nsid w:val="55D503B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7E6852"/>
    <w:multiLevelType w:val="multilevel"/>
    <w:tmpl w:val="F3C8CABA"/>
    <w:lvl w:ilvl="0">
      <w:start w:val="1"/>
      <w:numFmt w:val="lowerLetter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8">
    <w:nsid w:val="699309A7"/>
    <w:multiLevelType w:val="hybridMultilevel"/>
    <w:tmpl w:val="9A7AB5E8"/>
    <w:lvl w:ilvl="0" w:tplc="E966B3F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15E2EADE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74FAC"/>
    <w:multiLevelType w:val="hybridMultilevel"/>
    <w:tmpl w:val="9C60A62A"/>
    <w:lvl w:ilvl="0" w:tplc="7C14AF18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31A4D"/>
    <w:multiLevelType w:val="multilevel"/>
    <w:tmpl w:val="84F670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413E8"/>
    <w:rsid w:val="00055C9E"/>
    <w:rsid w:val="0005646B"/>
    <w:rsid w:val="000674D9"/>
    <w:rsid w:val="00072FCE"/>
    <w:rsid w:val="00073096"/>
    <w:rsid w:val="00073C5C"/>
    <w:rsid w:val="00090E1F"/>
    <w:rsid w:val="00095B89"/>
    <w:rsid w:val="000971CC"/>
    <w:rsid w:val="000B2ADA"/>
    <w:rsid w:val="000D0938"/>
    <w:rsid w:val="000D1183"/>
    <w:rsid w:val="000D7473"/>
    <w:rsid w:val="000E30FE"/>
    <w:rsid w:val="000E5612"/>
    <w:rsid w:val="000E6763"/>
    <w:rsid w:val="000F1182"/>
    <w:rsid w:val="000F2BA6"/>
    <w:rsid w:val="000F4328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53EED"/>
    <w:rsid w:val="00154CC5"/>
    <w:rsid w:val="0016060A"/>
    <w:rsid w:val="00163375"/>
    <w:rsid w:val="00166F7F"/>
    <w:rsid w:val="001711F2"/>
    <w:rsid w:val="00176838"/>
    <w:rsid w:val="00176D83"/>
    <w:rsid w:val="0018350E"/>
    <w:rsid w:val="00192369"/>
    <w:rsid w:val="00193D0B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579B1"/>
    <w:rsid w:val="00262DE5"/>
    <w:rsid w:val="00264170"/>
    <w:rsid w:val="00265AC5"/>
    <w:rsid w:val="002711D2"/>
    <w:rsid w:val="0028266B"/>
    <w:rsid w:val="00282EF5"/>
    <w:rsid w:val="002862BF"/>
    <w:rsid w:val="00295085"/>
    <w:rsid w:val="002A066D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C4D13"/>
    <w:rsid w:val="002E274F"/>
    <w:rsid w:val="002E5384"/>
    <w:rsid w:val="002F23F5"/>
    <w:rsid w:val="002F60C6"/>
    <w:rsid w:val="002F6367"/>
    <w:rsid w:val="002F7148"/>
    <w:rsid w:val="0030068C"/>
    <w:rsid w:val="00304350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4E60"/>
    <w:rsid w:val="00360981"/>
    <w:rsid w:val="00361840"/>
    <w:rsid w:val="0037628E"/>
    <w:rsid w:val="00386C1F"/>
    <w:rsid w:val="0039143C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358C3"/>
    <w:rsid w:val="00441BC4"/>
    <w:rsid w:val="00442FD5"/>
    <w:rsid w:val="004500B5"/>
    <w:rsid w:val="0046258C"/>
    <w:rsid w:val="00467F5B"/>
    <w:rsid w:val="00473730"/>
    <w:rsid w:val="00480E29"/>
    <w:rsid w:val="004864A9"/>
    <w:rsid w:val="00487F8D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47AB"/>
    <w:rsid w:val="004F5534"/>
    <w:rsid w:val="004F721A"/>
    <w:rsid w:val="0050192A"/>
    <w:rsid w:val="005037CD"/>
    <w:rsid w:val="00504052"/>
    <w:rsid w:val="005049D4"/>
    <w:rsid w:val="00505296"/>
    <w:rsid w:val="005067E2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47D8D"/>
    <w:rsid w:val="005509EA"/>
    <w:rsid w:val="00561EBC"/>
    <w:rsid w:val="005636B8"/>
    <w:rsid w:val="005719A4"/>
    <w:rsid w:val="005729E4"/>
    <w:rsid w:val="00576488"/>
    <w:rsid w:val="005813EB"/>
    <w:rsid w:val="00586589"/>
    <w:rsid w:val="00591F64"/>
    <w:rsid w:val="00596B36"/>
    <w:rsid w:val="005A1212"/>
    <w:rsid w:val="005A2780"/>
    <w:rsid w:val="005A719C"/>
    <w:rsid w:val="005B0A49"/>
    <w:rsid w:val="005B7493"/>
    <w:rsid w:val="005C6990"/>
    <w:rsid w:val="005D0A5E"/>
    <w:rsid w:val="005E25D5"/>
    <w:rsid w:val="005E584E"/>
    <w:rsid w:val="005E6C35"/>
    <w:rsid w:val="005E7D68"/>
    <w:rsid w:val="005F437E"/>
    <w:rsid w:val="00603766"/>
    <w:rsid w:val="00604BA9"/>
    <w:rsid w:val="00622883"/>
    <w:rsid w:val="00622FDC"/>
    <w:rsid w:val="00626395"/>
    <w:rsid w:val="00627646"/>
    <w:rsid w:val="00632313"/>
    <w:rsid w:val="00632C25"/>
    <w:rsid w:val="00635D71"/>
    <w:rsid w:val="006404C6"/>
    <w:rsid w:val="006462C6"/>
    <w:rsid w:val="00652E61"/>
    <w:rsid w:val="006578D6"/>
    <w:rsid w:val="00664C79"/>
    <w:rsid w:val="0066708F"/>
    <w:rsid w:val="00667811"/>
    <w:rsid w:val="00672185"/>
    <w:rsid w:val="00674874"/>
    <w:rsid w:val="00682DDC"/>
    <w:rsid w:val="006B687E"/>
    <w:rsid w:val="006C067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41338"/>
    <w:rsid w:val="00757242"/>
    <w:rsid w:val="0076170A"/>
    <w:rsid w:val="00772D8B"/>
    <w:rsid w:val="00775121"/>
    <w:rsid w:val="00776849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17D25"/>
    <w:rsid w:val="00824FA9"/>
    <w:rsid w:val="00825EA6"/>
    <w:rsid w:val="00830F4A"/>
    <w:rsid w:val="00844C05"/>
    <w:rsid w:val="008513DE"/>
    <w:rsid w:val="00855916"/>
    <w:rsid w:val="00867326"/>
    <w:rsid w:val="0087187B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D49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708FC"/>
    <w:rsid w:val="00974551"/>
    <w:rsid w:val="00983398"/>
    <w:rsid w:val="00993B48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A008DB"/>
    <w:rsid w:val="00A00B5A"/>
    <w:rsid w:val="00A017FE"/>
    <w:rsid w:val="00A357CB"/>
    <w:rsid w:val="00A50432"/>
    <w:rsid w:val="00A51986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5C98"/>
    <w:rsid w:val="00BA10F4"/>
    <w:rsid w:val="00BA42AE"/>
    <w:rsid w:val="00BA4E6F"/>
    <w:rsid w:val="00BA67E5"/>
    <w:rsid w:val="00BB056F"/>
    <w:rsid w:val="00BB082E"/>
    <w:rsid w:val="00BB715F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403BE"/>
    <w:rsid w:val="00C42DE9"/>
    <w:rsid w:val="00C502AD"/>
    <w:rsid w:val="00C509AF"/>
    <w:rsid w:val="00C512C4"/>
    <w:rsid w:val="00C538DA"/>
    <w:rsid w:val="00C5566D"/>
    <w:rsid w:val="00C65626"/>
    <w:rsid w:val="00C6666D"/>
    <w:rsid w:val="00C66F5D"/>
    <w:rsid w:val="00C70A74"/>
    <w:rsid w:val="00C726F4"/>
    <w:rsid w:val="00C73A76"/>
    <w:rsid w:val="00C75097"/>
    <w:rsid w:val="00C940D8"/>
    <w:rsid w:val="00CA03B4"/>
    <w:rsid w:val="00CA6ABC"/>
    <w:rsid w:val="00CB0271"/>
    <w:rsid w:val="00CB7D5F"/>
    <w:rsid w:val="00CC0FF4"/>
    <w:rsid w:val="00CC2A1D"/>
    <w:rsid w:val="00CC6E6E"/>
    <w:rsid w:val="00CD6EF2"/>
    <w:rsid w:val="00CE101A"/>
    <w:rsid w:val="00CE7411"/>
    <w:rsid w:val="00CF5E66"/>
    <w:rsid w:val="00D0115D"/>
    <w:rsid w:val="00D03E56"/>
    <w:rsid w:val="00D04E73"/>
    <w:rsid w:val="00D06C0B"/>
    <w:rsid w:val="00D06D01"/>
    <w:rsid w:val="00D14293"/>
    <w:rsid w:val="00D26966"/>
    <w:rsid w:val="00D31FD3"/>
    <w:rsid w:val="00D32001"/>
    <w:rsid w:val="00D40621"/>
    <w:rsid w:val="00D54BFE"/>
    <w:rsid w:val="00D73932"/>
    <w:rsid w:val="00D759C7"/>
    <w:rsid w:val="00D815AC"/>
    <w:rsid w:val="00D82C25"/>
    <w:rsid w:val="00D83264"/>
    <w:rsid w:val="00D832F3"/>
    <w:rsid w:val="00D854ED"/>
    <w:rsid w:val="00D93EDB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5A74"/>
    <w:rsid w:val="00E47B3B"/>
    <w:rsid w:val="00E55DA7"/>
    <w:rsid w:val="00E631F6"/>
    <w:rsid w:val="00E6663F"/>
    <w:rsid w:val="00E66C31"/>
    <w:rsid w:val="00E72A2F"/>
    <w:rsid w:val="00E72CEC"/>
    <w:rsid w:val="00E77579"/>
    <w:rsid w:val="00E85F58"/>
    <w:rsid w:val="00E92686"/>
    <w:rsid w:val="00E9509F"/>
    <w:rsid w:val="00E95843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2E46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592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C3C52-21BA-4EB7-8DEE-E0EDB487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Javier Alfredo López</cp:lastModifiedBy>
  <cp:revision>3</cp:revision>
  <cp:lastPrinted>2014-09-02T16:41:00Z</cp:lastPrinted>
  <dcterms:created xsi:type="dcterms:W3CDTF">2018-04-13T16:53:00Z</dcterms:created>
  <dcterms:modified xsi:type="dcterms:W3CDTF">2018-04-13T17:49:00Z</dcterms:modified>
</cp:coreProperties>
</file>