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BC71A1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15.75pt;margin-top:8.4pt;width:481.85pt;height:98.1pt;z-index:251658240" arcsize="10923f">
            <v:textbox style="mso-next-textbox:#_x0000_s1026">
              <w:txbxContent>
                <w:p w:rsidR="00F44953" w:rsidRDefault="00F44953" w:rsidP="00625D8B">
                  <w:pPr>
                    <w:spacing w:after="0" w:line="240" w:lineRule="auto"/>
                    <w:ind w:left="2832" w:hanging="2832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="00625D8B">
                    <w:rPr>
                      <w:b/>
                      <w:lang w:val="es-SV"/>
                    </w:rPr>
                    <w:tab/>
                  </w:r>
                  <w:r w:rsidR="00305B75">
                    <w:rPr>
                      <w:b/>
                      <w:lang w:val="es-SV"/>
                    </w:rPr>
                    <w:t>Remisión anual de la declaración jurada de Directores, Gerentes y Ejecutivos con autorización para el otorgamiento de créditos.</w:t>
                  </w:r>
                </w:p>
                <w:p w:rsidR="00305B75" w:rsidRPr="00DA2889" w:rsidRDefault="00305B75" w:rsidP="00DA2889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</w:p>
                <w:p w:rsidR="00F44953" w:rsidRPr="002C3F26" w:rsidRDefault="00F44953" w:rsidP="002C3F26">
                  <w:pPr>
                    <w:spacing w:after="0" w:line="240" w:lineRule="auto"/>
                    <w:ind w:left="2835" w:hanging="2835"/>
                    <w:jc w:val="both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</w:t>
                  </w:r>
                  <w:r w:rsidRPr="002C3F26">
                    <w:rPr>
                      <w:lang w:val="es-SV"/>
                    </w:rPr>
                    <w:t xml:space="preserve">: </w:t>
                  </w:r>
                  <w:r>
                    <w:rPr>
                      <w:lang w:val="es-SV"/>
                    </w:rPr>
                    <w:t xml:space="preserve">           </w:t>
                  </w:r>
                  <w:r w:rsidRPr="00072FCE">
                    <w:rPr>
                      <w:lang w:val="es-SV"/>
                    </w:rPr>
                    <w:t>Bancos</w:t>
                  </w:r>
                  <w:r w:rsidR="002C4D13">
                    <w:rPr>
                      <w:lang w:val="es-SV"/>
                    </w:rPr>
                    <w:t>.</w:t>
                  </w:r>
                </w:p>
                <w:p w:rsidR="00F44953" w:rsidRDefault="00F44953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Fecha de creación:                        </w:t>
                  </w:r>
                  <w:r w:rsidR="00305B75">
                    <w:rPr>
                      <w:lang w:val="es-SV"/>
                    </w:rPr>
                    <w:t>13/11/</w:t>
                  </w:r>
                  <w:r>
                    <w:rPr>
                      <w:lang w:val="es-SV"/>
                    </w:rPr>
                    <w:t>2014</w:t>
                  </w:r>
                </w:p>
                <w:p w:rsidR="00F44953" w:rsidRPr="000D1183" w:rsidRDefault="00F44953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Fecha de última </w:t>
                  </w:r>
                  <w:r w:rsidR="00A008DB">
                    <w:rPr>
                      <w:lang w:val="es-SV"/>
                    </w:rPr>
                    <w:t>actualización:</w:t>
                  </w:r>
                  <w:r w:rsidR="00A008DB">
                    <w:rPr>
                      <w:lang w:val="es-SV"/>
                    </w:rPr>
                    <w:tab/>
                    <w:t xml:space="preserve">30/06/2016, sin modificación </w:t>
                  </w:r>
                  <w:r w:rsidR="00625D8B">
                    <w:rPr>
                      <w:lang w:val="es-SV"/>
                    </w:rPr>
                    <w:t>a la versión de fecha</w:t>
                  </w:r>
                  <w:r w:rsidR="00A008DB">
                    <w:rPr>
                      <w:lang w:val="es-SV"/>
                    </w:rPr>
                    <w:t xml:space="preserve"> </w:t>
                  </w:r>
                  <w:r w:rsidR="00305B75">
                    <w:rPr>
                      <w:lang w:val="es-SV"/>
                    </w:rPr>
                    <w:t>05/01/2015</w:t>
                  </w: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0E6763" w:rsidRDefault="000E6763" w:rsidP="00C538DA">
      <w:pPr>
        <w:tabs>
          <w:tab w:val="left" w:pos="960"/>
        </w:tabs>
        <w:rPr>
          <w:lang w:val="es-SV"/>
        </w:rPr>
      </w:pPr>
    </w:p>
    <w:p w:rsidR="00305B75" w:rsidRDefault="00305B75" w:rsidP="00305B75">
      <w:pPr>
        <w:spacing w:after="0" w:line="240" w:lineRule="auto"/>
        <w:jc w:val="both"/>
        <w:rPr>
          <w:b/>
          <w:lang w:val="es-SV"/>
        </w:rPr>
      </w:pPr>
    </w:p>
    <w:p w:rsidR="00625D8B" w:rsidRDefault="00625D8B" w:rsidP="00305B75">
      <w:pPr>
        <w:spacing w:after="0" w:line="240" w:lineRule="auto"/>
        <w:jc w:val="both"/>
        <w:rPr>
          <w:b/>
          <w:lang w:val="es-SV"/>
        </w:rPr>
      </w:pPr>
    </w:p>
    <w:p w:rsidR="00305B75" w:rsidRDefault="00305B75" w:rsidP="00305B75">
      <w:pPr>
        <w:spacing w:after="0" w:line="240" w:lineRule="auto"/>
        <w:jc w:val="both"/>
        <w:rPr>
          <w:b/>
          <w:lang w:val="es-SV"/>
        </w:rPr>
      </w:pPr>
      <w:r w:rsidRPr="00C1238A">
        <w:rPr>
          <w:b/>
          <w:lang w:val="es-SV"/>
        </w:rPr>
        <w:t>Sujetos a que aplica el trámite específico:</w:t>
      </w:r>
      <w:r>
        <w:rPr>
          <w:b/>
          <w:lang w:val="es-SV"/>
        </w:rPr>
        <w:t xml:space="preserve"> </w:t>
      </w:r>
    </w:p>
    <w:p w:rsidR="00305B75" w:rsidRDefault="00305B75" w:rsidP="00305B75">
      <w:pPr>
        <w:spacing w:after="0" w:line="240" w:lineRule="auto"/>
        <w:jc w:val="both"/>
        <w:rPr>
          <w:lang w:val="es-SV"/>
        </w:rPr>
      </w:pPr>
      <w:r>
        <w:rPr>
          <w:lang w:val="es-SV"/>
        </w:rPr>
        <w:t>Los directores, directores Ejecutivos, Gerentes y</w:t>
      </w:r>
      <w:r w:rsidRPr="0089736A">
        <w:t xml:space="preserve"> </w:t>
      </w:r>
      <w:r>
        <w:t>l</w:t>
      </w:r>
      <w:r w:rsidRPr="0089736A">
        <w:rPr>
          <w:lang w:val="es-SV"/>
        </w:rPr>
        <w:t>os ejecutivos que tengan autorización para decidir sobre la concesión de créditos.</w:t>
      </w:r>
      <w:r>
        <w:rPr>
          <w:lang w:val="es-SV"/>
        </w:rPr>
        <w:t xml:space="preserve"> Se aplicará también a los representantes, administradores o directores de instituciones extranjeras que operan en el país, lo mismo que a sus funcionarios autorizados par</w:t>
      </w:r>
      <w:r w:rsidRPr="00715962">
        <w:rPr>
          <w:lang w:val="es-SV"/>
        </w:rPr>
        <w:t>a</w:t>
      </w:r>
      <w:r>
        <w:rPr>
          <w:lang w:val="es-SV"/>
        </w:rPr>
        <w:t xml:space="preserve"> decidir sobre la concesión  de créditos.</w:t>
      </w:r>
    </w:p>
    <w:p w:rsidR="00305B75" w:rsidRDefault="00305B75" w:rsidP="00305B75">
      <w:pPr>
        <w:spacing w:after="0" w:line="240" w:lineRule="auto"/>
        <w:jc w:val="both"/>
        <w:rPr>
          <w:lang w:val="es-SV"/>
        </w:rPr>
      </w:pPr>
    </w:p>
    <w:p w:rsidR="00305B75" w:rsidRPr="00C874B8" w:rsidRDefault="00305B75" w:rsidP="00305B75">
      <w:pPr>
        <w:spacing w:after="0" w:line="240" w:lineRule="auto"/>
        <w:jc w:val="both"/>
        <w:rPr>
          <w:b/>
          <w:szCs w:val="20"/>
          <w:lang w:val="es-SV"/>
        </w:rPr>
      </w:pPr>
      <w:r w:rsidRPr="00C874B8">
        <w:rPr>
          <w:b/>
          <w:szCs w:val="20"/>
          <w:lang w:val="es-SV"/>
        </w:rPr>
        <w:t xml:space="preserve">Base Legal: </w:t>
      </w:r>
    </w:p>
    <w:p w:rsidR="00305B75" w:rsidRPr="00C874B8" w:rsidRDefault="00305B75" w:rsidP="00305B75">
      <w:pPr>
        <w:spacing w:after="0" w:line="240" w:lineRule="auto"/>
        <w:jc w:val="both"/>
        <w:rPr>
          <w:b/>
          <w:szCs w:val="20"/>
          <w:lang w:val="es-SV"/>
        </w:rPr>
      </w:pPr>
    </w:p>
    <w:p w:rsidR="00305B75" w:rsidRPr="00C874B8" w:rsidRDefault="00305B75" w:rsidP="000277F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Cs w:val="20"/>
          <w:lang w:val="es-SV"/>
        </w:rPr>
      </w:pPr>
      <w:r w:rsidRPr="00C874B8">
        <w:t xml:space="preserve">Ley de Bancos: </w:t>
      </w:r>
      <w:r w:rsidRPr="00C874B8">
        <w:rPr>
          <w:szCs w:val="20"/>
          <w:lang w:val="es-SV"/>
        </w:rPr>
        <w:t xml:space="preserve">Artículos  </w:t>
      </w:r>
      <w:r>
        <w:rPr>
          <w:szCs w:val="20"/>
          <w:lang w:val="es-SV"/>
        </w:rPr>
        <w:t xml:space="preserve">33, 34, </w:t>
      </w:r>
      <w:r w:rsidRPr="00C874B8">
        <w:rPr>
          <w:szCs w:val="20"/>
          <w:lang w:val="es-SV"/>
        </w:rPr>
        <w:t>121</w:t>
      </w:r>
      <w:r>
        <w:rPr>
          <w:szCs w:val="20"/>
          <w:lang w:val="es-SV"/>
        </w:rPr>
        <w:t xml:space="preserve"> y 136</w:t>
      </w:r>
      <w:r w:rsidRPr="00C874B8">
        <w:rPr>
          <w:szCs w:val="20"/>
          <w:lang w:val="es-SV"/>
        </w:rPr>
        <w:t>.</w:t>
      </w:r>
    </w:p>
    <w:p w:rsidR="00305B75" w:rsidRPr="00C61DBD" w:rsidRDefault="00305B75" w:rsidP="000277F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Cs w:val="20"/>
          <w:lang w:val="es-SV"/>
        </w:rPr>
      </w:pPr>
      <w:r w:rsidRPr="00C874B8">
        <w:rPr>
          <w:szCs w:val="20"/>
          <w:lang w:val="es-SV"/>
        </w:rPr>
        <w:t>Art.</w:t>
      </w:r>
      <w:r w:rsidRPr="00C61DBD">
        <w:rPr>
          <w:szCs w:val="20"/>
          <w:lang w:val="es-SV"/>
        </w:rPr>
        <w:t xml:space="preserve"> 15 de la Ley de Bancos Cooperativos y Sociedades de Ahorro y Crédito, que relaciona aplicación a Ley de Bancos.</w:t>
      </w:r>
    </w:p>
    <w:p w:rsidR="00305B75" w:rsidRDefault="00305B75" w:rsidP="00305B75">
      <w:pPr>
        <w:pStyle w:val="Prrafodelista"/>
        <w:spacing w:after="0" w:line="240" w:lineRule="auto"/>
        <w:jc w:val="both"/>
        <w:rPr>
          <w:b/>
          <w:szCs w:val="20"/>
          <w:lang w:val="es-SV"/>
        </w:rPr>
      </w:pPr>
    </w:p>
    <w:p w:rsidR="00305B75" w:rsidRPr="00CE2050" w:rsidRDefault="00305B75" w:rsidP="00305B75">
      <w:pPr>
        <w:spacing w:after="0" w:line="240" w:lineRule="auto"/>
        <w:jc w:val="both"/>
        <w:rPr>
          <w:b/>
          <w:szCs w:val="20"/>
          <w:u w:val="single"/>
          <w:lang w:val="es-SV"/>
        </w:rPr>
      </w:pPr>
      <w:r>
        <w:rPr>
          <w:b/>
          <w:szCs w:val="20"/>
          <w:u w:val="single"/>
          <w:lang w:val="es-SV"/>
        </w:rPr>
        <w:t>Requisitos a presentar:</w:t>
      </w:r>
    </w:p>
    <w:p w:rsidR="00305B75" w:rsidRDefault="00305B75" w:rsidP="00305B75">
      <w:pPr>
        <w:spacing w:after="0" w:line="240" w:lineRule="auto"/>
        <w:jc w:val="both"/>
        <w:rPr>
          <w:lang w:val="es-SV"/>
        </w:rPr>
      </w:pPr>
    </w:p>
    <w:p w:rsidR="00305B75" w:rsidRDefault="00305B75" w:rsidP="000277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Carta de remisión dirigida al Superintendente del Sistema Financiero, adjuntando el detalle de funcionarios y sus declaraciones juradas dentro de los 30 días de haber tomado posesión de su cargo  y en el mes de enero de cada año.</w:t>
      </w:r>
    </w:p>
    <w:bookmarkStart w:id="0" w:name="_MON_1480399445"/>
    <w:bookmarkEnd w:id="0"/>
    <w:p w:rsidR="00305B75" w:rsidRDefault="00305B75" w:rsidP="00305B75">
      <w:pPr>
        <w:pStyle w:val="Prrafodelista"/>
        <w:spacing w:after="0" w:line="240" w:lineRule="auto"/>
        <w:ind w:left="360"/>
        <w:jc w:val="center"/>
        <w:rPr>
          <w:lang w:val="es-SV"/>
        </w:rPr>
      </w:pPr>
      <w:r w:rsidRPr="00180BB0">
        <w:rPr>
          <w:lang w:val="es-SV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1pt;height:50.25pt" o:ole="">
            <v:imagedata r:id="rId8" o:title=""/>
          </v:shape>
          <o:OLEObject Type="Embed" ProgID="Word.Document.12" ShapeID="_x0000_i1025" DrawAspect="Icon" ObjectID="_1528788203" r:id="rId9">
            <o:FieldCodes>\s</o:FieldCodes>
          </o:OLEObject>
        </w:object>
      </w:r>
    </w:p>
    <w:p w:rsidR="00305B75" w:rsidRPr="00ED206D" w:rsidRDefault="00305B75" w:rsidP="000277FE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lang w:val="es-SV"/>
        </w:rPr>
      </w:pPr>
      <w:r w:rsidRPr="00ED206D">
        <w:rPr>
          <w:lang w:val="es-SV"/>
        </w:rPr>
        <w:t>La declaración debe constar expresamente que cumplen los requisitos y que no se encuentra en ninguna de las siguientes condiciones de inhabilidad.</w:t>
      </w:r>
    </w:p>
    <w:p w:rsidR="00305B75" w:rsidRDefault="00305B75" w:rsidP="00305B75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305B75" w:rsidRPr="008C6F8B" w:rsidRDefault="00305B75" w:rsidP="000277FE">
      <w:pPr>
        <w:pStyle w:val="Prrafodelista"/>
        <w:numPr>
          <w:ilvl w:val="0"/>
          <w:numId w:val="3"/>
        </w:numPr>
        <w:spacing w:after="0" w:line="240" w:lineRule="auto"/>
        <w:ind w:left="851" w:hanging="425"/>
        <w:jc w:val="both"/>
        <w:rPr>
          <w:lang w:val="es-SV"/>
        </w:rPr>
      </w:pPr>
      <w:r w:rsidRPr="008C6F8B">
        <w:rPr>
          <w:lang w:val="es-SV"/>
        </w:rPr>
        <w:t>Los que no hubieren cumplido treinta años de edad</w:t>
      </w:r>
      <w:r>
        <w:rPr>
          <w:lang w:val="es-SV"/>
        </w:rPr>
        <w:t xml:space="preserve"> (Solo para l</w:t>
      </w:r>
      <w:r w:rsidRPr="009E700E">
        <w:rPr>
          <w:lang w:val="es-SV"/>
        </w:rPr>
        <w:t>os directores ejecutivos, directores con cargos ejecutivos o los gerentes generales</w:t>
      </w:r>
      <w:r>
        <w:rPr>
          <w:lang w:val="es-SV"/>
        </w:rPr>
        <w:t>)</w:t>
      </w:r>
      <w:r w:rsidRPr="008C6F8B">
        <w:rPr>
          <w:lang w:val="es-SV"/>
        </w:rPr>
        <w:t>;</w:t>
      </w:r>
    </w:p>
    <w:p w:rsidR="00305B75" w:rsidRDefault="00305B75" w:rsidP="00305B75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305B75" w:rsidRPr="00305B75" w:rsidRDefault="00305B75" w:rsidP="000277FE">
      <w:pPr>
        <w:pStyle w:val="Prrafodelista"/>
        <w:numPr>
          <w:ilvl w:val="0"/>
          <w:numId w:val="3"/>
        </w:numPr>
        <w:spacing w:after="0" w:line="240" w:lineRule="auto"/>
        <w:ind w:left="851" w:hanging="425"/>
        <w:jc w:val="both"/>
        <w:rPr>
          <w:lang w:val="es-SV"/>
        </w:rPr>
      </w:pPr>
      <w:r w:rsidRPr="008C6F8B">
        <w:rPr>
          <w:lang w:val="es-SV"/>
        </w:rPr>
        <w:t>Los directores, funcionarios o empleados de cualquier otro banco o institución oficial</w:t>
      </w:r>
      <w:r>
        <w:rPr>
          <w:lang w:val="es-SV"/>
        </w:rPr>
        <w:t xml:space="preserve"> </w:t>
      </w:r>
      <w:r w:rsidRPr="00305B75">
        <w:rPr>
          <w:lang w:val="es-SV"/>
        </w:rPr>
        <w:t>de crédito. Se exceptúan de lo dispuesto en este literal los casos contemplados en el</w:t>
      </w:r>
      <w:r>
        <w:rPr>
          <w:lang w:val="es-SV"/>
        </w:rPr>
        <w:t xml:space="preserve"> </w:t>
      </w:r>
      <w:r w:rsidRPr="00305B75">
        <w:rPr>
          <w:lang w:val="es-SV"/>
        </w:rPr>
        <w:t>Artículo 14 literal d) de la Ley de Creación del Banco Multisectorial de Inversiones y el</w:t>
      </w:r>
      <w:r>
        <w:rPr>
          <w:lang w:val="es-SV"/>
        </w:rPr>
        <w:t xml:space="preserve"> </w:t>
      </w:r>
      <w:r w:rsidRPr="00305B75">
        <w:rPr>
          <w:lang w:val="es-SV"/>
        </w:rPr>
        <w:t>Fondo de Saneamiento y Fortalecimiento Financiero;</w:t>
      </w:r>
    </w:p>
    <w:p w:rsidR="00305B75" w:rsidRDefault="00305B75" w:rsidP="00305B75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305B75" w:rsidRDefault="00305B75" w:rsidP="000277FE">
      <w:pPr>
        <w:pStyle w:val="Prrafodelista"/>
        <w:numPr>
          <w:ilvl w:val="0"/>
          <w:numId w:val="3"/>
        </w:numPr>
        <w:spacing w:after="0" w:line="240" w:lineRule="auto"/>
        <w:ind w:left="851" w:hanging="425"/>
        <w:jc w:val="both"/>
        <w:rPr>
          <w:lang w:val="es-SV"/>
        </w:rPr>
      </w:pPr>
      <w:r w:rsidRPr="008C6F8B">
        <w:rPr>
          <w:lang w:val="es-SV"/>
        </w:rPr>
        <w:t>Los que sean deudores del banco de que se trate, excepto cuando su deuda haya</w:t>
      </w:r>
      <w:r>
        <w:rPr>
          <w:lang w:val="es-SV"/>
        </w:rPr>
        <w:t xml:space="preserve"> </w:t>
      </w:r>
      <w:r w:rsidRPr="008C6F8B">
        <w:rPr>
          <w:lang w:val="es-SV"/>
        </w:rPr>
        <w:t>sido autorizada de acuerdo con lo dispuesto en el Artículo 204 de esta Ley;</w:t>
      </w:r>
    </w:p>
    <w:p w:rsidR="00305B75" w:rsidRPr="00305B75" w:rsidRDefault="00305B75" w:rsidP="00305B75">
      <w:pPr>
        <w:pStyle w:val="Prrafodelista"/>
        <w:rPr>
          <w:lang w:val="es-SV"/>
        </w:rPr>
      </w:pPr>
    </w:p>
    <w:p w:rsidR="00305B75" w:rsidRDefault="00305B75" w:rsidP="000277FE">
      <w:pPr>
        <w:pStyle w:val="Prrafodelista"/>
        <w:numPr>
          <w:ilvl w:val="0"/>
          <w:numId w:val="3"/>
        </w:numPr>
        <w:spacing w:after="0" w:line="240" w:lineRule="auto"/>
        <w:ind w:left="851" w:hanging="425"/>
        <w:jc w:val="both"/>
        <w:rPr>
          <w:lang w:val="es-SV"/>
        </w:rPr>
      </w:pPr>
      <w:r w:rsidRPr="008C6F8B">
        <w:rPr>
          <w:lang w:val="es-SV"/>
        </w:rPr>
        <w:lastRenderedPageBreak/>
        <w:t>Los que se encuentren en estado de quiebra, suspensión de pagos o concurso de</w:t>
      </w:r>
      <w:r>
        <w:rPr>
          <w:lang w:val="es-SV"/>
        </w:rPr>
        <w:t xml:space="preserve"> </w:t>
      </w:r>
      <w:r w:rsidRPr="008C6F8B">
        <w:rPr>
          <w:lang w:val="es-SV"/>
        </w:rPr>
        <w:t>acreedores y en ningún caso quienes hubieren sido calificados judicialmente como</w:t>
      </w:r>
      <w:r>
        <w:rPr>
          <w:lang w:val="es-SV"/>
        </w:rPr>
        <w:t xml:space="preserve"> </w:t>
      </w:r>
      <w:r w:rsidRPr="008C6F8B">
        <w:rPr>
          <w:lang w:val="es-SV"/>
        </w:rPr>
        <w:t>responsable de una quiebra culposa o dolosa;</w:t>
      </w:r>
    </w:p>
    <w:p w:rsidR="00305B75" w:rsidRDefault="00305B75" w:rsidP="000277FE">
      <w:pPr>
        <w:pStyle w:val="Prrafodelista"/>
        <w:numPr>
          <w:ilvl w:val="0"/>
          <w:numId w:val="3"/>
        </w:numPr>
        <w:spacing w:after="0" w:line="240" w:lineRule="auto"/>
        <w:ind w:left="851" w:hanging="425"/>
        <w:jc w:val="both"/>
        <w:rPr>
          <w:lang w:val="es-SV"/>
        </w:rPr>
      </w:pPr>
      <w:r w:rsidRPr="008C6F8B">
        <w:rPr>
          <w:lang w:val="es-SV"/>
        </w:rPr>
        <w:t>Los deudores del sistema financiero salvadoreño por créditos a los que se les haya</w:t>
      </w:r>
      <w:r>
        <w:rPr>
          <w:lang w:val="es-SV"/>
        </w:rPr>
        <w:t xml:space="preserve"> </w:t>
      </w:r>
      <w:r w:rsidRPr="008C6F8B">
        <w:rPr>
          <w:lang w:val="es-SV"/>
        </w:rPr>
        <w:t>requerido una reserva de saneamiento del cincuenta por ciento o más del saldo.</w:t>
      </w:r>
      <w:r>
        <w:rPr>
          <w:lang w:val="es-SV"/>
        </w:rPr>
        <w:t xml:space="preserve"> </w:t>
      </w:r>
      <w:r w:rsidRPr="008C6F8B">
        <w:rPr>
          <w:lang w:val="es-SV"/>
        </w:rPr>
        <w:t>Esta inhabilidad será aplicable también a aquellos directores que posean el veinticinco</w:t>
      </w:r>
      <w:r>
        <w:rPr>
          <w:lang w:val="es-SV"/>
        </w:rPr>
        <w:t xml:space="preserve"> </w:t>
      </w:r>
      <w:r w:rsidRPr="008C6F8B">
        <w:rPr>
          <w:lang w:val="es-SV"/>
        </w:rPr>
        <w:t>por ciento o más de las acciones de sociedades que se encuentren en la situación</w:t>
      </w:r>
      <w:r>
        <w:rPr>
          <w:lang w:val="es-SV"/>
        </w:rPr>
        <w:t xml:space="preserve"> </w:t>
      </w:r>
      <w:r w:rsidRPr="008C6F8B">
        <w:rPr>
          <w:lang w:val="es-SV"/>
        </w:rPr>
        <w:t>antes mencionada;</w:t>
      </w:r>
    </w:p>
    <w:p w:rsidR="00305B75" w:rsidRDefault="00305B75" w:rsidP="00305B75">
      <w:pPr>
        <w:pStyle w:val="Prrafodelista"/>
        <w:spacing w:after="0" w:line="240" w:lineRule="auto"/>
        <w:ind w:left="851"/>
        <w:jc w:val="both"/>
        <w:rPr>
          <w:lang w:val="es-SV"/>
        </w:rPr>
      </w:pPr>
    </w:p>
    <w:p w:rsidR="00305B75" w:rsidRDefault="00305B75" w:rsidP="000277FE">
      <w:pPr>
        <w:pStyle w:val="Prrafodelista"/>
        <w:numPr>
          <w:ilvl w:val="0"/>
          <w:numId w:val="3"/>
        </w:numPr>
        <w:spacing w:after="0" w:line="240" w:lineRule="auto"/>
        <w:ind w:left="851" w:hanging="425"/>
        <w:jc w:val="both"/>
        <w:rPr>
          <w:lang w:val="es-SV"/>
        </w:rPr>
      </w:pPr>
      <w:r w:rsidRPr="008C6F8B">
        <w:rPr>
          <w:lang w:val="es-SV"/>
        </w:rPr>
        <w:t>Los que hayan sido administradores, como directores o gerentes, o funcionarios de</w:t>
      </w:r>
      <w:r>
        <w:rPr>
          <w:lang w:val="es-SV"/>
        </w:rPr>
        <w:t xml:space="preserve"> </w:t>
      </w:r>
      <w:r w:rsidRPr="008C6F8B">
        <w:rPr>
          <w:lang w:val="es-SV"/>
        </w:rPr>
        <w:t>una institución del sistema financiero en la que se demuestre administrativamente, su</w:t>
      </w:r>
      <w:r>
        <w:rPr>
          <w:lang w:val="es-SV"/>
        </w:rPr>
        <w:t xml:space="preserve"> </w:t>
      </w:r>
      <w:r w:rsidRPr="008C6F8B">
        <w:rPr>
          <w:lang w:val="es-SV"/>
        </w:rPr>
        <w:t>responsabilidad para que dicha institución, a partir de la vigencia de la Ley de</w:t>
      </w:r>
      <w:r>
        <w:rPr>
          <w:lang w:val="es-SV"/>
        </w:rPr>
        <w:t xml:space="preserve"> </w:t>
      </w:r>
      <w:r w:rsidRPr="008C6F8B">
        <w:rPr>
          <w:lang w:val="es-SV"/>
        </w:rPr>
        <w:t>Privatización de los Bancos Comerciales y de las Asociaciones de Ahorro y Préstamo,</w:t>
      </w:r>
      <w:r>
        <w:rPr>
          <w:lang w:val="es-SV"/>
        </w:rPr>
        <w:t xml:space="preserve"> </w:t>
      </w:r>
      <w:r w:rsidRPr="008C6F8B">
        <w:rPr>
          <w:lang w:val="es-SV"/>
        </w:rPr>
        <w:t>haya incurrido en deficiencias patrimoniales del veinte por ciento o más del mínimo</w:t>
      </w:r>
      <w:r>
        <w:rPr>
          <w:lang w:val="es-SV"/>
        </w:rPr>
        <w:t xml:space="preserve"> </w:t>
      </w:r>
      <w:r w:rsidRPr="008C6F8B">
        <w:rPr>
          <w:lang w:val="es-SV"/>
        </w:rPr>
        <w:t>requerido por la ley, que haya recibido aportes del Estado o del Instituto de Garantía de</w:t>
      </w:r>
      <w:r>
        <w:rPr>
          <w:lang w:val="es-SV"/>
        </w:rPr>
        <w:t xml:space="preserve"> </w:t>
      </w:r>
      <w:r w:rsidRPr="008C6F8B">
        <w:rPr>
          <w:lang w:val="es-SV"/>
        </w:rPr>
        <w:t>Depósitos para su saneamiento, que haya sido intervenida por el organismo</w:t>
      </w:r>
      <w:r>
        <w:rPr>
          <w:lang w:val="es-SV"/>
        </w:rPr>
        <w:t xml:space="preserve"> </w:t>
      </w:r>
      <w:r w:rsidRPr="008C6F8B">
        <w:rPr>
          <w:lang w:val="es-SV"/>
        </w:rPr>
        <w:t>competente, o que haya sido reestructurada y en consecuencia se le haya revocado su</w:t>
      </w:r>
      <w:r>
        <w:rPr>
          <w:lang w:val="es-SV"/>
        </w:rPr>
        <w:t xml:space="preserve"> </w:t>
      </w:r>
      <w:r w:rsidRPr="008C6F8B">
        <w:rPr>
          <w:lang w:val="es-SV"/>
        </w:rPr>
        <w:t>autorización para funcionar como banco. Cuando se trate de los representantes</w:t>
      </w:r>
      <w:r>
        <w:rPr>
          <w:lang w:val="es-SV"/>
        </w:rPr>
        <w:t xml:space="preserve"> </w:t>
      </w:r>
      <w:r w:rsidRPr="008C6F8B">
        <w:rPr>
          <w:lang w:val="es-SV"/>
        </w:rPr>
        <w:t>legales, gerente general, director ejecutivo, y directores con cargos ejecutivos de</w:t>
      </w:r>
      <w:r>
        <w:rPr>
          <w:lang w:val="es-SV"/>
        </w:rPr>
        <w:t xml:space="preserve"> </w:t>
      </w:r>
      <w:r w:rsidRPr="008C6F8B">
        <w:rPr>
          <w:lang w:val="es-SV"/>
        </w:rPr>
        <w:t xml:space="preserve">entidades financieras, se presumirá que han tenido responsabilidad de </w:t>
      </w:r>
      <w:proofErr w:type="gramStart"/>
      <w:r w:rsidRPr="008C6F8B">
        <w:rPr>
          <w:lang w:val="es-SV"/>
        </w:rPr>
        <w:t>cualesquiera</w:t>
      </w:r>
      <w:proofErr w:type="gramEnd"/>
      <w:r w:rsidRPr="008C6F8B">
        <w:rPr>
          <w:lang w:val="es-SV"/>
        </w:rPr>
        <w:t xml:space="preserve"> de</w:t>
      </w:r>
      <w:r>
        <w:rPr>
          <w:lang w:val="es-SV"/>
        </w:rPr>
        <w:t xml:space="preserve"> </w:t>
      </w:r>
      <w:r w:rsidRPr="008C6F8B">
        <w:rPr>
          <w:lang w:val="es-SV"/>
        </w:rPr>
        <w:t xml:space="preserve">las circunstancias antes señaladas. </w:t>
      </w:r>
    </w:p>
    <w:p w:rsidR="00305B75" w:rsidRPr="00305B75" w:rsidRDefault="00305B75" w:rsidP="00305B75">
      <w:pPr>
        <w:pStyle w:val="Prrafodelista"/>
        <w:rPr>
          <w:lang w:val="es-SV"/>
        </w:rPr>
      </w:pPr>
    </w:p>
    <w:p w:rsidR="00305B75" w:rsidRDefault="00305B75" w:rsidP="00305B75">
      <w:pPr>
        <w:pStyle w:val="Prrafodelista"/>
        <w:spacing w:after="0" w:line="240" w:lineRule="auto"/>
        <w:ind w:left="851"/>
        <w:jc w:val="both"/>
        <w:rPr>
          <w:lang w:val="es-SV"/>
        </w:rPr>
      </w:pPr>
      <w:r w:rsidRPr="008C6F8B">
        <w:rPr>
          <w:lang w:val="es-SV"/>
        </w:rPr>
        <w:t>No se aplicará la presunción anterior a aquellas</w:t>
      </w:r>
      <w:r>
        <w:rPr>
          <w:lang w:val="es-SV"/>
        </w:rPr>
        <w:t xml:space="preserve"> </w:t>
      </w:r>
      <w:r w:rsidRPr="008C6F8B">
        <w:rPr>
          <w:lang w:val="es-SV"/>
        </w:rPr>
        <w:t>personas que hayan cesado en sus cargos dos años antes de que se hubiere</w:t>
      </w:r>
      <w:r>
        <w:rPr>
          <w:lang w:val="es-SV"/>
        </w:rPr>
        <w:t xml:space="preserve"> </w:t>
      </w:r>
      <w:r w:rsidRPr="008C6F8B">
        <w:rPr>
          <w:lang w:val="es-SV"/>
        </w:rPr>
        <w:t>presentado tal situación; ni a quienes participaron en el saneamiento de instituciones</w:t>
      </w:r>
      <w:r>
        <w:rPr>
          <w:lang w:val="es-SV"/>
        </w:rPr>
        <w:t xml:space="preserve"> </w:t>
      </w:r>
      <w:r w:rsidRPr="008C6F8B">
        <w:rPr>
          <w:lang w:val="es-SV"/>
        </w:rPr>
        <w:t>financieras, de conformidad a lo prescrito en la Ley de Saneamiento y Fortalecimiento</w:t>
      </w:r>
      <w:r>
        <w:rPr>
          <w:lang w:val="es-SV"/>
        </w:rPr>
        <w:t xml:space="preserve"> </w:t>
      </w:r>
      <w:r w:rsidRPr="008C6F8B">
        <w:rPr>
          <w:lang w:val="es-SV"/>
        </w:rPr>
        <w:t>de Bancos Comerciales y Asociaciones de Ahorro y Préstamo, sin perjuicio de la</w:t>
      </w:r>
      <w:r>
        <w:rPr>
          <w:lang w:val="es-SV"/>
        </w:rPr>
        <w:t xml:space="preserve"> </w:t>
      </w:r>
      <w:r w:rsidRPr="008C6F8B">
        <w:rPr>
          <w:lang w:val="es-SV"/>
        </w:rPr>
        <w:t>responsabilidad en que incurrieren con po</w:t>
      </w:r>
      <w:r>
        <w:rPr>
          <w:lang w:val="es-SV"/>
        </w:rPr>
        <w:t>sterioridad a dicho saneamiento.</w:t>
      </w:r>
    </w:p>
    <w:p w:rsidR="00305B75" w:rsidRPr="008C6F8B" w:rsidRDefault="00305B75" w:rsidP="00305B75">
      <w:pPr>
        <w:pStyle w:val="Prrafodelista"/>
        <w:spacing w:after="0" w:line="240" w:lineRule="auto"/>
        <w:ind w:left="851"/>
        <w:jc w:val="both"/>
        <w:rPr>
          <w:lang w:val="es-SV"/>
        </w:rPr>
      </w:pPr>
    </w:p>
    <w:p w:rsidR="00305B75" w:rsidRDefault="00305B75" w:rsidP="000277FE">
      <w:pPr>
        <w:pStyle w:val="Prrafodelista"/>
        <w:numPr>
          <w:ilvl w:val="0"/>
          <w:numId w:val="3"/>
        </w:numPr>
        <w:spacing w:after="0" w:line="240" w:lineRule="auto"/>
        <w:ind w:left="851" w:hanging="425"/>
        <w:jc w:val="both"/>
        <w:rPr>
          <w:lang w:val="es-SV"/>
        </w:rPr>
      </w:pPr>
      <w:r>
        <w:rPr>
          <w:lang w:val="es-SV"/>
        </w:rPr>
        <w:t>Q</w:t>
      </w:r>
      <w:r w:rsidRPr="008C6F8B">
        <w:rPr>
          <w:lang w:val="es-SV"/>
        </w:rPr>
        <w:t>uienes hayan sido condenados por haber cometido o participado dolosamente en</w:t>
      </w:r>
      <w:r>
        <w:rPr>
          <w:lang w:val="es-SV"/>
        </w:rPr>
        <w:t xml:space="preserve"> </w:t>
      </w:r>
      <w:r w:rsidRPr="008C6F8B">
        <w:rPr>
          <w:lang w:val="es-SV"/>
        </w:rPr>
        <w:t>la comisión de cualquier delito;</w:t>
      </w:r>
    </w:p>
    <w:p w:rsidR="00065223" w:rsidRDefault="00065223" w:rsidP="00065223">
      <w:pPr>
        <w:pStyle w:val="Prrafodelista"/>
        <w:spacing w:after="0" w:line="240" w:lineRule="auto"/>
        <w:ind w:left="851"/>
        <w:jc w:val="both"/>
        <w:rPr>
          <w:lang w:val="es-SV"/>
        </w:rPr>
      </w:pPr>
    </w:p>
    <w:p w:rsidR="00065223" w:rsidRDefault="00065223" w:rsidP="000277FE">
      <w:pPr>
        <w:pStyle w:val="Prrafodelista"/>
        <w:numPr>
          <w:ilvl w:val="0"/>
          <w:numId w:val="3"/>
        </w:numPr>
        <w:spacing w:after="0" w:line="240" w:lineRule="auto"/>
        <w:ind w:left="851" w:hanging="425"/>
        <w:jc w:val="both"/>
        <w:rPr>
          <w:lang w:val="es-SV"/>
        </w:rPr>
      </w:pPr>
      <w:r w:rsidRPr="008C6F8B">
        <w:rPr>
          <w:lang w:val="es-SV"/>
        </w:rPr>
        <w:t>Las personas a quienes se les haya comprobado judicialmente participación en</w:t>
      </w:r>
      <w:r>
        <w:rPr>
          <w:lang w:val="es-SV"/>
        </w:rPr>
        <w:t xml:space="preserve"> </w:t>
      </w:r>
      <w:r w:rsidRPr="008C6F8B">
        <w:rPr>
          <w:lang w:val="es-SV"/>
        </w:rPr>
        <w:t>actividades relacionadas con el narcotráfico y delitos conexos y con el lavado de dinero</w:t>
      </w:r>
      <w:r>
        <w:rPr>
          <w:lang w:val="es-SV"/>
        </w:rPr>
        <w:t xml:space="preserve"> </w:t>
      </w:r>
      <w:r w:rsidRPr="008C6F8B">
        <w:rPr>
          <w:lang w:val="es-SV"/>
        </w:rPr>
        <w:t>y de otros activos;</w:t>
      </w:r>
    </w:p>
    <w:p w:rsidR="00065223" w:rsidRPr="00065223" w:rsidRDefault="00065223" w:rsidP="00065223">
      <w:pPr>
        <w:pStyle w:val="Prrafodelista"/>
        <w:rPr>
          <w:lang w:val="es-SV"/>
        </w:rPr>
      </w:pPr>
    </w:p>
    <w:p w:rsidR="00065223" w:rsidRDefault="00065223" w:rsidP="000277FE">
      <w:pPr>
        <w:pStyle w:val="Prrafodelista"/>
        <w:numPr>
          <w:ilvl w:val="0"/>
          <w:numId w:val="3"/>
        </w:numPr>
        <w:spacing w:after="0" w:line="240" w:lineRule="auto"/>
        <w:ind w:left="851" w:hanging="425"/>
        <w:jc w:val="both"/>
        <w:rPr>
          <w:lang w:val="es-SV"/>
        </w:rPr>
      </w:pPr>
      <w:r w:rsidRPr="008C6F8B">
        <w:rPr>
          <w:lang w:val="es-SV"/>
        </w:rPr>
        <w:t>Quienes hayan sido sancionados administrativa o judicialmente por su participación</w:t>
      </w:r>
      <w:r>
        <w:rPr>
          <w:lang w:val="es-SV"/>
        </w:rPr>
        <w:t xml:space="preserve"> </w:t>
      </w:r>
      <w:r w:rsidRPr="008C6F8B">
        <w:rPr>
          <w:lang w:val="es-SV"/>
        </w:rPr>
        <w:t>en infracción grave a las leyes y normas de carácter financiero, en especial la</w:t>
      </w:r>
      <w:r>
        <w:rPr>
          <w:lang w:val="es-SV"/>
        </w:rPr>
        <w:t xml:space="preserve"> </w:t>
      </w:r>
      <w:r w:rsidRPr="008C6F8B">
        <w:rPr>
          <w:lang w:val="es-SV"/>
        </w:rPr>
        <w:t>captación de fondos del público sin autorización, el otorgamiento o recepción de</w:t>
      </w:r>
      <w:r>
        <w:rPr>
          <w:lang w:val="es-SV"/>
        </w:rPr>
        <w:t xml:space="preserve"> </w:t>
      </w:r>
      <w:r w:rsidRPr="008C6F8B">
        <w:rPr>
          <w:lang w:val="es-SV"/>
        </w:rPr>
        <w:t>préstamos relacionados en exceso de límite permitido y los delitos de carácter</w:t>
      </w:r>
      <w:r>
        <w:rPr>
          <w:lang w:val="es-SV"/>
        </w:rPr>
        <w:t xml:space="preserve"> </w:t>
      </w:r>
      <w:r w:rsidRPr="008C6F8B">
        <w:rPr>
          <w:lang w:val="es-SV"/>
        </w:rPr>
        <w:t>financiero; y</w:t>
      </w:r>
    </w:p>
    <w:p w:rsidR="00065223" w:rsidRPr="00065223" w:rsidRDefault="00065223" w:rsidP="00065223">
      <w:pPr>
        <w:pStyle w:val="Prrafodelista"/>
        <w:rPr>
          <w:lang w:val="es-SV"/>
        </w:rPr>
      </w:pPr>
    </w:p>
    <w:p w:rsidR="00305B75" w:rsidRPr="00625D8B" w:rsidRDefault="00065223" w:rsidP="00625D8B">
      <w:pPr>
        <w:pStyle w:val="Prrafodelista"/>
        <w:numPr>
          <w:ilvl w:val="0"/>
          <w:numId w:val="3"/>
        </w:numPr>
        <w:spacing w:after="0" w:line="240" w:lineRule="auto"/>
        <w:ind w:left="851" w:hanging="425"/>
        <w:jc w:val="both"/>
        <w:rPr>
          <w:lang w:val="es-SV"/>
        </w:rPr>
      </w:pPr>
      <w:r w:rsidRPr="008C6F8B">
        <w:rPr>
          <w:lang w:val="es-SV"/>
        </w:rPr>
        <w:t>El Presidente y el Vicepresidente de la República los Ministros y Viceministros de</w:t>
      </w:r>
      <w:r>
        <w:rPr>
          <w:lang w:val="es-SV"/>
        </w:rPr>
        <w:t xml:space="preserve"> </w:t>
      </w:r>
      <w:r w:rsidRPr="008C6F8B">
        <w:rPr>
          <w:lang w:val="es-SV"/>
        </w:rPr>
        <w:t>Estado, los Diputados Propietarios, los Magistrados Propietarios de la Corte Suprema</w:t>
      </w:r>
      <w:r>
        <w:rPr>
          <w:lang w:val="es-SV"/>
        </w:rPr>
        <w:t xml:space="preserve"> </w:t>
      </w:r>
      <w:r w:rsidRPr="008C6F8B">
        <w:rPr>
          <w:lang w:val="es-SV"/>
        </w:rPr>
        <w:t>de Justicia y de las Cámaras de Segunda Instancia, y los Presidentes de las</w:t>
      </w:r>
      <w:r>
        <w:rPr>
          <w:lang w:val="es-SV"/>
        </w:rPr>
        <w:t xml:space="preserve"> </w:t>
      </w:r>
      <w:r w:rsidRPr="008C6F8B">
        <w:rPr>
          <w:lang w:val="es-SV"/>
        </w:rPr>
        <w:t>instituciones y empresas estatales de carácte</w:t>
      </w:r>
      <w:r>
        <w:rPr>
          <w:lang w:val="es-SV"/>
        </w:rPr>
        <w:t>r autónomo.</w:t>
      </w:r>
    </w:p>
    <w:p w:rsidR="00305B75" w:rsidRPr="00065223" w:rsidRDefault="00305B75" w:rsidP="000277FE">
      <w:pPr>
        <w:pStyle w:val="Prrafodelista"/>
        <w:numPr>
          <w:ilvl w:val="0"/>
          <w:numId w:val="5"/>
        </w:numPr>
        <w:ind w:left="426" w:hanging="426"/>
        <w:rPr>
          <w:lang w:val="es-SV"/>
        </w:rPr>
      </w:pPr>
      <w:r w:rsidRPr="00065223">
        <w:rPr>
          <w:lang w:val="es-SV"/>
        </w:rPr>
        <w:lastRenderedPageBreak/>
        <w:t>La declaración jurada, deberá estar acompañada de la documentación siguiente:</w:t>
      </w:r>
    </w:p>
    <w:p w:rsidR="00065223" w:rsidRDefault="00305B75" w:rsidP="000277FE">
      <w:pPr>
        <w:pStyle w:val="Prrafodelista"/>
        <w:numPr>
          <w:ilvl w:val="0"/>
          <w:numId w:val="4"/>
        </w:numPr>
        <w:rPr>
          <w:lang w:val="es-SV"/>
        </w:rPr>
      </w:pPr>
      <w:r w:rsidRPr="00065223">
        <w:rPr>
          <w:lang w:val="es-SV"/>
        </w:rPr>
        <w:t>Certificación de la Dirección General de Centros Penales y de Readaptación;</w:t>
      </w:r>
    </w:p>
    <w:p w:rsidR="00065223" w:rsidRDefault="00305B75" w:rsidP="000277FE">
      <w:pPr>
        <w:pStyle w:val="Prrafodelista"/>
        <w:numPr>
          <w:ilvl w:val="0"/>
          <w:numId w:val="4"/>
        </w:numPr>
        <w:rPr>
          <w:lang w:val="es-SV"/>
        </w:rPr>
      </w:pPr>
      <w:r w:rsidRPr="00065223">
        <w:rPr>
          <w:lang w:val="es-SV"/>
        </w:rPr>
        <w:t xml:space="preserve">Constancia del Banco reconociendo que si es o no deudor del mismo; </w:t>
      </w:r>
    </w:p>
    <w:p w:rsidR="00065223" w:rsidRDefault="00305B75" w:rsidP="000277FE">
      <w:pPr>
        <w:pStyle w:val="Prrafodelista"/>
        <w:numPr>
          <w:ilvl w:val="0"/>
          <w:numId w:val="4"/>
        </w:numPr>
        <w:rPr>
          <w:lang w:val="es-SV"/>
        </w:rPr>
      </w:pPr>
      <w:r w:rsidRPr="00065223">
        <w:rPr>
          <w:lang w:val="es-SV"/>
        </w:rPr>
        <w:t>Fotocopia de Documento Único de Identidad y NIT;</w:t>
      </w:r>
    </w:p>
    <w:p w:rsidR="00065223" w:rsidRDefault="00305B75" w:rsidP="000277FE">
      <w:pPr>
        <w:pStyle w:val="Prrafodelista"/>
        <w:numPr>
          <w:ilvl w:val="0"/>
          <w:numId w:val="4"/>
        </w:numPr>
        <w:jc w:val="both"/>
        <w:rPr>
          <w:lang w:val="es-SV"/>
        </w:rPr>
      </w:pPr>
      <w:proofErr w:type="spellStart"/>
      <w:r w:rsidRPr="00065223">
        <w:rPr>
          <w:lang w:val="es-SV"/>
        </w:rPr>
        <w:t>Curriculum</w:t>
      </w:r>
      <w:proofErr w:type="spellEnd"/>
      <w:r w:rsidRPr="00065223">
        <w:rPr>
          <w:lang w:val="es-SV"/>
        </w:rPr>
        <w:t xml:space="preserve"> Vitae (cuando por primera vez se remita</w:t>
      </w:r>
      <w:r w:rsidR="00065223">
        <w:rPr>
          <w:lang w:val="es-SV"/>
        </w:rPr>
        <w:t xml:space="preserve"> la declaración jurada o exista </w:t>
      </w:r>
      <w:r w:rsidRPr="00065223">
        <w:rPr>
          <w:lang w:val="es-SV"/>
        </w:rPr>
        <w:t>cambio en el estatus gerencial);</w:t>
      </w:r>
    </w:p>
    <w:p w:rsidR="00305B75" w:rsidRPr="00065223" w:rsidRDefault="00305B75" w:rsidP="000277FE">
      <w:pPr>
        <w:pStyle w:val="Prrafodelista"/>
        <w:numPr>
          <w:ilvl w:val="0"/>
          <w:numId w:val="4"/>
        </w:numPr>
        <w:jc w:val="both"/>
        <w:rPr>
          <w:lang w:val="es-SV"/>
        </w:rPr>
      </w:pPr>
      <w:r w:rsidRPr="00065223">
        <w:rPr>
          <w:lang w:val="es-SV"/>
        </w:rPr>
        <w:t>Formulario de información complementaria de Declaración Jurada</w:t>
      </w:r>
      <w:r w:rsidR="00065223">
        <w:rPr>
          <w:lang w:val="es-SV"/>
        </w:rPr>
        <w:t xml:space="preserve">, según el siguiente </w:t>
      </w:r>
      <w:r w:rsidRPr="00065223">
        <w:rPr>
          <w:lang w:val="es-SV"/>
        </w:rPr>
        <w:t>formato:</w:t>
      </w:r>
    </w:p>
    <w:bookmarkStart w:id="1" w:name="_MON_1479209521"/>
    <w:bookmarkEnd w:id="1"/>
    <w:p w:rsidR="00305B75" w:rsidRDefault="00305B75" w:rsidP="00305B75">
      <w:pPr>
        <w:jc w:val="center"/>
        <w:rPr>
          <w:lang w:val="es-SV"/>
        </w:rPr>
      </w:pPr>
      <w:r w:rsidRPr="00867261">
        <w:rPr>
          <w:lang w:val="es-SV"/>
        </w:rPr>
        <w:object w:dxaOrig="1550" w:dyaOrig="990">
          <v:shape id="_x0000_i1026" type="#_x0000_t75" style="width:78.1pt;height:49.6pt" o:ole="">
            <v:imagedata r:id="rId10" o:title=""/>
          </v:shape>
          <o:OLEObject Type="Embed" ProgID="Word.Document.12" ShapeID="_x0000_i1026" DrawAspect="Icon" ObjectID="_1528788204" r:id="rId11">
            <o:FieldCodes>\s</o:FieldCodes>
          </o:OLEObject>
        </w:object>
      </w:r>
    </w:p>
    <w:p w:rsidR="002C4D13" w:rsidRDefault="002C4D13" w:rsidP="002C4D13">
      <w:pPr>
        <w:pStyle w:val="Prrafodelista"/>
        <w:spacing w:after="0" w:line="240" w:lineRule="auto"/>
        <w:ind w:left="0"/>
        <w:jc w:val="both"/>
        <w:rPr>
          <w:b/>
          <w:szCs w:val="20"/>
          <w:lang w:val="es-SV"/>
        </w:rPr>
      </w:pPr>
    </w:p>
    <w:sectPr w:rsidR="002C4D13" w:rsidSect="00625D8B">
      <w:headerReference w:type="default" r:id="rId12"/>
      <w:footerReference w:type="default" r:id="rId13"/>
      <w:pgSz w:w="11906" w:h="16838"/>
      <w:pgMar w:top="2694" w:right="1701" w:bottom="1417" w:left="1701" w:header="851" w:footer="8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FE" w:rsidRDefault="000277FE" w:rsidP="00BB082E">
      <w:pPr>
        <w:spacing w:after="0" w:line="240" w:lineRule="auto"/>
      </w:pPr>
      <w:r>
        <w:separator/>
      </w:r>
    </w:p>
  </w:endnote>
  <w:endnote w:type="continuationSeparator" w:id="0">
    <w:p w:rsidR="000277FE" w:rsidRDefault="000277FE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9908"/>
      <w:docPartObj>
        <w:docPartGallery w:val="Page Numbers (Bottom of Page)"/>
        <w:docPartUnique/>
      </w:docPartObj>
    </w:sdtPr>
    <w:sdtContent>
      <w:p w:rsidR="00F44953" w:rsidRDefault="00BC71A1" w:rsidP="008D128F">
        <w:pPr>
          <w:pStyle w:val="Piedepgina"/>
          <w:jc w:val="right"/>
        </w:pPr>
        <w:fldSimple w:instr=" PAGE   \* MERGEFORMAT ">
          <w:r w:rsidR="00625D8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FE" w:rsidRDefault="000277FE" w:rsidP="00BB082E">
      <w:pPr>
        <w:spacing w:after="0" w:line="240" w:lineRule="auto"/>
      </w:pPr>
      <w:r>
        <w:separator/>
      </w:r>
    </w:p>
  </w:footnote>
  <w:footnote w:type="continuationSeparator" w:id="0">
    <w:p w:rsidR="000277FE" w:rsidRDefault="000277FE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53" w:rsidRPr="00A008DB" w:rsidRDefault="00F44953">
    <w:pPr>
      <w:pStyle w:val="Encabezado"/>
      <w:rPr>
        <w:b/>
        <w:sz w:val="24"/>
      </w:rPr>
    </w:pPr>
    <w:r w:rsidRPr="00A008DB">
      <w:rPr>
        <w:b/>
        <w:noProof/>
        <w:sz w:val="24"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2854960</wp:posOffset>
          </wp:positionH>
          <wp:positionV relativeFrom="paragraph">
            <wp:posOffset>37465</wp:posOffset>
          </wp:positionV>
          <wp:extent cx="3094990" cy="732790"/>
          <wp:effectExtent l="19050" t="0" r="0" b="0"/>
          <wp:wrapSquare wrapText="bothSides"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08DB" w:rsidRPr="00A008DB">
      <w:rPr>
        <w:b/>
        <w:sz w:val="24"/>
      </w:rPr>
      <w:t>BCF-0</w:t>
    </w:r>
    <w:r w:rsidR="002C4D13">
      <w:rPr>
        <w:b/>
        <w:sz w:val="24"/>
      </w:rPr>
      <w:t>2</w:t>
    </w:r>
    <w:r w:rsidR="00305B75">
      <w:rPr>
        <w:b/>
        <w:sz w:val="24"/>
      </w:rPr>
      <w:t>6</w:t>
    </w:r>
  </w:p>
  <w:p w:rsidR="00547D8D" w:rsidRDefault="00305B75">
    <w:pPr>
      <w:pStyle w:val="Encabezado"/>
      <w:rPr>
        <w:b/>
        <w:sz w:val="24"/>
      </w:rPr>
    </w:pPr>
    <w:r>
      <w:rPr>
        <w:b/>
        <w:sz w:val="24"/>
      </w:rPr>
      <w:t>Remisión anual de la declaración jurada</w:t>
    </w:r>
  </w:p>
  <w:p w:rsidR="00625D8B" w:rsidRDefault="00625D8B">
    <w:pPr>
      <w:pStyle w:val="Encabezado"/>
      <w:rPr>
        <w:b/>
        <w:sz w:val="24"/>
      </w:rPr>
    </w:pPr>
    <w:r>
      <w:rPr>
        <w:b/>
        <w:sz w:val="24"/>
      </w:rPr>
      <w:t>d</w:t>
    </w:r>
    <w:r w:rsidR="00305B75">
      <w:rPr>
        <w:b/>
        <w:sz w:val="24"/>
      </w:rPr>
      <w:t xml:space="preserve">e Directores, Gerentes y Ejecutivos </w:t>
    </w:r>
  </w:p>
  <w:p w:rsidR="00625D8B" w:rsidRDefault="00305B75">
    <w:pPr>
      <w:pStyle w:val="Encabezado"/>
      <w:rPr>
        <w:b/>
        <w:sz w:val="24"/>
      </w:rPr>
    </w:pPr>
    <w:r>
      <w:rPr>
        <w:b/>
        <w:sz w:val="24"/>
      </w:rPr>
      <w:t xml:space="preserve">con </w:t>
    </w:r>
    <w:r w:rsidR="00625D8B">
      <w:rPr>
        <w:b/>
        <w:sz w:val="24"/>
      </w:rPr>
      <w:t>a</w:t>
    </w:r>
    <w:r>
      <w:rPr>
        <w:b/>
        <w:sz w:val="24"/>
      </w:rPr>
      <w:t xml:space="preserve">utorización para el otorgamiento </w:t>
    </w:r>
  </w:p>
  <w:p w:rsidR="00305B75" w:rsidRPr="00A008DB" w:rsidRDefault="00305B75">
    <w:pPr>
      <w:pStyle w:val="Encabezado"/>
      <w:rPr>
        <w:b/>
        <w:sz w:val="24"/>
      </w:rPr>
    </w:pPr>
    <w:r>
      <w:rPr>
        <w:b/>
        <w:sz w:val="24"/>
      </w:rPr>
      <w:t>de créditos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321E"/>
    <w:multiLevelType w:val="hybridMultilevel"/>
    <w:tmpl w:val="9B7C8D5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162DA"/>
    <w:multiLevelType w:val="hybridMultilevel"/>
    <w:tmpl w:val="39EA44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C4C73"/>
    <w:multiLevelType w:val="multilevel"/>
    <w:tmpl w:val="48B250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8945D39"/>
    <w:multiLevelType w:val="hybridMultilevel"/>
    <w:tmpl w:val="57D88A0A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2D266A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F33C7"/>
    <w:multiLevelType w:val="hybridMultilevel"/>
    <w:tmpl w:val="AADEA684"/>
    <w:lvl w:ilvl="0" w:tplc="6C5A1C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2331"/>
    <w:rsid w:val="00011A64"/>
    <w:rsid w:val="000140FC"/>
    <w:rsid w:val="00017F87"/>
    <w:rsid w:val="00020AA3"/>
    <w:rsid w:val="00020BBC"/>
    <w:rsid w:val="00023443"/>
    <w:rsid w:val="00024810"/>
    <w:rsid w:val="000277FE"/>
    <w:rsid w:val="00031824"/>
    <w:rsid w:val="00031AF7"/>
    <w:rsid w:val="000324BA"/>
    <w:rsid w:val="000412FB"/>
    <w:rsid w:val="00055C9E"/>
    <w:rsid w:val="0005646B"/>
    <w:rsid w:val="00065223"/>
    <w:rsid w:val="000674D9"/>
    <w:rsid w:val="00072FCE"/>
    <w:rsid w:val="00073096"/>
    <w:rsid w:val="00073C5C"/>
    <w:rsid w:val="00090E1F"/>
    <w:rsid w:val="00095B89"/>
    <w:rsid w:val="000971CC"/>
    <w:rsid w:val="000B2ADA"/>
    <w:rsid w:val="000D0938"/>
    <w:rsid w:val="000D1183"/>
    <w:rsid w:val="000D7473"/>
    <w:rsid w:val="000E30FE"/>
    <w:rsid w:val="000E5612"/>
    <w:rsid w:val="000E6763"/>
    <w:rsid w:val="000F1182"/>
    <w:rsid w:val="000F2BA6"/>
    <w:rsid w:val="000F4328"/>
    <w:rsid w:val="00100335"/>
    <w:rsid w:val="00102D22"/>
    <w:rsid w:val="00107E66"/>
    <w:rsid w:val="00116A67"/>
    <w:rsid w:val="00120BCD"/>
    <w:rsid w:val="00132446"/>
    <w:rsid w:val="00132C10"/>
    <w:rsid w:val="00133D3C"/>
    <w:rsid w:val="00136C7A"/>
    <w:rsid w:val="00140D68"/>
    <w:rsid w:val="00153EED"/>
    <w:rsid w:val="00154CC5"/>
    <w:rsid w:val="0016060A"/>
    <w:rsid w:val="00163375"/>
    <w:rsid w:val="00166F7F"/>
    <w:rsid w:val="001711F2"/>
    <w:rsid w:val="00176838"/>
    <w:rsid w:val="00176D83"/>
    <w:rsid w:val="0018350E"/>
    <w:rsid w:val="00192369"/>
    <w:rsid w:val="00195B6A"/>
    <w:rsid w:val="001A3130"/>
    <w:rsid w:val="001A3B0C"/>
    <w:rsid w:val="001A3B7A"/>
    <w:rsid w:val="001A5BA2"/>
    <w:rsid w:val="001B61CD"/>
    <w:rsid w:val="001C5840"/>
    <w:rsid w:val="001D13F7"/>
    <w:rsid w:val="001D3DE3"/>
    <w:rsid w:val="001D48D8"/>
    <w:rsid w:val="001D686D"/>
    <w:rsid w:val="001E0065"/>
    <w:rsid w:val="001E2F37"/>
    <w:rsid w:val="001E471A"/>
    <w:rsid w:val="001E5E79"/>
    <w:rsid w:val="001F0BFD"/>
    <w:rsid w:val="001F18CD"/>
    <w:rsid w:val="001F4409"/>
    <w:rsid w:val="001F77F0"/>
    <w:rsid w:val="00201674"/>
    <w:rsid w:val="002078AD"/>
    <w:rsid w:val="00210F40"/>
    <w:rsid w:val="0021480F"/>
    <w:rsid w:val="00214D42"/>
    <w:rsid w:val="00216117"/>
    <w:rsid w:val="00221465"/>
    <w:rsid w:val="0022300C"/>
    <w:rsid w:val="00226E22"/>
    <w:rsid w:val="00227B65"/>
    <w:rsid w:val="00233E8D"/>
    <w:rsid w:val="002341BD"/>
    <w:rsid w:val="00235C40"/>
    <w:rsid w:val="002368C6"/>
    <w:rsid w:val="00240C34"/>
    <w:rsid w:val="0024237D"/>
    <w:rsid w:val="002579B1"/>
    <w:rsid w:val="00262DE5"/>
    <w:rsid w:val="00264170"/>
    <w:rsid w:val="00265AC5"/>
    <w:rsid w:val="002711D2"/>
    <w:rsid w:val="00282EF5"/>
    <w:rsid w:val="002862BF"/>
    <w:rsid w:val="00295085"/>
    <w:rsid w:val="002A066D"/>
    <w:rsid w:val="002A412D"/>
    <w:rsid w:val="002A7161"/>
    <w:rsid w:val="002A7D17"/>
    <w:rsid w:val="002B024E"/>
    <w:rsid w:val="002B165A"/>
    <w:rsid w:val="002C0206"/>
    <w:rsid w:val="002C10B7"/>
    <w:rsid w:val="002C149C"/>
    <w:rsid w:val="002C2718"/>
    <w:rsid w:val="002C3F26"/>
    <w:rsid w:val="002C4D13"/>
    <w:rsid w:val="002E274F"/>
    <w:rsid w:val="002E5384"/>
    <w:rsid w:val="002F23F5"/>
    <w:rsid w:val="002F60C6"/>
    <w:rsid w:val="002F6367"/>
    <w:rsid w:val="002F7148"/>
    <w:rsid w:val="0030068C"/>
    <w:rsid w:val="00304350"/>
    <w:rsid w:val="00305B75"/>
    <w:rsid w:val="00307BF4"/>
    <w:rsid w:val="0032185E"/>
    <w:rsid w:val="00324765"/>
    <w:rsid w:val="00330359"/>
    <w:rsid w:val="003353FE"/>
    <w:rsid w:val="003408A2"/>
    <w:rsid w:val="00342518"/>
    <w:rsid w:val="003525C0"/>
    <w:rsid w:val="00352610"/>
    <w:rsid w:val="00354E60"/>
    <w:rsid w:val="00360981"/>
    <w:rsid w:val="00361840"/>
    <w:rsid w:val="0037628E"/>
    <w:rsid w:val="00386C1F"/>
    <w:rsid w:val="0039143C"/>
    <w:rsid w:val="003B029D"/>
    <w:rsid w:val="003B5AB6"/>
    <w:rsid w:val="003B5AB8"/>
    <w:rsid w:val="003C2E89"/>
    <w:rsid w:val="003D2A9E"/>
    <w:rsid w:val="003D2B46"/>
    <w:rsid w:val="003E2A8B"/>
    <w:rsid w:val="003E49F4"/>
    <w:rsid w:val="003E7E44"/>
    <w:rsid w:val="003F3B05"/>
    <w:rsid w:val="003F4F15"/>
    <w:rsid w:val="004263E5"/>
    <w:rsid w:val="004358C3"/>
    <w:rsid w:val="00441BC4"/>
    <w:rsid w:val="00442FD5"/>
    <w:rsid w:val="004500B5"/>
    <w:rsid w:val="0046258C"/>
    <w:rsid w:val="00467F5B"/>
    <w:rsid w:val="00473730"/>
    <w:rsid w:val="00480E29"/>
    <w:rsid w:val="004864A9"/>
    <w:rsid w:val="00487F8D"/>
    <w:rsid w:val="00497400"/>
    <w:rsid w:val="004A2E25"/>
    <w:rsid w:val="004A432E"/>
    <w:rsid w:val="004B0E69"/>
    <w:rsid w:val="004B33BC"/>
    <w:rsid w:val="004C0A24"/>
    <w:rsid w:val="004C1C5D"/>
    <w:rsid w:val="004C4B2A"/>
    <w:rsid w:val="004C6627"/>
    <w:rsid w:val="004D2398"/>
    <w:rsid w:val="004D3402"/>
    <w:rsid w:val="004E14C1"/>
    <w:rsid w:val="004E2A39"/>
    <w:rsid w:val="004E411B"/>
    <w:rsid w:val="004E67EA"/>
    <w:rsid w:val="004E7CA8"/>
    <w:rsid w:val="004F47AB"/>
    <w:rsid w:val="004F5534"/>
    <w:rsid w:val="004F721A"/>
    <w:rsid w:val="0050192A"/>
    <w:rsid w:val="005037CD"/>
    <w:rsid w:val="00504052"/>
    <w:rsid w:val="005049D4"/>
    <w:rsid w:val="00505296"/>
    <w:rsid w:val="00510776"/>
    <w:rsid w:val="00513257"/>
    <w:rsid w:val="0051405B"/>
    <w:rsid w:val="00515F23"/>
    <w:rsid w:val="0052157A"/>
    <w:rsid w:val="005224A9"/>
    <w:rsid w:val="00523433"/>
    <w:rsid w:val="00523ACF"/>
    <w:rsid w:val="005258AC"/>
    <w:rsid w:val="00525D6D"/>
    <w:rsid w:val="00527232"/>
    <w:rsid w:val="00547D8D"/>
    <w:rsid w:val="005509EA"/>
    <w:rsid w:val="00561EBC"/>
    <w:rsid w:val="005636B8"/>
    <w:rsid w:val="005719A4"/>
    <w:rsid w:val="005729E4"/>
    <w:rsid w:val="00576488"/>
    <w:rsid w:val="005813EB"/>
    <w:rsid w:val="00586589"/>
    <w:rsid w:val="00591F64"/>
    <w:rsid w:val="00596B36"/>
    <w:rsid w:val="005A1212"/>
    <w:rsid w:val="005A2780"/>
    <w:rsid w:val="005A719C"/>
    <w:rsid w:val="005B0A49"/>
    <w:rsid w:val="005B7493"/>
    <w:rsid w:val="005C6990"/>
    <w:rsid w:val="005E25D5"/>
    <w:rsid w:val="005E584E"/>
    <w:rsid w:val="005E6C35"/>
    <w:rsid w:val="005E7D68"/>
    <w:rsid w:val="005F437E"/>
    <w:rsid w:val="00604BA9"/>
    <w:rsid w:val="00622883"/>
    <w:rsid w:val="00622FDC"/>
    <w:rsid w:val="00625D8B"/>
    <w:rsid w:val="00626395"/>
    <w:rsid w:val="00627646"/>
    <w:rsid w:val="00632313"/>
    <w:rsid w:val="00635D71"/>
    <w:rsid w:val="006404C6"/>
    <w:rsid w:val="006462C6"/>
    <w:rsid w:val="00652E61"/>
    <w:rsid w:val="006578D6"/>
    <w:rsid w:val="00664C79"/>
    <w:rsid w:val="0066708F"/>
    <w:rsid w:val="00667811"/>
    <w:rsid w:val="00672185"/>
    <w:rsid w:val="00674874"/>
    <w:rsid w:val="00682DDC"/>
    <w:rsid w:val="006C067A"/>
    <w:rsid w:val="006D1C9D"/>
    <w:rsid w:val="006E10E6"/>
    <w:rsid w:val="006E18B6"/>
    <w:rsid w:val="006E53C6"/>
    <w:rsid w:val="006E5864"/>
    <w:rsid w:val="006F5C2D"/>
    <w:rsid w:val="006F7897"/>
    <w:rsid w:val="0070441E"/>
    <w:rsid w:val="0070642A"/>
    <w:rsid w:val="00706A85"/>
    <w:rsid w:val="007177C6"/>
    <w:rsid w:val="00731C3C"/>
    <w:rsid w:val="00733741"/>
    <w:rsid w:val="00757242"/>
    <w:rsid w:val="0076170A"/>
    <w:rsid w:val="00772D8B"/>
    <w:rsid w:val="00775121"/>
    <w:rsid w:val="00776EAD"/>
    <w:rsid w:val="00782A94"/>
    <w:rsid w:val="00792AD9"/>
    <w:rsid w:val="00797AED"/>
    <w:rsid w:val="007A3274"/>
    <w:rsid w:val="007A7011"/>
    <w:rsid w:val="007A7170"/>
    <w:rsid w:val="007B6657"/>
    <w:rsid w:val="007C09C0"/>
    <w:rsid w:val="007C395A"/>
    <w:rsid w:val="007C48BF"/>
    <w:rsid w:val="007C4A98"/>
    <w:rsid w:val="007D7A77"/>
    <w:rsid w:val="007E2FBC"/>
    <w:rsid w:val="007E4F40"/>
    <w:rsid w:val="007E5DAA"/>
    <w:rsid w:val="007F18DC"/>
    <w:rsid w:val="007F451A"/>
    <w:rsid w:val="008021C1"/>
    <w:rsid w:val="0081334B"/>
    <w:rsid w:val="00816A27"/>
    <w:rsid w:val="00824FA9"/>
    <w:rsid w:val="00825EA6"/>
    <w:rsid w:val="00830F4A"/>
    <w:rsid w:val="00844C05"/>
    <w:rsid w:val="008513DE"/>
    <w:rsid w:val="00855916"/>
    <w:rsid w:val="00867326"/>
    <w:rsid w:val="00883079"/>
    <w:rsid w:val="00897960"/>
    <w:rsid w:val="008A1B3B"/>
    <w:rsid w:val="008A53E1"/>
    <w:rsid w:val="008B0A22"/>
    <w:rsid w:val="008B4C7E"/>
    <w:rsid w:val="008B7FBD"/>
    <w:rsid w:val="008C38FB"/>
    <w:rsid w:val="008C79AA"/>
    <w:rsid w:val="008D128F"/>
    <w:rsid w:val="008D27AC"/>
    <w:rsid w:val="008D3A39"/>
    <w:rsid w:val="008D594E"/>
    <w:rsid w:val="008D71BD"/>
    <w:rsid w:val="008E7FAF"/>
    <w:rsid w:val="008F17C8"/>
    <w:rsid w:val="008F4D65"/>
    <w:rsid w:val="008F5A9B"/>
    <w:rsid w:val="008F751E"/>
    <w:rsid w:val="00904C5E"/>
    <w:rsid w:val="00907BA0"/>
    <w:rsid w:val="00910D49"/>
    <w:rsid w:val="00910FA1"/>
    <w:rsid w:val="009134B5"/>
    <w:rsid w:val="00913850"/>
    <w:rsid w:val="00925168"/>
    <w:rsid w:val="00933D1C"/>
    <w:rsid w:val="009345DF"/>
    <w:rsid w:val="00956A71"/>
    <w:rsid w:val="00957DF7"/>
    <w:rsid w:val="00961D69"/>
    <w:rsid w:val="00961E93"/>
    <w:rsid w:val="009708FC"/>
    <w:rsid w:val="00974551"/>
    <w:rsid w:val="00997126"/>
    <w:rsid w:val="009A429C"/>
    <w:rsid w:val="009B6C3F"/>
    <w:rsid w:val="009B719C"/>
    <w:rsid w:val="009C0639"/>
    <w:rsid w:val="009D094D"/>
    <w:rsid w:val="009D3F32"/>
    <w:rsid w:val="009D634A"/>
    <w:rsid w:val="009E5035"/>
    <w:rsid w:val="00A008DB"/>
    <w:rsid w:val="00A00B5A"/>
    <w:rsid w:val="00A017FE"/>
    <w:rsid w:val="00A357CB"/>
    <w:rsid w:val="00A50432"/>
    <w:rsid w:val="00A65C83"/>
    <w:rsid w:val="00A66019"/>
    <w:rsid w:val="00A6619E"/>
    <w:rsid w:val="00A97566"/>
    <w:rsid w:val="00AA1EA5"/>
    <w:rsid w:val="00AA215B"/>
    <w:rsid w:val="00AA4B04"/>
    <w:rsid w:val="00AA790D"/>
    <w:rsid w:val="00AB4518"/>
    <w:rsid w:val="00AB7FF5"/>
    <w:rsid w:val="00AC47F9"/>
    <w:rsid w:val="00AC705E"/>
    <w:rsid w:val="00AD3ECA"/>
    <w:rsid w:val="00AE0FBD"/>
    <w:rsid w:val="00AE1524"/>
    <w:rsid w:val="00AF1AB7"/>
    <w:rsid w:val="00AF1DBB"/>
    <w:rsid w:val="00AF292C"/>
    <w:rsid w:val="00AF4127"/>
    <w:rsid w:val="00AF517A"/>
    <w:rsid w:val="00AF5F58"/>
    <w:rsid w:val="00AF71D0"/>
    <w:rsid w:val="00B02AA9"/>
    <w:rsid w:val="00B05365"/>
    <w:rsid w:val="00B05545"/>
    <w:rsid w:val="00B065CA"/>
    <w:rsid w:val="00B06E3C"/>
    <w:rsid w:val="00B10D66"/>
    <w:rsid w:val="00B128EC"/>
    <w:rsid w:val="00B147F5"/>
    <w:rsid w:val="00B205EB"/>
    <w:rsid w:val="00B33FCD"/>
    <w:rsid w:val="00B35861"/>
    <w:rsid w:val="00B36CF5"/>
    <w:rsid w:val="00B405C1"/>
    <w:rsid w:val="00B43DC4"/>
    <w:rsid w:val="00B447A1"/>
    <w:rsid w:val="00B456E3"/>
    <w:rsid w:val="00B50819"/>
    <w:rsid w:val="00B55C98"/>
    <w:rsid w:val="00BA10F4"/>
    <w:rsid w:val="00BA42AE"/>
    <w:rsid w:val="00BA4E6F"/>
    <w:rsid w:val="00BA67E5"/>
    <w:rsid w:val="00BB056F"/>
    <w:rsid w:val="00BB082E"/>
    <w:rsid w:val="00BB715F"/>
    <w:rsid w:val="00BC71A1"/>
    <w:rsid w:val="00BD209F"/>
    <w:rsid w:val="00BD31DA"/>
    <w:rsid w:val="00BE154B"/>
    <w:rsid w:val="00BE5AE9"/>
    <w:rsid w:val="00BE5B03"/>
    <w:rsid w:val="00BE6C77"/>
    <w:rsid w:val="00BE7242"/>
    <w:rsid w:val="00BF1FB3"/>
    <w:rsid w:val="00BF4524"/>
    <w:rsid w:val="00BF48D3"/>
    <w:rsid w:val="00C015D5"/>
    <w:rsid w:val="00C1238A"/>
    <w:rsid w:val="00C133BB"/>
    <w:rsid w:val="00C1439B"/>
    <w:rsid w:val="00C15AE2"/>
    <w:rsid w:val="00C403BE"/>
    <w:rsid w:val="00C42DE9"/>
    <w:rsid w:val="00C502AD"/>
    <w:rsid w:val="00C509AF"/>
    <w:rsid w:val="00C512C4"/>
    <w:rsid w:val="00C538DA"/>
    <w:rsid w:val="00C5566D"/>
    <w:rsid w:val="00C65626"/>
    <w:rsid w:val="00C6666D"/>
    <w:rsid w:val="00C70A74"/>
    <w:rsid w:val="00C726F4"/>
    <w:rsid w:val="00C73A76"/>
    <w:rsid w:val="00C75097"/>
    <w:rsid w:val="00C940D8"/>
    <w:rsid w:val="00CA03B4"/>
    <w:rsid w:val="00CA6ABC"/>
    <w:rsid w:val="00CB0271"/>
    <w:rsid w:val="00CB7D5F"/>
    <w:rsid w:val="00CC0FF4"/>
    <w:rsid w:val="00CC2A1D"/>
    <w:rsid w:val="00CD6EF2"/>
    <w:rsid w:val="00CE101A"/>
    <w:rsid w:val="00CE7411"/>
    <w:rsid w:val="00CF5E66"/>
    <w:rsid w:val="00D0115D"/>
    <w:rsid w:val="00D03E56"/>
    <w:rsid w:val="00D06C0B"/>
    <w:rsid w:val="00D06D01"/>
    <w:rsid w:val="00D14293"/>
    <w:rsid w:val="00D26966"/>
    <w:rsid w:val="00D31FD3"/>
    <w:rsid w:val="00D32001"/>
    <w:rsid w:val="00D40621"/>
    <w:rsid w:val="00D54BFE"/>
    <w:rsid w:val="00D73932"/>
    <w:rsid w:val="00D759C7"/>
    <w:rsid w:val="00D815AC"/>
    <w:rsid w:val="00D82C25"/>
    <w:rsid w:val="00D83264"/>
    <w:rsid w:val="00D832F3"/>
    <w:rsid w:val="00D854ED"/>
    <w:rsid w:val="00D94A2B"/>
    <w:rsid w:val="00D97C52"/>
    <w:rsid w:val="00DA2889"/>
    <w:rsid w:val="00DB5FF8"/>
    <w:rsid w:val="00DC1F8B"/>
    <w:rsid w:val="00DC4186"/>
    <w:rsid w:val="00DC7AA8"/>
    <w:rsid w:val="00DD004E"/>
    <w:rsid w:val="00E02453"/>
    <w:rsid w:val="00E106CB"/>
    <w:rsid w:val="00E247E4"/>
    <w:rsid w:val="00E269C6"/>
    <w:rsid w:val="00E313F9"/>
    <w:rsid w:val="00E35A74"/>
    <w:rsid w:val="00E47B3B"/>
    <w:rsid w:val="00E55DA7"/>
    <w:rsid w:val="00E631F6"/>
    <w:rsid w:val="00E6663F"/>
    <w:rsid w:val="00E66C31"/>
    <w:rsid w:val="00E72CEC"/>
    <w:rsid w:val="00E77579"/>
    <w:rsid w:val="00E85F58"/>
    <w:rsid w:val="00E92686"/>
    <w:rsid w:val="00E9509F"/>
    <w:rsid w:val="00EA1BC4"/>
    <w:rsid w:val="00EA7010"/>
    <w:rsid w:val="00EA744A"/>
    <w:rsid w:val="00EB2835"/>
    <w:rsid w:val="00EB46C8"/>
    <w:rsid w:val="00EB7083"/>
    <w:rsid w:val="00EB7519"/>
    <w:rsid w:val="00EC0404"/>
    <w:rsid w:val="00EC0583"/>
    <w:rsid w:val="00EC6548"/>
    <w:rsid w:val="00ED2E46"/>
    <w:rsid w:val="00ED7AB6"/>
    <w:rsid w:val="00EE0AED"/>
    <w:rsid w:val="00EE1642"/>
    <w:rsid w:val="00EF4E37"/>
    <w:rsid w:val="00F0093C"/>
    <w:rsid w:val="00F02AC9"/>
    <w:rsid w:val="00F03907"/>
    <w:rsid w:val="00F0533F"/>
    <w:rsid w:val="00F130F7"/>
    <w:rsid w:val="00F14689"/>
    <w:rsid w:val="00F17999"/>
    <w:rsid w:val="00F2197B"/>
    <w:rsid w:val="00F2223A"/>
    <w:rsid w:val="00F25E13"/>
    <w:rsid w:val="00F32D17"/>
    <w:rsid w:val="00F34557"/>
    <w:rsid w:val="00F44953"/>
    <w:rsid w:val="00F46EB7"/>
    <w:rsid w:val="00F47E21"/>
    <w:rsid w:val="00F505F8"/>
    <w:rsid w:val="00F610C5"/>
    <w:rsid w:val="00F6186A"/>
    <w:rsid w:val="00F61BD7"/>
    <w:rsid w:val="00F66579"/>
    <w:rsid w:val="00F67325"/>
    <w:rsid w:val="00F7377F"/>
    <w:rsid w:val="00F80543"/>
    <w:rsid w:val="00F86B74"/>
    <w:rsid w:val="00F86D77"/>
    <w:rsid w:val="00F958F1"/>
    <w:rsid w:val="00FA1505"/>
    <w:rsid w:val="00FA692B"/>
    <w:rsid w:val="00FB1C58"/>
    <w:rsid w:val="00FB4AAB"/>
    <w:rsid w:val="00FC03EA"/>
    <w:rsid w:val="00FC4EDC"/>
    <w:rsid w:val="00FD7F86"/>
    <w:rsid w:val="00FE4704"/>
    <w:rsid w:val="00FE4F40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D128F"/>
  </w:style>
  <w:style w:type="character" w:styleId="Hipervnculo">
    <w:name w:val="Hyperlink"/>
    <w:basedOn w:val="Fuentedeprrafopredeter"/>
    <w:uiPriority w:val="99"/>
    <w:unhideWhenUsed/>
    <w:rsid w:val="004C4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cumento_de_Microsoft_Office_Word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ocumento_de_Microsoft_Office_Word1.doc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D73AA-0363-4559-ABBA-D09ED47C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Rosa María Martínez de Mena</cp:lastModifiedBy>
  <cp:revision>3</cp:revision>
  <cp:lastPrinted>2014-09-02T16:41:00Z</cp:lastPrinted>
  <dcterms:created xsi:type="dcterms:W3CDTF">2016-06-29T17:22:00Z</dcterms:created>
  <dcterms:modified xsi:type="dcterms:W3CDTF">2016-06-30T16:37:00Z</dcterms:modified>
</cp:coreProperties>
</file>