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98" w:rsidRPr="00B342AF" w:rsidRDefault="006A5B98" w:rsidP="006A5B98">
      <w:pPr>
        <w:rPr>
          <w:b/>
        </w:rPr>
      </w:pPr>
      <w:r w:rsidRPr="00B342AF">
        <w:rPr>
          <w:b/>
        </w:rPr>
        <w:t>Entendiendo los cobros que realizan las instituciones financieras</w:t>
      </w:r>
    </w:p>
    <w:p w:rsidR="00465AE1" w:rsidRDefault="00465AE1" w:rsidP="007B68A8">
      <w:pPr>
        <w:jc w:val="both"/>
      </w:pPr>
      <w:r>
        <w:t xml:space="preserve">Muchas veces solo adquirimos productos o servicios financieros pero no nos interesamos en conocer cuánto pagaremos en concepto de comisiones, intereses o recargos. El conocimiento y comparación de estos cobros debería ser un paso previo a la adquisición del producto o servicio financiero, sin embargo nos ocurre que hasta que recibimos el estado de cuenta o el recibo de pago nos llevamos la sorpresa de que estamos pagando un seguro, una </w:t>
      </w:r>
      <w:proofErr w:type="spellStart"/>
      <w:r>
        <w:t>membresía</w:t>
      </w:r>
      <w:proofErr w:type="spellEnd"/>
      <w:r>
        <w:t>, o en caso de retraso de pago un recargo por mora.</w:t>
      </w:r>
    </w:p>
    <w:p w:rsidR="006A5B98" w:rsidRDefault="00A62111" w:rsidP="007B68A8">
      <w:pPr>
        <w:jc w:val="both"/>
      </w:pPr>
      <w:r>
        <w:t>Para el público es posible conocer esta información</w:t>
      </w:r>
      <w:r w:rsidR="00F119B0">
        <w:t xml:space="preserve"> </w:t>
      </w:r>
      <w:r>
        <w:t>debido a que</w:t>
      </w:r>
      <w:r w:rsidR="00F119B0">
        <w:t xml:space="preserve"> los bancos, bancos cooperativos y sociedades de ahorro y crédito autorizadas por la Superintendencia del Sistema Financiero</w:t>
      </w:r>
      <w:r w:rsidR="00BD5243">
        <w:t xml:space="preserve"> (SSF)</w:t>
      </w:r>
      <w:r w:rsidR="00F119B0">
        <w:t xml:space="preserve">, publican las tarifas de los cobros que aplicarán </w:t>
      </w:r>
      <w:r>
        <w:t xml:space="preserve">mensualmente </w:t>
      </w:r>
      <w:r w:rsidR="00F119B0">
        <w:t>a sus productos</w:t>
      </w:r>
      <w:r w:rsidR="00465AE1">
        <w:t xml:space="preserve"> y servicios</w:t>
      </w:r>
      <w:r>
        <w:t>,</w:t>
      </w:r>
      <w:r w:rsidR="00F119B0">
        <w:t xml:space="preserve"> el primer día de cada mes en los periódicos nacionales, </w:t>
      </w:r>
      <w:r>
        <w:t xml:space="preserve">colocándolas también </w:t>
      </w:r>
      <w:r w:rsidR="00F119B0">
        <w:t xml:space="preserve">en sus sitios web y </w:t>
      </w:r>
      <w:r>
        <w:t>exhibiéndolas</w:t>
      </w:r>
      <w:r w:rsidR="00F119B0">
        <w:t xml:space="preserve"> en cada una de sus agencias. </w:t>
      </w:r>
    </w:p>
    <w:p w:rsidR="004F079A" w:rsidRDefault="00A62111" w:rsidP="007B68A8">
      <w:pPr>
        <w:jc w:val="both"/>
      </w:pPr>
      <w:r>
        <w:t>L</w:t>
      </w:r>
      <w:r w:rsidR="00F119B0">
        <w:t xml:space="preserve">a </w:t>
      </w:r>
      <w:r w:rsidR="00BD5243">
        <w:t>SSF</w:t>
      </w:r>
      <w:r w:rsidR="00F119B0">
        <w:t xml:space="preserve"> realiza </w:t>
      </w:r>
      <w:r w:rsidR="00BD5243">
        <w:t>además la</w:t>
      </w:r>
      <w:r w:rsidR="00F119B0">
        <w:t xml:space="preserve"> publicación </w:t>
      </w:r>
      <w:r w:rsidR="00BD5243">
        <w:t xml:space="preserve">de un suplemento </w:t>
      </w:r>
      <w:r w:rsidR="00F119B0">
        <w:t xml:space="preserve">en dos periódicos de circulación nacional, presentando los cobros </w:t>
      </w:r>
      <w:r>
        <w:t xml:space="preserve">de cada una de las instituciones financieras </w:t>
      </w:r>
      <w:r w:rsidR="00F119B0">
        <w:t>de forma comparativa</w:t>
      </w:r>
      <w:r>
        <w:t>, en un esfuerzo para que los usuarios tengan una herramienta que les permita conocer</w:t>
      </w:r>
      <w:r w:rsidR="00077D8E">
        <w:t xml:space="preserve"> los cobros que les hacen los bancos y</w:t>
      </w:r>
      <w:r>
        <w:t xml:space="preserve"> tomar una decisión informada.</w:t>
      </w:r>
    </w:p>
    <w:p w:rsidR="00515BAC" w:rsidRDefault="00515BAC" w:rsidP="007B68A8">
      <w:pPr>
        <w:jc w:val="both"/>
      </w:pPr>
      <w:r>
        <w:t xml:space="preserve">Para poder </w:t>
      </w:r>
      <w:r w:rsidR="007C6996">
        <w:t>incursionar en</w:t>
      </w:r>
      <w:r>
        <w:t xml:space="preserve"> el lenguaje financiero</w:t>
      </w:r>
      <w:r w:rsidR="006F5F8B">
        <w:t>,</w:t>
      </w:r>
      <w:r>
        <w:t xml:space="preserve"> </w:t>
      </w:r>
      <w:r w:rsidR="007C6996">
        <w:t xml:space="preserve">primero debemos </w:t>
      </w:r>
      <w:r w:rsidR="00077D8E">
        <w:t>diferenciar</w:t>
      </w:r>
      <w:r w:rsidR="007C6996">
        <w:t xml:space="preserve"> cuales son</w:t>
      </w:r>
      <w:r>
        <w:t xml:space="preserve"> </w:t>
      </w:r>
      <w:r w:rsidR="006F5F8B">
        <w:t xml:space="preserve">las </w:t>
      </w:r>
      <w:r>
        <w:t xml:space="preserve">tasas pasivas y </w:t>
      </w:r>
      <w:r w:rsidR="006F5F8B">
        <w:t>las</w:t>
      </w:r>
      <w:r>
        <w:t xml:space="preserve"> activas</w:t>
      </w:r>
      <w:r w:rsidR="00D46D88">
        <w:t>: l</w:t>
      </w:r>
      <w:r w:rsidR="006F5F8B">
        <w:t>as primeras son las que los bancos pagan por los depósitos o los ahorros y las segundas las que cobran por los créditos</w:t>
      </w:r>
      <w:r w:rsidR="00CF61B0">
        <w:t xml:space="preserve"> o préstamos</w:t>
      </w:r>
      <w:r w:rsidR="006F5F8B">
        <w:t xml:space="preserve"> que otorgan.</w:t>
      </w:r>
    </w:p>
    <w:p w:rsidR="006F5F8B" w:rsidRDefault="001D6A13" w:rsidP="007B68A8">
      <w:pPr>
        <w:jc w:val="both"/>
      </w:pPr>
      <w:r>
        <w:rPr>
          <w:noProof/>
          <w:lang w:eastAsia="es-S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27.05pt;margin-top:6.6pt;width:2in;height:43.3pt;z-index:251676672;mso-width-relative:margin;mso-height-relative:margin">
            <v:textbox style="mso-next-textbox:#_x0000_s1044">
              <w:txbxContent>
                <w:p w:rsidR="001D6A13" w:rsidRPr="001D6A13" w:rsidRDefault="001D6A13" w:rsidP="001D6A13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1D6A13">
                    <w:rPr>
                      <w:sz w:val="18"/>
                      <w:szCs w:val="18"/>
                    </w:rPr>
                    <w:t>La tasa de interés nominal es aquella que se da para un año plazo.</w:t>
                  </w:r>
                </w:p>
                <w:p w:rsidR="00BB6C10" w:rsidRPr="001D6A13" w:rsidRDefault="00BB6C10" w:rsidP="001D6A13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42386A">
        <w:rPr>
          <w:noProof/>
          <w:lang w:eastAsia="es-SV"/>
        </w:rPr>
        <w:pict>
          <v:shape id="_x0000_s1035" type="#_x0000_t202" style="position:absolute;left:0;text-align:left;margin-left:212.65pt;margin-top:16.5pt;width:84.75pt;height:20.2pt;z-index:251668480;mso-width-relative:margin;mso-height-relative:margin">
            <v:textbox style="mso-next-textbox:#_x0000_s1035">
              <w:txbxContent>
                <w:p w:rsidR="00822B0B" w:rsidRDefault="00822B0B" w:rsidP="00201BFE">
                  <w:pPr>
                    <w:spacing w:after="0" w:line="240" w:lineRule="auto"/>
                    <w:rPr>
                      <w:sz w:val="18"/>
                      <w:szCs w:val="18"/>
                      <w:lang w:val="es-ES"/>
                    </w:rPr>
                  </w:pPr>
                  <w:r w:rsidRPr="00754BB0">
                    <w:rPr>
                      <w:sz w:val="18"/>
                      <w:szCs w:val="18"/>
                      <w:lang w:val="es-ES"/>
                    </w:rPr>
                    <w:t xml:space="preserve">Tasas </w:t>
                  </w:r>
                  <w:r>
                    <w:rPr>
                      <w:sz w:val="18"/>
                      <w:szCs w:val="18"/>
                      <w:lang w:val="es-ES"/>
                    </w:rPr>
                    <w:t>nominales</w:t>
                  </w:r>
                </w:p>
              </w:txbxContent>
            </v:textbox>
          </v:shape>
        </w:pict>
      </w:r>
    </w:p>
    <w:p w:rsidR="00515BAC" w:rsidRDefault="006F7093" w:rsidP="007B68A8">
      <w:pPr>
        <w:jc w:val="both"/>
      </w:pPr>
      <w:r>
        <w:rPr>
          <w:noProof/>
          <w:lang w:eastAsia="es-S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86.35pt;margin-top:2.15pt;width:18.6pt;height:15pt;flip:y;z-index:251667456" o:connectortype="straight">
            <v:stroke endarrow="block"/>
          </v:shape>
        </w:pict>
      </w:r>
      <w:r>
        <w:rPr>
          <w:noProof/>
          <w:lang w:eastAsia="es-SV"/>
        </w:rPr>
        <w:pict>
          <v:shape id="_x0000_s1039" type="#_x0000_t32" style="position:absolute;left:0;text-align:left;margin-left:186.95pt;margin-top:20.55pt;width:18.6pt;height:13.85pt;z-index:251672576" o:connectortype="straight">
            <v:stroke endarrow="block"/>
          </v:shape>
        </w:pict>
      </w:r>
      <w:r>
        <w:rPr>
          <w:noProof/>
          <w:lang w:eastAsia="es-SV"/>
        </w:rPr>
        <w:pict>
          <v:shape id="_x0000_s1028" type="#_x0000_t202" style="position:absolute;left:0;text-align:left;margin-left:76.7pt;margin-top:8.25pt;width:106.45pt;height:20.2pt;z-index:251661312;mso-width-relative:margin;mso-height-relative:margin">
            <v:textbox style="mso-next-textbox:#_x0000_s1028">
              <w:txbxContent>
                <w:p w:rsidR="00822B0B" w:rsidRPr="00754BB0" w:rsidRDefault="00822B0B" w:rsidP="00754BB0">
                  <w:pPr>
                    <w:jc w:val="center"/>
                    <w:rPr>
                      <w:sz w:val="18"/>
                      <w:szCs w:val="18"/>
                      <w:lang w:val="es-ES"/>
                    </w:rPr>
                  </w:pPr>
                  <w:r w:rsidRPr="00754BB0">
                    <w:rPr>
                      <w:sz w:val="18"/>
                      <w:szCs w:val="18"/>
                      <w:lang w:val="es-ES"/>
                    </w:rPr>
                    <w:t xml:space="preserve">Tasas </w:t>
                  </w:r>
                  <w:r>
                    <w:rPr>
                      <w:sz w:val="18"/>
                      <w:szCs w:val="18"/>
                      <w:lang w:val="es-ES"/>
                    </w:rPr>
                    <w:t xml:space="preserve">de interés </w:t>
                  </w:r>
                  <w:r w:rsidRPr="00754BB0">
                    <w:rPr>
                      <w:sz w:val="18"/>
                      <w:szCs w:val="18"/>
                      <w:lang w:val="es-ES"/>
                    </w:rPr>
                    <w:t>activas</w:t>
                  </w:r>
                </w:p>
              </w:txbxContent>
            </v:textbox>
          </v:shape>
        </w:pict>
      </w:r>
      <w:r w:rsidRPr="0042386A">
        <w:rPr>
          <w:noProof/>
          <w:lang w:val="es-ES"/>
        </w:rPr>
        <w:pict>
          <v:shape id="_x0000_s1027" type="#_x0000_t202" style="position:absolute;left:0;text-align:left;margin-left:-39.8pt;margin-top:8.25pt;width:104.85pt;height:20.2pt;z-index:251660288;mso-width-relative:margin;mso-height-relative:margin">
            <v:textbox style="mso-next-textbox:#_x0000_s1027">
              <w:txbxContent>
                <w:p w:rsidR="00822B0B" w:rsidRPr="00754BB0" w:rsidRDefault="00822B0B" w:rsidP="00754BB0">
                  <w:pPr>
                    <w:jc w:val="center"/>
                    <w:rPr>
                      <w:sz w:val="18"/>
                      <w:szCs w:val="18"/>
                      <w:lang w:val="es-ES"/>
                    </w:rPr>
                  </w:pPr>
                  <w:r w:rsidRPr="00754BB0">
                    <w:rPr>
                      <w:sz w:val="18"/>
                      <w:szCs w:val="18"/>
                      <w:lang w:val="es-ES"/>
                    </w:rPr>
                    <w:t>Tasas de interés  pasivas</w:t>
                  </w:r>
                </w:p>
              </w:txbxContent>
            </v:textbox>
          </v:shape>
        </w:pict>
      </w:r>
      <w:r>
        <w:rPr>
          <w:noProof/>
          <w:lang w:eastAsia="es-SV"/>
        </w:rPr>
        <w:pict>
          <v:shape id="_x0000_s1029" type="#_x0000_t32" style="position:absolute;left:0;text-align:left;margin-left:14.95pt;margin-top:38.3pt;width:0;height:17.3pt;z-index:251662336" o:connectortype="straight">
            <v:stroke endarrow="block"/>
          </v:shape>
        </w:pict>
      </w:r>
      <w:r>
        <w:rPr>
          <w:noProof/>
          <w:lang w:eastAsia="es-SV"/>
        </w:rPr>
        <w:pict>
          <v:shape id="_x0000_s1030" type="#_x0000_t32" style="position:absolute;left:0;text-align:left;margin-left:111.15pt;margin-top:37.8pt;width:0;height:17.3pt;z-index:251663360" o:connectortype="straight">
            <v:stroke endarrow="block"/>
          </v:shape>
        </w:pict>
      </w:r>
      <w:r>
        <w:rPr>
          <w:noProof/>
          <w:lang w:eastAsia="es-SV"/>
        </w:rPr>
        <w:pict>
          <v:shape id="_x0000_s1043" type="#_x0000_t202" style="position:absolute;left:0;text-align:left;margin-left:327.05pt;margin-top:28.45pt;width:2in;height:60.9pt;z-index:251675648;mso-width-relative:margin;mso-height-relative:margin">
            <v:textbox style="mso-next-textbox:#_x0000_s1043">
              <w:txbxContent>
                <w:p w:rsidR="00BB6C10" w:rsidRPr="00BB6C10" w:rsidRDefault="00BB6C10" w:rsidP="00BB6C1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B6C10">
                    <w:rPr>
                      <w:sz w:val="18"/>
                      <w:szCs w:val="18"/>
                    </w:rPr>
                    <w:t>Se refiere a un cálculo aproximado de la tasa que en realidad le cobrarán pues ya tiene sumadas las comisiones que aplican a su crédito.</w:t>
                  </w:r>
                </w:p>
                <w:p w:rsidR="00BB6C10" w:rsidRPr="00BB6C10" w:rsidRDefault="00BB6C10" w:rsidP="00BB6C10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es-SV"/>
        </w:rPr>
        <w:pict>
          <v:shape id="_x0000_s1036" type="#_x0000_t202" style="position:absolute;left:0;text-align:left;margin-left:211.45pt;margin-top:25.85pt;width:84.75pt;height:20.2pt;z-index:251669504;mso-width-relative:margin;mso-height-relative:margin">
            <v:textbox style="mso-next-textbox:#_x0000_s1036">
              <w:txbxContent>
                <w:p w:rsidR="00822B0B" w:rsidRDefault="00822B0B" w:rsidP="00201BFE">
                  <w:pPr>
                    <w:spacing w:after="0" w:line="240" w:lineRule="auto"/>
                    <w:rPr>
                      <w:sz w:val="18"/>
                      <w:szCs w:val="18"/>
                      <w:lang w:val="es-ES"/>
                    </w:rPr>
                  </w:pPr>
                  <w:r w:rsidRPr="00754BB0">
                    <w:rPr>
                      <w:sz w:val="18"/>
                      <w:szCs w:val="18"/>
                      <w:lang w:val="es-ES"/>
                    </w:rPr>
                    <w:t xml:space="preserve">Tasas </w:t>
                  </w:r>
                  <w:r>
                    <w:rPr>
                      <w:sz w:val="18"/>
                      <w:szCs w:val="18"/>
                      <w:lang w:val="es-ES"/>
                    </w:rPr>
                    <w:t>efectivas</w:t>
                  </w:r>
                </w:p>
              </w:txbxContent>
            </v:textbox>
          </v:shape>
        </w:pict>
      </w:r>
      <w:r>
        <w:rPr>
          <w:noProof/>
          <w:lang w:eastAsia="es-SV"/>
        </w:rPr>
        <w:pict>
          <v:shape id="_x0000_s1031" type="#_x0000_t202" style="position:absolute;left:0;text-align:left;margin-left:-24.25pt;margin-top:76.8pt;width:77.2pt;height:20.2pt;z-index:251664384;mso-width-relative:margin;mso-height-relative:margin">
            <v:textbox style="mso-next-textbox:#_x0000_s1031">
              <w:txbxContent>
                <w:p w:rsidR="00822B0B" w:rsidRPr="00754BB0" w:rsidRDefault="00822B0B" w:rsidP="00754BB0">
                  <w:pPr>
                    <w:jc w:val="center"/>
                    <w:rPr>
                      <w:sz w:val="18"/>
                      <w:szCs w:val="18"/>
                      <w:lang w:val="es-ES"/>
                    </w:rPr>
                  </w:pPr>
                  <w:r w:rsidRPr="00754BB0">
                    <w:rPr>
                      <w:sz w:val="18"/>
                      <w:szCs w:val="18"/>
                      <w:lang w:val="es-ES"/>
                    </w:rPr>
                    <w:t>Ahorros</w:t>
                  </w:r>
                </w:p>
              </w:txbxContent>
            </v:textbox>
          </v:shape>
        </w:pict>
      </w:r>
      <w:r>
        <w:rPr>
          <w:noProof/>
          <w:lang w:eastAsia="es-SV"/>
        </w:rPr>
        <w:pict>
          <v:shape id="_x0000_s1033" type="#_x0000_t202" style="position:absolute;left:0;text-align:left;margin-left:163.7pt;margin-top:76.3pt;width:84.5pt;height:64.45pt;z-index:251666432;mso-width-relative:margin;mso-height-relative:margin">
            <v:textbox style="mso-next-textbox:#_x0000_s1033">
              <w:txbxContent>
                <w:p w:rsidR="00822B0B" w:rsidRPr="00754BB0" w:rsidRDefault="00822B0B" w:rsidP="00754BB0">
                  <w:pPr>
                    <w:spacing w:after="0" w:line="240" w:lineRule="auto"/>
                    <w:rPr>
                      <w:sz w:val="18"/>
                      <w:szCs w:val="18"/>
                      <w:lang w:val="es-ES"/>
                    </w:rPr>
                  </w:pPr>
                  <w:r w:rsidRPr="00754BB0">
                    <w:rPr>
                      <w:sz w:val="18"/>
                      <w:szCs w:val="18"/>
                      <w:lang w:val="es-ES"/>
                    </w:rPr>
                    <w:t>Tarjetas</w:t>
                  </w:r>
                </w:p>
                <w:p w:rsidR="00822B0B" w:rsidRPr="00754BB0" w:rsidRDefault="00822B0B" w:rsidP="00754BB0">
                  <w:pPr>
                    <w:spacing w:after="0" w:line="240" w:lineRule="auto"/>
                    <w:rPr>
                      <w:sz w:val="18"/>
                      <w:szCs w:val="18"/>
                      <w:lang w:val="es-ES"/>
                    </w:rPr>
                  </w:pPr>
                  <w:r w:rsidRPr="00754BB0">
                    <w:rPr>
                      <w:sz w:val="18"/>
                      <w:szCs w:val="18"/>
                      <w:lang w:val="es-ES"/>
                    </w:rPr>
                    <w:t>Productivos</w:t>
                  </w:r>
                </w:p>
                <w:p w:rsidR="00822B0B" w:rsidRPr="00754BB0" w:rsidRDefault="00822B0B" w:rsidP="00754BB0">
                  <w:pPr>
                    <w:spacing w:after="0" w:line="240" w:lineRule="auto"/>
                    <w:rPr>
                      <w:sz w:val="18"/>
                      <w:szCs w:val="18"/>
                      <w:lang w:val="es-ES"/>
                    </w:rPr>
                  </w:pPr>
                  <w:r w:rsidRPr="00754BB0">
                    <w:rPr>
                      <w:sz w:val="18"/>
                      <w:szCs w:val="18"/>
                      <w:lang w:val="es-ES"/>
                    </w:rPr>
                    <w:t>De consumo</w:t>
                  </w:r>
                </w:p>
                <w:p w:rsidR="00822B0B" w:rsidRPr="00754BB0" w:rsidRDefault="00822B0B" w:rsidP="00754BB0">
                  <w:pPr>
                    <w:spacing w:after="0" w:line="240" w:lineRule="auto"/>
                    <w:rPr>
                      <w:sz w:val="18"/>
                      <w:szCs w:val="18"/>
                      <w:lang w:val="es-ES"/>
                    </w:rPr>
                  </w:pPr>
                  <w:r w:rsidRPr="00754BB0">
                    <w:rPr>
                      <w:sz w:val="18"/>
                      <w:szCs w:val="18"/>
                      <w:lang w:val="es-ES"/>
                    </w:rPr>
                    <w:t>Hipotecarios</w:t>
                  </w:r>
                </w:p>
                <w:p w:rsidR="00822B0B" w:rsidRPr="00754BB0" w:rsidRDefault="00822B0B" w:rsidP="00754BB0">
                  <w:pPr>
                    <w:spacing w:after="0" w:line="240" w:lineRule="auto"/>
                    <w:rPr>
                      <w:sz w:val="18"/>
                      <w:szCs w:val="18"/>
                      <w:lang w:val="es-ES"/>
                    </w:rPr>
                  </w:pPr>
                  <w:r w:rsidRPr="00754BB0">
                    <w:rPr>
                      <w:sz w:val="18"/>
                      <w:szCs w:val="18"/>
                      <w:lang w:val="es-ES"/>
                    </w:rPr>
                    <w:t>Agrícolas, etc.</w:t>
                  </w:r>
                </w:p>
              </w:txbxContent>
            </v:textbox>
          </v:shape>
        </w:pict>
      </w:r>
      <w:r>
        <w:rPr>
          <w:noProof/>
          <w:lang w:eastAsia="es-SV"/>
        </w:rPr>
        <w:pict>
          <v:shape id="_x0000_s1042" type="#_x0000_t32" style="position:absolute;left:0;text-align:left;margin-left:299.85pt;margin-top:1pt;width:24.05pt;height:0;z-index:251674624" o:connectortype="straight">
            <v:stroke endarrow="block"/>
          </v:shape>
        </w:pict>
      </w:r>
    </w:p>
    <w:p w:rsidR="00754BB0" w:rsidRDefault="00BB6C10" w:rsidP="007B68A8">
      <w:pPr>
        <w:jc w:val="both"/>
      </w:pPr>
      <w:r>
        <w:rPr>
          <w:noProof/>
          <w:lang w:eastAsia="es-SV"/>
        </w:rPr>
        <w:pict>
          <v:shape id="_x0000_s1045" type="#_x0000_t32" style="position:absolute;left:0;text-align:left;margin-left:299.25pt;margin-top:12.85pt;width:24.05pt;height:0;z-index:251677696" o:connectortype="straight">
            <v:stroke endarrow="block"/>
          </v:shape>
        </w:pict>
      </w:r>
    </w:p>
    <w:p w:rsidR="00754BB0" w:rsidRDefault="00754BB0" w:rsidP="007B68A8">
      <w:pPr>
        <w:jc w:val="both"/>
      </w:pPr>
    </w:p>
    <w:p w:rsidR="00754BB0" w:rsidRDefault="00BB6C10" w:rsidP="007B68A8">
      <w:pPr>
        <w:jc w:val="both"/>
      </w:pPr>
      <w:r>
        <w:rPr>
          <w:noProof/>
          <w:lang w:eastAsia="es-SV"/>
        </w:rPr>
        <w:pict>
          <v:shape id="_x0000_s1032" type="#_x0000_t202" style="position:absolute;left:0;text-align:left;margin-left:76.7pt;margin-top:0;width:77.2pt;height:20.2pt;z-index:251665408;mso-width-relative:margin;mso-height-relative:margin">
            <v:textbox style="mso-next-textbox:#_x0000_s1032">
              <w:txbxContent>
                <w:p w:rsidR="00822B0B" w:rsidRPr="00754BB0" w:rsidRDefault="00822B0B" w:rsidP="00754BB0">
                  <w:pPr>
                    <w:jc w:val="center"/>
                    <w:rPr>
                      <w:sz w:val="18"/>
                      <w:szCs w:val="18"/>
                      <w:lang w:val="es-ES"/>
                    </w:rPr>
                  </w:pPr>
                  <w:r w:rsidRPr="00754BB0">
                    <w:rPr>
                      <w:sz w:val="18"/>
                      <w:szCs w:val="18"/>
                      <w:lang w:val="es-ES"/>
                    </w:rPr>
                    <w:t>Créditos</w:t>
                  </w:r>
                </w:p>
              </w:txbxContent>
            </v:textbox>
          </v:shape>
        </w:pict>
      </w:r>
    </w:p>
    <w:p w:rsidR="00754BB0" w:rsidRDefault="00754BB0" w:rsidP="007B68A8">
      <w:pPr>
        <w:jc w:val="both"/>
      </w:pPr>
    </w:p>
    <w:p w:rsidR="00754BB0" w:rsidRDefault="00912F14" w:rsidP="007B68A8">
      <w:pPr>
        <w:jc w:val="both"/>
      </w:pPr>
      <w:r>
        <w:rPr>
          <w:noProof/>
          <w:lang w:eastAsia="es-SV"/>
        </w:rPr>
        <w:pict>
          <v:shape id="_x0000_s1046" type="#_x0000_t202" style="position:absolute;left:0;text-align:left;margin-left:186.35pt;margin-top:18.15pt;width:284.7pt;height:43.3pt;z-index:251678720;mso-width-relative:margin;mso-height-relative:margin">
            <v:textbox style="mso-next-textbox:#_x0000_s1046">
              <w:txbxContent>
                <w:p w:rsidR="00912F14" w:rsidRPr="00912F14" w:rsidRDefault="00912F14" w:rsidP="00912F14">
                  <w:pPr>
                    <w:rPr>
                      <w:sz w:val="18"/>
                      <w:szCs w:val="18"/>
                    </w:rPr>
                  </w:pPr>
                  <w:r w:rsidRPr="00912F14">
                    <w:rPr>
                      <w:sz w:val="18"/>
                      <w:szCs w:val="18"/>
                    </w:rPr>
                    <w:t>Cobros que aplican por transacciones o retiro de dinero en el cajero automático, por cambio de cheque, por reposición de libreta de ahorro, entre otras.</w:t>
                  </w:r>
                </w:p>
              </w:txbxContent>
            </v:textbox>
          </v:shape>
        </w:pict>
      </w:r>
    </w:p>
    <w:p w:rsidR="006F7093" w:rsidRDefault="00EC2D71" w:rsidP="007B68A8">
      <w:pPr>
        <w:jc w:val="both"/>
      </w:pPr>
      <w:r>
        <w:rPr>
          <w:noProof/>
          <w:lang w:eastAsia="es-SV"/>
        </w:rPr>
        <w:pict>
          <v:shape id="_x0000_s1050" type="#_x0000_t32" style="position:absolute;left:0;text-align:left;margin-left:154.5pt;margin-top:20.7pt;width:24.05pt;height:0;z-index:251682816" o:connectortype="straight">
            <v:stroke endarrow="block"/>
          </v:shape>
        </w:pict>
      </w:r>
      <w:r>
        <w:rPr>
          <w:noProof/>
          <w:lang w:eastAsia="es-SV"/>
        </w:rPr>
        <w:pict>
          <v:shape id="_x0000_s1051" type="#_x0000_t32" style="position:absolute;left:0;text-align:left;margin-left:153.9pt;margin-top:58pt;width:24.05pt;height:0;z-index:251683840" o:connectortype="straight">
            <v:stroke endarrow="block"/>
          </v:shape>
        </w:pict>
      </w:r>
      <w:r w:rsidR="00912F14">
        <w:rPr>
          <w:noProof/>
          <w:lang w:eastAsia="es-SV"/>
        </w:rPr>
        <w:pict>
          <v:shape id="_x0000_s1047" type="#_x0000_t202" style="position:absolute;left:0;text-align:left;margin-left:91.05pt;margin-top:10.2pt;width:58.35pt;height:20.2pt;z-index:251679744;mso-width-relative:margin;mso-height-relative:margin">
            <v:textbox style="mso-next-textbox:#_x0000_s1047">
              <w:txbxContent>
                <w:p w:rsidR="00912F14" w:rsidRDefault="00912F14" w:rsidP="00912F1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>Comisiones</w:t>
                  </w:r>
                </w:p>
              </w:txbxContent>
            </v:textbox>
          </v:shape>
        </w:pict>
      </w:r>
      <w:r w:rsidR="001D6A13">
        <w:rPr>
          <w:noProof/>
          <w:lang w:eastAsia="es-SV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0" type="#_x0000_t88" style="position:absolute;left:0;text-align:left;margin-left:65.05pt;margin-top:10.2pt;width:7.3pt;height:47.8pt;flip:x;z-index:251673600" strokeweight="1.5pt"/>
        </w:pict>
      </w:r>
    </w:p>
    <w:p w:rsidR="001D6A13" w:rsidRDefault="00912F14" w:rsidP="007B68A8">
      <w:pPr>
        <w:jc w:val="both"/>
      </w:pPr>
      <w:r>
        <w:rPr>
          <w:noProof/>
          <w:lang w:eastAsia="es-SV"/>
        </w:rPr>
        <w:pict>
          <v:shape id="_x0000_s1049" type="#_x0000_t202" style="position:absolute;left:0;text-align:left;margin-left:186.35pt;margin-top:14.15pt;width:284.7pt;height:42.55pt;z-index:251681792;mso-width-relative:margin;mso-height-relative:margin">
            <v:textbox style="mso-next-textbox:#_x0000_s1049">
              <w:txbxContent>
                <w:p w:rsidR="00912F14" w:rsidRPr="00912F14" w:rsidRDefault="00912F14" w:rsidP="00912F14">
                  <w:pPr>
                    <w:rPr>
                      <w:sz w:val="18"/>
                      <w:szCs w:val="18"/>
                    </w:rPr>
                  </w:pPr>
                  <w:r w:rsidRPr="00912F14">
                    <w:rPr>
                      <w:sz w:val="18"/>
                      <w:szCs w:val="18"/>
                    </w:rPr>
                    <w:t>Cobros aplicados por incumplimientos del cliente, como el retraso en el pago de sus créditos, sin embargo estos últimos es posible evitarlos si se realizan los pagos puntualmente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es-SV"/>
        </w:rPr>
        <w:pict>
          <v:shape id="_x0000_s1048" type="#_x0000_t202" style="position:absolute;left:0;text-align:left;margin-left:89.85pt;margin-top:19.55pt;width:59.55pt;height:20.2pt;z-index:251680768;mso-width-relative:margin;mso-height-relative:margin">
            <v:textbox style="mso-next-textbox:#_x0000_s1048">
              <w:txbxContent>
                <w:p w:rsidR="00912F14" w:rsidRDefault="00912F14" w:rsidP="00912F1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>Recargos</w:t>
                  </w:r>
                </w:p>
              </w:txbxContent>
            </v:textbox>
          </v:shape>
        </w:pict>
      </w:r>
      <w:r w:rsidR="001D6A13">
        <w:t>Otros cobros</w:t>
      </w:r>
    </w:p>
    <w:p w:rsidR="001D6A13" w:rsidRDefault="001D6A13" w:rsidP="007B68A8">
      <w:pPr>
        <w:jc w:val="both"/>
      </w:pPr>
    </w:p>
    <w:p w:rsidR="00EE1EA8" w:rsidRDefault="00EE1EA8" w:rsidP="007B68A8">
      <w:pPr>
        <w:jc w:val="both"/>
      </w:pPr>
    </w:p>
    <w:p w:rsidR="008F518F" w:rsidRDefault="00D46D88" w:rsidP="007B68A8">
      <w:pPr>
        <w:jc w:val="both"/>
      </w:pPr>
      <w:r>
        <w:t>Las</w:t>
      </w:r>
      <w:r w:rsidR="008F518F">
        <w:t xml:space="preserve"> tasas de interés activas son presentadas en la publicación que realizan tanto los bancos como la SSF, mostrando las tasas máximas que puede cobrar un banco, y no necesariamente implica que </w:t>
      </w:r>
      <w:r w:rsidR="008F518F">
        <w:lastRenderedPageBreak/>
        <w:t xml:space="preserve">esa es la tasa que le van a cobrar, pues esto depende de las políticas de cada banco; no obstante, no puede cobrarle más de la tasa máxima publicada. </w:t>
      </w:r>
    </w:p>
    <w:p w:rsidR="006A5B98" w:rsidRDefault="006A5B98" w:rsidP="007B68A8">
      <w:pPr>
        <w:jc w:val="both"/>
      </w:pPr>
      <w:r>
        <w:t xml:space="preserve">Para  el caso de las tasas pasivas éstas se presentan en la publicación comparando las mínimas, es decir, las </w:t>
      </w:r>
      <w:r w:rsidR="008F518F">
        <w:t>más</w:t>
      </w:r>
      <w:r>
        <w:t xml:space="preserve"> bajas que pueden pagar las instituciones financieras por sus depósitos.</w:t>
      </w:r>
      <w:r w:rsidR="008F518F">
        <w:t xml:space="preserve"> </w:t>
      </w:r>
      <w:r>
        <w:t xml:space="preserve">Sin embargo, dependiendo del monto, del plazo y de la fidelidad y record del cliente, éste puede negociar con el banco y obtener una mejor tasa de interés. </w:t>
      </w:r>
    </w:p>
    <w:p w:rsidR="008F518F" w:rsidRDefault="008F518F" w:rsidP="007B68A8">
      <w:pPr>
        <w:jc w:val="both"/>
      </w:pPr>
      <w:r>
        <w:t>Comisiones y Recargos</w:t>
      </w:r>
    </w:p>
    <w:p w:rsidR="00CD2BCF" w:rsidRDefault="008F518F" w:rsidP="007B68A8">
      <w:pPr>
        <w:jc w:val="both"/>
      </w:pPr>
      <w:r>
        <w:t>Existen además otros cobros que las entidades financieras aplican por los pro</w:t>
      </w:r>
      <w:r w:rsidR="00024FCF">
        <w:t xml:space="preserve">ductos y servicios </w:t>
      </w:r>
      <w:r w:rsidR="00172F00">
        <w:t>contratados</w:t>
      </w:r>
      <w:r w:rsidR="00024FCF">
        <w:t>, como son l</w:t>
      </w:r>
      <w:r w:rsidR="006A5B98">
        <w:t xml:space="preserve">as comisiones </w:t>
      </w:r>
      <w:r w:rsidR="00CD2BCF">
        <w:t>y los recargos.</w:t>
      </w:r>
    </w:p>
    <w:p w:rsidR="00CD2BCF" w:rsidRDefault="00CD2BCF" w:rsidP="007B68A8">
      <w:pPr>
        <w:jc w:val="both"/>
      </w:pPr>
      <w:r>
        <w:t>Las comisiones son los</w:t>
      </w:r>
      <w:r w:rsidR="00024FCF">
        <w:t xml:space="preserve"> </w:t>
      </w:r>
      <w:r w:rsidR="006A5B98">
        <w:t xml:space="preserve">cobros </w:t>
      </w:r>
      <w:r>
        <w:t xml:space="preserve">que aplican </w:t>
      </w:r>
      <w:r w:rsidR="006A5B98">
        <w:t xml:space="preserve">por </w:t>
      </w:r>
      <w:r w:rsidR="00D43EFC">
        <w:t xml:space="preserve">transacciones o </w:t>
      </w:r>
      <w:r w:rsidR="006A5B98">
        <w:t>retiro de dinero en el cajero automático, por cambio de cheque, por reposición de libreta de ahorro</w:t>
      </w:r>
      <w:r w:rsidR="00024FCF">
        <w:t>, entre otras.</w:t>
      </w:r>
      <w:r>
        <w:t xml:space="preserve"> Mientras que los r</w:t>
      </w:r>
      <w:r w:rsidR="00C752FC" w:rsidRPr="00C752FC">
        <w:t xml:space="preserve">ecargos </w:t>
      </w:r>
      <w:r>
        <w:t xml:space="preserve">son cobros aplicados </w:t>
      </w:r>
      <w:r w:rsidR="00C752FC" w:rsidRPr="00C752FC">
        <w:t>por incumplimientos del cliente, como el retraso en el pago de sus créditos</w:t>
      </w:r>
      <w:r>
        <w:t>, sin embargo estos últimos es posible evitarlos si se realizan los pagos puntualmente.</w:t>
      </w:r>
    </w:p>
    <w:p w:rsidR="006A5B98" w:rsidRDefault="00C84098" w:rsidP="007B68A8">
      <w:pPr>
        <w:jc w:val="both"/>
      </w:pPr>
      <w:r>
        <w:t>Es importante tener presente que n</w:t>
      </w:r>
      <w:r w:rsidR="00D43EFC">
        <w:t>ingún banco le puede cobrar una comisión que no haya hecho del conocimiento del público previamente</w:t>
      </w:r>
      <w:r>
        <w:t>, por ello l</w:t>
      </w:r>
      <w:r w:rsidR="006A5B98">
        <w:t>e recomendamos que revise las tarifas publicadas por los bancos o por la SSF al inicio del mes</w:t>
      </w:r>
      <w:r w:rsidR="00D43EFC">
        <w:t xml:space="preserve"> </w:t>
      </w:r>
      <w:r>
        <w:t>para que conozca aspectos básicos como</w:t>
      </w:r>
      <w:r w:rsidR="006A5B98">
        <w:t xml:space="preserve"> cuantas operaciones en cajero puede realizar sin costo y además cual es el valor de la comisión que le tocaría pagar si usted sobrepasa el número de operaciones ya definidas.</w:t>
      </w:r>
    </w:p>
    <w:p w:rsidR="00C84098" w:rsidRPr="00C84098" w:rsidRDefault="00C84098" w:rsidP="007B68A8">
      <w:pPr>
        <w:jc w:val="both"/>
        <w:rPr>
          <w:b/>
        </w:rPr>
      </w:pPr>
      <w:r>
        <w:rPr>
          <w:b/>
        </w:rPr>
        <w:t>Colocar e</w:t>
      </w:r>
      <w:r w:rsidRPr="00C84098">
        <w:rPr>
          <w:b/>
        </w:rPr>
        <w:t>n recuadro:</w:t>
      </w:r>
    </w:p>
    <w:tbl>
      <w:tblPr>
        <w:tblStyle w:val="Tablaconcuadrcula"/>
        <w:tblW w:w="0" w:type="auto"/>
        <w:shd w:val="clear" w:color="auto" w:fill="BFBFBF" w:themeFill="background1" w:themeFillShade="BF"/>
        <w:tblLook w:val="04A0"/>
      </w:tblPr>
      <w:tblGrid>
        <w:gridCol w:w="8978"/>
      </w:tblGrid>
      <w:tr w:rsidR="00C84098" w:rsidTr="00C84098">
        <w:tc>
          <w:tcPr>
            <w:tcW w:w="8978" w:type="dxa"/>
            <w:shd w:val="clear" w:color="auto" w:fill="BFBFBF" w:themeFill="background1" w:themeFillShade="BF"/>
          </w:tcPr>
          <w:p w:rsidR="00C84098" w:rsidRDefault="00C84098" w:rsidP="00C84098">
            <w:pPr>
              <w:jc w:val="both"/>
            </w:pPr>
            <w:r>
              <w:t>Si un usuario considera que está siendo víctima de cobros excesivos o tiene dudas sobre los cobros aplicados a sus productos financieros puede acudir a la Oficina de Atención al Usuario presentando su petición a los teléfonos 2133-2944  ó 2133-2945, al correo atencionalusuario@ssf.gob.sv, o por escrito en la dirección  Alameda Roosevelt  N. 3107, San Salvador en el Segundo nivel del edificio MAPFRE la Centro Americana, San Salvador.</w:t>
            </w:r>
          </w:p>
        </w:tc>
      </w:tr>
    </w:tbl>
    <w:p w:rsidR="00B342AF" w:rsidRDefault="00B342AF" w:rsidP="007B68A8">
      <w:pPr>
        <w:jc w:val="both"/>
      </w:pPr>
    </w:p>
    <w:sectPr w:rsidR="00B342AF" w:rsidSect="00EE1EA8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A5B98"/>
    <w:rsid w:val="00024FCF"/>
    <w:rsid w:val="000317DF"/>
    <w:rsid w:val="00077D8E"/>
    <w:rsid w:val="000B2814"/>
    <w:rsid w:val="000F27B2"/>
    <w:rsid w:val="00127A24"/>
    <w:rsid w:val="00172F00"/>
    <w:rsid w:val="001D6A13"/>
    <w:rsid w:val="00201BFE"/>
    <w:rsid w:val="002575E0"/>
    <w:rsid w:val="002C7D03"/>
    <w:rsid w:val="003334A9"/>
    <w:rsid w:val="00373F58"/>
    <w:rsid w:val="003A7BD3"/>
    <w:rsid w:val="004007F5"/>
    <w:rsid w:val="0042386A"/>
    <w:rsid w:val="00465AE1"/>
    <w:rsid w:val="00477A53"/>
    <w:rsid w:val="004A6F1E"/>
    <w:rsid w:val="004C73BF"/>
    <w:rsid w:val="004F079A"/>
    <w:rsid w:val="00515BAC"/>
    <w:rsid w:val="006A5B98"/>
    <w:rsid w:val="006E512F"/>
    <w:rsid w:val="006F5F8B"/>
    <w:rsid w:val="006F7093"/>
    <w:rsid w:val="00754BB0"/>
    <w:rsid w:val="00780F1D"/>
    <w:rsid w:val="007A7EA0"/>
    <w:rsid w:val="007B68A8"/>
    <w:rsid w:val="007C6996"/>
    <w:rsid w:val="007C6A2C"/>
    <w:rsid w:val="00822B0B"/>
    <w:rsid w:val="008B139D"/>
    <w:rsid w:val="008F518F"/>
    <w:rsid w:val="00912F14"/>
    <w:rsid w:val="009148EC"/>
    <w:rsid w:val="009668CE"/>
    <w:rsid w:val="00984C84"/>
    <w:rsid w:val="00A0144F"/>
    <w:rsid w:val="00A26942"/>
    <w:rsid w:val="00A45CD1"/>
    <w:rsid w:val="00A62111"/>
    <w:rsid w:val="00B342AF"/>
    <w:rsid w:val="00B87A52"/>
    <w:rsid w:val="00BA2205"/>
    <w:rsid w:val="00BB6C10"/>
    <w:rsid w:val="00BD5243"/>
    <w:rsid w:val="00C752FC"/>
    <w:rsid w:val="00C84098"/>
    <w:rsid w:val="00CD2BCF"/>
    <w:rsid w:val="00CF05A2"/>
    <w:rsid w:val="00CF61B0"/>
    <w:rsid w:val="00D15669"/>
    <w:rsid w:val="00D43EFC"/>
    <w:rsid w:val="00D46D88"/>
    <w:rsid w:val="00DA28FA"/>
    <w:rsid w:val="00E6238C"/>
    <w:rsid w:val="00EB4FA5"/>
    <w:rsid w:val="00EC2D71"/>
    <w:rsid w:val="00EE1EA8"/>
    <w:rsid w:val="00F119B0"/>
    <w:rsid w:val="00F80918"/>
    <w:rsid w:val="00FC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5" type="connector" idref="#_x0000_s1030"/>
        <o:r id="V:Rule6" type="connector" idref="#_x0000_s1029"/>
        <o:r id="V:Rule7" type="connector" idref="#_x0000_s1039"/>
        <o:r id="V:Rule8" type="connector" idref="#_x0000_s1034"/>
        <o:r id="V:Rule9" type="connector" idref="#_x0000_s1042"/>
        <o:r id="V:Rule10" type="connector" idref="#_x0000_s1045"/>
        <o:r id="V:Rule11" type="connector" idref="#_x0000_s1050"/>
        <o:r id="V:Rule12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BB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84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cclf</dc:creator>
  <cp:lastModifiedBy>cclf</cp:lastModifiedBy>
  <cp:revision>33</cp:revision>
  <dcterms:created xsi:type="dcterms:W3CDTF">2016-05-12T19:45:00Z</dcterms:created>
  <dcterms:modified xsi:type="dcterms:W3CDTF">2016-05-13T17:27:00Z</dcterms:modified>
</cp:coreProperties>
</file>