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D8ED" w14:textId="77777777" w:rsidR="00827FB3" w:rsidRPr="00827FB3" w:rsidRDefault="00827FB3" w:rsidP="00827FB3">
      <w:pPr>
        <w:keepNext/>
        <w:jc w:val="both"/>
        <w:outlineLvl w:val="0"/>
        <w:rPr>
          <w:rFonts w:ascii="Museo Sans 300" w:hAnsi="Museo Sans 300"/>
          <w:bCs/>
          <w:sz w:val="22"/>
          <w:szCs w:val="22"/>
        </w:rPr>
      </w:pPr>
      <w:r w:rsidRPr="00827FB3">
        <w:rPr>
          <w:rFonts w:ascii="Museo Sans 300" w:hAnsi="Museo Sans 300"/>
          <w:bCs/>
          <w:sz w:val="22"/>
          <w:szCs w:val="22"/>
        </w:rPr>
        <w:t>El Consejo Directivo de la Superintendencia del Sistema Financiero, en uso de la potestad contenida en el literal c) del artículo 10 de la Ley Orgánica de la Superintendencia del Sistema Financiero, en el artículo 224 de la Ley de Bancos y el Artículo 155 de la Ley de Intermediarios Financieros no Bancarios, emite las presentes:</w:t>
      </w:r>
    </w:p>
    <w:p w14:paraId="414206A4" w14:textId="77777777" w:rsidR="00827FB3" w:rsidRPr="00827FB3" w:rsidRDefault="00827FB3" w:rsidP="00827FB3">
      <w:pPr>
        <w:keepNext/>
        <w:jc w:val="both"/>
        <w:outlineLvl w:val="0"/>
        <w:rPr>
          <w:rFonts w:ascii="Museo Sans 300" w:hAnsi="Museo Sans 300"/>
          <w:b/>
          <w:sz w:val="22"/>
          <w:szCs w:val="22"/>
        </w:rPr>
      </w:pPr>
    </w:p>
    <w:p w14:paraId="1D0595E0" w14:textId="77777777" w:rsidR="00827FB3" w:rsidRPr="00827FB3" w:rsidRDefault="00827FB3" w:rsidP="00827FB3">
      <w:pPr>
        <w:keepNext/>
        <w:jc w:val="center"/>
        <w:outlineLvl w:val="0"/>
        <w:rPr>
          <w:rFonts w:ascii="Museo Sans 300" w:hAnsi="Museo Sans 300"/>
          <w:b/>
          <w:sz w:val="22"/>
          <w:szCs w:val="22"/>
        </w:rPr>
      </w:pPr>
      <w:bookmarkStart w:id="0" w:name="_Hlk133591409"/>
      <w:r w:rsidRPr="00827FB3">
        <w:rPr>
          <w:rFonts w:ascii="Museo Sans 300" w:hAnsi="Museo Sans 300"/>
          <w:b/>
          <w:sz w:val="22"/>
          <w:szCs w:val="22"/>
        </w:rPr>
        <w:t>NORMAS PARA LA CONTABILIZACIÓN DE LAS COMISIONES BANCARIAS SOBRE PRÉSTAMOS Y OPERACIONES CONTINGENTES</w:t>
      </w:r>
    </w:p>
    <w:bookmarkEnd w:id="0"/>
    <w:p w14:paraId="7A53731C" w14:textId="77777777" w:rsidR="00827FB3" w:rsidRPr="00827FB3" w:rsidRDefault="00827FB3" w:rsidP="00827FB3">
      <w:pPr>
        <w:keepNext/>
        <w:jc w:val="center"/>
        <w:outlineLvl w:val="0"/>
        <w:rPr>
          <w:rFonts w:ascii="Museo Sans 300" w:hAnsi="Museo Sans 300"/>
          <w:b/>
          <w:sz w:val="22"/>
          <w:szCs w:val="22"/>
        </w:rPr>
      </w:pPr>
    </w:p>
    <w:p w14:paraId="6E73F6F9" w14:textId="77777777" w:rsidR="00827FB3" w:rsidRPr="00827FB3" w:rsidRDefault="00827FB3" w:rsidP="00827FB3">
      <w:pPr>
        <w:keepNext/>
        <w:jc w:val="center"/>
        <w:outlineLvl w:val="0"/>
        <w:rPr>
          <w:rFonts w:ascii="Museo Sans 300" w:hAnsi="Museo Sans 300"/>
          <w:b/>
          <w:sz w:val="22"/>
          <w:szCs w:val="22"/>
        </w:rPr>
      </w:pPr>
      <w:r w:rsidRPr="00827FB3">
        <w:rPr>
          <w:rFonts w:ascii="Museo Sans 300" w:hAnsi="Museo Sans 300"/>
          <w:b/>
          <w:sz w:val="22"/>
          <w:szCs w:val="22"/>
        </w:rPr>
        <w:t>CAPÍTULO I</w:t>
      </w:r>
    </w:p>
    <w:p w14:paraId="71D6ADC2" w14:textId="77777777" w:rsidR="00827FB3" w:rsidRPr="00827FB3" w:rsidRDefault="00827FB3" w:rsidP="00827FB3">
      <w:pPr>
        <w:keepNext/>
        <w:jc w:val="center"/>
        <w:outlineLvl w:val="0"/>
        <w:rPr>
          <w:rFonts w:ascii="Museo Sans 300" w:hAnsi="Museo Sans 300"/>
          <w:b/>
          <w:sz w:val="22"/>
          <w:szCs w:val="22"/>
        </w:rPr>
      </w:pPr>
      <w:r w:rsidRPr="00827FB3">
        <w:rPr>
          <w:rFonts w:ascii="Museo Sans 300" w:hAnsi="Museo Sans 300"/>
          <w:b/>
          <w:sz w:val="22"/>
          <w:szCs w:val="22"/>
        </w:rPr>
        <w:t>OBJETO Y SUJETOS</w:t>
      </w:r>
    </w:p>
    <w:p w14:paraId="53D4DCB1" w14:textId="77777777" w:rsidR="00827FB3" w:rsidRPr="00827FB3" w:rsidRDefault="00827FB3" w:rsidP="00827FB3">
      <w:pPr>
        <w:keepNext/>
        <w:jc w:val="both"/>
        <w:outlineLvl w:val="0"/>
        <w:rPr>
          <w:rFonts w:ascii="Museo Sans 300" w:hAnsi="Museo Sans 300"/>
          <w:b/>
          <w:sz w:val="22"/>
          <w:szCs w:val="22"/>
        </w:rPr>
      </w:pPr>
      <w:r w:rsidRPr="00827FB3">
        <w:rPr>
          <w:rFonts w:ascii="Museo Sans 300" w:hAnsi="Museo Sans 300"/>
          <w:b/>
          <w:sz w:val="22"/>
          <w:szCs w:val="22"/>
        </w:rPr>
        <w:t xml:space="preserve">Objeto </w:t>
      </w:r>
    </w:p>
    <w:p w14:paraId="28235DD3" w14:textId="77777777" w:rsidR="00827FB3" w:rsidRPr="00827FB3" w:rsidRDefault="00827FB3" w:rsidP="00827FB3">
      <w:pPr>
        <w:pStyle w:val="Prrafodelista"/>
        <w:keepNext/>
        <w:numPr>
          <w:ilvl w:val="0"/>
          <w:numId w:val="23"/>
        </w:numPr>
        <w:ind w:left="0" w:firstLine="0"/>
        <w:contextualSpacing/>
        <w:jc w:val="both"/>
        <w:outlineLvl w:val="0"/>
        <w:rPr>
          <w:rFonts w:ascii="Museo Sans 300" w:hAnsi="Museo Sans 300"/>
          <w:bCs/>
          <w:sz w:val="22"/>
          <w:szCs w:val="22"/>
        </w:rPr>
      </w:pPr>
      <w:r w:rsidRPr="00827FB3">
        <w:rPr>
          <w:rFonts w:ascii="Museo Sans 300" w:hAnsi="Museo Sans 300"/>
          <w:b/>
          <w:sz w:val="22"/>
          <w:szCs w:val="22"/>
        </w:rPr>
        <w:t xml:space="preserve"> </w:t>
      </w:r>
      <w:r w:rsidRPr="00827FB3">
        <w:rPr>
          <w:rFonts w:ascii="Museo Sans 300" w:hAnsi="Museo Sans 300"/>
          <w:bCs/>
          <w:sz w:val="22"/>
          <w:szCs w:val="22"/>
        </w:rPr>
        <w:t xml:space="preserve">Las presentes Normas tienen por objeto establecer prácticas uniformes para el registro contable de las comisiones que los bancos cobran anticipadamente a sus clientes por el otorgamiento de préstamos, avales, fianzas, garantías y servicios financieros, cualquiera sea el nombre con que las denominen. </w:t>
      </w:r>
    </w:p>
    <w:p w14:paraId="6FD3343A" w14:textId="77777777" w:rsidR="00827FB3" w:rsidRPr="00E715BF" w:rsidRDefault="00827FB3" w:rsidP="00827FB3">
      <w:pPr>
        <w:keepNext/>
        <w:jc w:val="both"/>
        <w:outlineLvl w:val="0"/>
        <w:rPr>
          <w:rFonts w:ascii="Museo Sans 300" w:hAnsi="Museo Sans 300"/>
          <w:bCs/>
          <w:sz w:val="22"/>
          <w:szCs w:val="22"/>
        </w:rPr>
      </w:pPr>
      <w:r w:rsidRPr="00E715BF">
        <w:rPr>
          <w:rFonts w:ascii="Museo Sans 300" w:hAnsi="Museo Sans 300"/>
          <w:bCs/>
          <w:sz w:val="22"/>
          <w:szCs w:val="22"/>
        </w:rPr>
        <w:tab/>
      </w:r>
    </w:p>
    <w:p w14:paraId="14878757" w14:textId="77777777" w:rsidR="00827FB3" w:rsidRPr="00E715BF" w:rsidRDefault="00827FB3" w:rsidP="00827FB3">
      <w:pPr>
        <w:keepNext/>
        <w:jc w:val="both"/>
        <w:outlineLvl w:val="0"/>
        <w:rPr>
          <w:rFonts w:ascii="Museo Sans 300" w:hAnsi="Museo Sans 300"/>
          <w:bCs/>
          <w:sz w:val="22"/>
          <w:szCs w:val="22"/>
        </w:rPr>
      </w:pPr>
      <w:r w:rsidRPr="00E715BF">
        <w:rPr>
          <w:rFonts w:ascii="Museo Sans 300" w:hAnsi="Museo Sans 300"/>
          <w:bCs/>
          <w:sz w:val="22"/>
          <w:szCs w:val="22"/>
        </w:rPr>
        <w:t>No son objeto de estas Normas las comisiones por servicios prestados que, aunque estén relacionados con una operación activa son autónomas a dicha operación, como lo son los avalúos de bienes que se recibirán en garantía y otros que tengan similitud, así como las derivadas de operaciones a plazos de hasta 30 días.</w:t>
      </w:r>
    </w:p>
    <w:p w14:paraId="2E5FC83C" w14:textId="77777777" w:rsidR="00827FB3" w:rsidRPr="00E715BF" w:rsidRDefault="00827FB3" w:rsidP="00827FB3">
      <w:pPr>
        <w:keepNext/>
        <w:jc w:val="both"/>
        <w:outlineLvl w:val="0"/>
        <w:rPr>
          <w:rFonts w:ascii="Museo Sans 300" w:hAnsi="Museo Sans 300"/>
          <w:b/>
          <w:sz w:val="22"/>
          <w:szCs w:val="22"/>
        </w:rPr>
      </w:pPr>
    </w:p>
    <w:p w14:paraId="2B915F0B" w14:textId="77777777" w:rsidR="00827FB3" w:rsidRPr="00E715BF" w:rsidRDefault="00827FB3" w:rsidP="00827FB3">
      <w:pPr>
        <w:keepNext/>
        <w:jc w:val="both"/>
        <w:outlineLvl w:val="0"/>
        <w:rPr>
          <w:rFonts w:ascii="Museo Sans 300" w:hAnsi="Museo Sans 300"/>
          <w:b/>
          <w:sz w:val="22"/>
          <w:szCs w:val="22"/>
        </w:rPr>
      </w:pPr>
      <w:r w:rsidRPr="00E715BF">
        <w:rPr>
          <w:rFonts w:ascii="Museo Sans 300" w:hAnsi="Museo Sans 300"/>
          <w:b/>
          <w:sz w:val="22"/>
          <w:szCs w:val="22"/>
        </w:rPr>
        <w:t>Sujetos</w:t>
      </w:r>
    </w:p>
    <w:p w14:paraId="02F7FA26" w14:textId="20012310" w:rsidR="00827FB3" w:rsidRPr="00E715BF" w:rsidRDefault="00ED712A" w:rsidP="00ED712A">
      <w:pPr>
        <w:pStyle w:val="Prrafodelista"/>
        <w:keepNext/>
        <w:numPr>
          <w:ilvl w:val="0"/>
          <w:numId w:val="23"/>
        </w:numPr>
        <w:spacing w:after="120"/>
        <w:ind w:left="0" w:firstLine="0"/>
        <w:contextualSpacing/>
        <w:jc w:val="both"/>
        <w:outlineLvl w:val="0"/>
        <w:rPr>
          <w:rFonts w:ascii="Museo Sans 300" w:hAnsi="Museo Sans 300"/>
          <w:bCs/>
          <w:sz w:val="22"/>
          <w:szCs w:val="22"/>
        </w:rPr>
      </w:pPr>
      <w:r>
        <w:rPr>
          <w:rFonts w:ascii="Museo Sans 300" w:hAnsi="Museo Sans 300"/>
          <w:bCs/>
          <w:sz w:val="22"/>
          <w:szCs w:val="22"/>
          <w:lang w:val="es-MX"/>
        </w:rPr>
        <w:t xml:space="preserve"> </w:t>
      </w:r>
      <w:r w:rsidR="00827FB3" w:rsidRPr="00E715BF">
        <w:rPr>
          <w:rFonts w:ascii="Museo Sans 300" w:hAnsi="Museo Sans 300"/>
          <w:bCs/>
          <w:sz w:val="22"/>
          <w:szCs w:val="22"/>
          <w:lang w:val="es-MX"/>
        </w:rPr>
        <w:t>Los sujetos obligados al cumplimiento de las presentes</w:t>
      </w:r>
      <w:r w:rsidR="00827FB3" w:rsidRPr="00E715BF">
        <w:rPr>
          <w:rFonts w:ascii="Museo Sans 300" w:hAnsi="Museo Sans 300"/>
          <w:bCs/>
          <w:sz w:val="22"/>
          <w:szCs w:val="22"/>
        </w:rPr>
        <w:t xml:space="preserve"> Normas son:</w:t>
      </w:r>
    </w:p>
    <w:p w14:paraId="7E442C6A" w14:textId="77777777" w:rsidR="00827FB3" w:rsidRPr="00E715BF" w:rsidRDefault="00827FB3" w:rsidP="00827FB3">
      <w:pPr>
        <w:keepNext/>
        <w:ind w:left="425" w:hanging="425"/>
        <w:jc w:val="both"/>
        <w:outlineLvl w:val="0"/>
        <w:rPr>
          <w:rFonts w:ascii="Museo Sans 300" w:hAnsi="Museo Sans 300"/>
          <w:bCs/>
          <w:sz w:val="22"/>
          <w:szCs w:val="22"/>
        </w:rPr>
      </w:pPr>
      <w:r w:rsidRPr="00E715BF">
        <w:rPr>
          <w:rFonts w:ascii="Museo Sans 300" w:hAnsi="Museo Sans 300"/>
          <w:bCs/>
          <w:sz w:val="22"/>
          <w:szCs w:val="22"/>
        </w:rPr>
        <w:t>a)</w:t>
      </w:r>
      <w:r w:rsidRPr="00E715BF">
        <w:rPr>
          <w:rFonts w:ascii="Museo Sans 300" w:hAnsi="Museo Sans 300"/>
          <w:bCs/>
          <w:sz w:val="22"/>
          <w:szCs w:val="22"/>
        </w:rPr>
        <w:tab/>
        <w:t xml:space="preserve">Los bancos constituidos en el país; </w:t>
      </w:r>
    </w:p>
    <w:p w14:paraId="1868C996" w14:textId="77777777" w:rsidR="00827FB3" w:rsidRPr="00E715BF" w:rsidRDefault="00827FB3" w:rsidP="00827FB3">
      <w:pPr>
        <w:keepNext/>
        <w:ind w:left="425" w:hanging="425"/>
        <w:jc w:val="both"/>
        <w:outlineLvl w:val="0"/>
        <w:rPr>
          <w:rFonts w:ascii="Museo Sans 300" w:hAnsi="Museo Sans 300"/>
          <w:bCs/>
          <w:sz w:val="22"/>
          <w:szCs w:val="22"/>
        </w:rPr>
      </w:pPr>
      <w:r w:rsidRPr="00E715BF">
        <w:rPr>
          <w:rFonts w:ascii="Museo Sans 300" w:hAnsi="Museo Sans 300"/>
          <w:bCs/>
          <w:sz w:val="22"/>
          <w:szCs w:val="22"/>
        </w:rPr>
        <w:t>b)</w:t>
      </w:r>
      <w:r w:rsidRPr="00E715BF">
        <w:rPr>
          <w:rFonts w:ascii="Museo Sans 300" w:hAnsi="Museo Sans 300"/>
          <w:bCs/>
          <w:sz w:val="22"/>
          <w:szCs w:val="22"/>
        </w:rPr>
        <w:tab/>
        <w:t xml:space="preserve">Las sucursales de bancos extranjeros autorizadas y establecidas en el país; y </w:t>
      </w:r>
    </w:p>
    <w:p w14:paraId="070A3944" w14:textId="77777777" w:rsidR="00827FB3" w:rsidRPr="00E715BF" w:rsidRDefault="00827FB3" w:rsidP="00827FB3">
      <w:pPr>
        <w:keepNext/>
        <w:ind w:left="425" w:hanging="425"/>
        <w:jc w:val="both"/>
        <w:outlineLvl w:val="0"/>
        <w:rPr>
          <w:rFonts w:ascii="Museo Sans 300" w:hAnsi="Museo Sans 300"/>
          <w:bCs/>
          <w:sz w:val="22"/>
          <w:szCs w:val="22"/>
        </w:rPr>
      </w:pPr>
      <w:r w:rsidRPr="00E715BF">
        <w:rPr>
          <w:rFonts w:ascii="Museo Sans 300" w:hAnsi="Museo Sans 300"/>
          <w:bCs/>
          <w:sz w:val="22"/>
          <w:szCs w:val="22"/>
        </w:rPr>
        <w:t>c)</w:t>
      </w:r>
      <w:r w:rsidRPr="00E715BF">
        <w:rPr>
          <w:rFonts w:ascii="Museo Sans 300" w:hAnsi="Museo Sans 300"/>
          <w:bCs/>
          <w:sz w:val="22"/>
          <w:szCs w:val="22"/>
        </w:rPr>
        <w:tab/>
        <w:t>Las Sociedades de Ahorro y Crédito.</w:t>
      </w:r>
    </w:p>
    <w:p w14:paraId="2E439AE7" w14:textId="77777777" w:rsidR="00827FB3" w:rsidRPr="00E715BF" w:rsidRDefault="00827FB3" w:rsidP="00827FB3">
      <w:pPr>
        <w:keepNext/>
        <w:jc w:val="both"/>
        <w:outlineLvl w:val="0"/>
        <w:rPr>
          <w:rFonts w:ascii="Museo Sans 300" w:hAnsi="Museo Sans 300"/>
          <w:b/>
          <w:sz w:val="22"/>
          <w:szCs w:val="22"/>
        </w:rPr>
      </w:pPr>
    </w:p>
    <w:p w14:paraId="729A6868" w14:textId="77777777" w:rsidR="00827FB3" w:rsidRPr="00E715BF" w:rsidRDefault="00827FB3" w:rsidP="00827FB3">
      <w:pPr>
        <w:keepNext/>
        <w:jc w:val="both"/>
        <w:outlineLvl w:val="0"/>
        <w:rPr>
          <w:rFonts w:ascii="Museo Sans 300" w:eastAsia="Calibri" w:hAnsi="Museo Sans 300"/>
          <w:bCs/>
          <w:sz w:val="22"/>
          <w:szCs w:val="22"/>
          <w:lang w:val="es-SV" w:eastAsia="en-US"/>
        </w:rPr>
      </w:pPr>
      <w:r w:rsidRPr="00E715BF">
        <w:rPr>
          <w:rFonts w:ascii="Museo Sans 300" w:eastAsia="Calibri" w:hAnsi="Museo Sans 300"/>
          <w:bCs/>
          <w:sz w:val="22"/>
          <w:szCs w:val="22"/>
          <w:lang w:val="es-SV" w:eastAsia="en-US"/>
        </w:rPr>
        <w:t>En el texto de las presentes Normas, los términos “bancos”, “Ley” y “Superintendencia”, servirán para designar a los sujetos contenidos en la relación anterior, a la Ley de Bancos y a la Superintendencia del Sistema Financiero, respectivamente.</w:t>
      </w:r>
    </w:p>
    <w:p w14:paraId="28A44B7A" w14:textId="77777777" w:rsidR="00827FB3" w:rsidRPr="00E715BF" w:rsidRDefault="00827FB3" w:rsidP="00827FB3">
      <w:pPr>
        <w:keepNext/>
        <w:jc w:val="both"/>
        <w:outlineLvl w:val="0"/>
        <w:rPr>
          <w:rFonts w:ascii="Museo Sans 300" w:hAnsi="Museo Sans 300"/>
          <w:b/>
          <w:sz w:val="22"/>
          <w:szCs w:val="22"/>
        </w:rPr>
      </w:pPr>
    </w:p>
    <w:p w14:paraId="41F05E2A" w14:textId="77777777" w:rsidR="00827FB3" w:rsidRPr="00E715BF" w:rsidRDefault="00827FB3" w:rsidP="00827FB3">
      <w:pPr>
        <w:keepNext/>
        <w:jc w:val="center"/>
        <w:outlineLvl w:val="0"/>
        <w:rPr>
          <w:rFonts w:ascii="Museo Sans 300" w:hAnsi="Museo Sans 300"/>
          <w:b/>
          <w:sz w:val="22"/>
          <w:szCs w:val="22"/>
        </w:rPr>
      </w:pPr>
      <w:r w:rsidRPr="00E715BF">
        <w:rPr>
          <w:rFonts w:ascii="Museo Sans 300" w:hAnsi="Museo Sans 300"/>
          <w:b/>
          <w:sz w:val="22"/>
          <w:szCs w:val="22"/>
        </w:rPr>
        <w:t>CAPÍTULO II</w:t>
      </w:r>
    </w:p>
    <w:p w14:paraId="3D5938BD" w14:textId="77777777" w:rsidR="00827FB3" w:rsidRPr="00E715BF" w:rsidRDefault="00827FB3" w:rsidP="00827FB3">
      <w:pPr>
        <w:keepNext/>
        <w:jc w:val="center"/>
        <w:outlineLvl w:val="0"/>
        <w:rPr>
          <w:rFonts w:ascii="Museo Sans 300" w:hAnsi="Museo Sans 300"/>
          <w:b/>
          <w:sz w:val="22"/>
          <w:szCs w:val="22"/>
        </w:rPr>
      </w:pPr>
      <w:r w:rsidRPr="00E715BF">
        <w:rPr>
          <w:rFonts w:ascii="Museo Sans 300" w:hAnsi="Museo Sans 300"/>
          <w:b/>
          <w:sz w:val="22"/>
          <w:szCs w:val="22"/>
        </w:rPr>
        <w:t>NORMAS DE CONTABILIZACIÓN</w:t>
      </w:r>
    </w:p>
    <w:p w14:paraId="22E28F71" w14:textId="77777777" w:rsidR="00827FB3" w:rsidRPr="00E715BF" w:rsidRDefault="00827FB3" w:rsidP="00827FB3">
      <w:pPr>
        <w:keepNext/>
        <w:jc w:val="both"/>
        <w:outlineLvl w:val="0"/>
        <w:rPr>
          <w:rFonts w:ascii="Museo Sans 300" w:hAnsi="Museo Sans 300"/>
          <w:b/>
          <w:sz w:val="22"/>
          <w:szCs w:val="22"/>
        </w:rPr>
      </w:pPr>
    </w:p>
    <w:p w14:paraId="68A5A14A" w14:textId="77777777" w:rsidR="00827FB3" w:rsidRPr="00E715BF" w:rsidRDefault="00827FB3" w:rsidP="00827FB3">
      <w:pPr>
        <w:keepNext/>
        <w:jc w:val="both"/>
        <w:outlineLvl w:val="0"/>
        <w:rPr>
          <w:rFonts w:ascii="Museo Sans 300" w:hAnsi="Museo Sans 300"/>
          <w:b/>
          <w:sz w:val="22"/>
          <w:szCs w:val="22"/>
        </w:rPr>
      </w:pPr>
      <w:r w:rsidRPr="00E715BF">
        <w:rPr>
          <w:rFonts w:ascii="Museo Sans 300" w:hAnsi="Museo Sans 300"/>
          <w:b/>
          <w:sz w:val="22"/>
          <w:szCs w:val="22"/>
        </w:rPr>
        <w:t>Registro de comisiones por operaciones de hasta treinta días plazo</w:t>
      </w:r>
    </w:p>
    <w:p w14:paraId="35297969" w14:textId="77777777" w:rsidR="00827FB3" w:rsidRPr="00E715BF" w:rsidRDefault="00827FB3" w:rsidP="00827FB3">
      <w:pPr>
        <w:pStyle w:val="Prrafodelista"/>
        <w:keepNext/>
        <w:numPr>
          <w:ilvl w:val="0"/>
          <w:numId w:val="23"/>
        </w:numPr>
        <w:ind w:left="0" w:firstLine="0"/>
        <w:contextualSpacing/>
        <w:jc w:val="both"/>
        <w:outlineLvl w:val="0"/>
        <w:rPr>
          <w:rFonts w:ascii="Museo Sans 300" w:hAnsi="Museo Sans 300"/>
          <w:bCs/>
          <w:sz w:val="22"/>
          <w:szCs w:val="22"/>
        </w:rPr>
      </w:pPr>
      <w:r w:rsidRPr="00E715BF">
        <w:rPr>
          <w:rFonts w:ascii="Museo Sans 300" w:hAnsi="Museo Sans 300"/>
          <w:b/>
          <w:sz w:val="22"/>
          <w:szCs w:val="22"/>
        </w:rPr>
        <w:t xml:space="preserve"> </w:t>
      </w:r>
      <w:r w:rsidRPr="00E715BF">
        <w:rPr>
          <w:rFonts w:ascii="Museo Sans 300" w:hAnsi="Museo Sans 300"/>
          <w:bCs/>
          <w:sz w:val="22"/>
          <w:szCs w:val="22"/>
        </w:rPr>
        <w:t>Las comisiones derivadas de operaciones de préstamos o contingentes con plazo de hasta treinta días se reconocerán como ingreso en la correspondiente cuenta de resultados, en la fecha que se cobren o provisionen.</w:t>
      </w:r>
    </w:p>
    <w:p w14:paraId="13238FB5" w14:textId="77777777" w:rsidR="00827FB3" w:rsidRPr="00E715BF" w:rsidRDefault="00827FB3" w:rsidP="00827FB3">
      <w:pPr>
        <w:keepNext/>
        <w:jc w:val="both"/>
        <w:outlineLvl w:val="0"/>
        <w:rPr>
          <w:rFonts w:ascii="Museo Sans 300" w:hAnsi="Museo Sans 300"/>
          <w:b/>
          <w:sz w:val="22"/>
          <w:szCs w:val="22"/>
        </w:rPr>
      </w:pPr>
    </w:p>
    <w:p w14:paraId="564CCF12" w14:textId="77777777" w:rsidR="00827FB3" w:rsidRPr="00E715BF" w:rsidRDefault="00827FB3" w:rsidP="00827FB3">
      <w:pPr>
        <w:keepNext/>
        <w:jc w:val="both"/>
        <w:outlineLvl w:val="0"/>
        <w:rPr>
          <w:rFonts w:ascii="Museo Sans 300" w:hAnsi="Museo Sans 300"/>
          <w:b/>
          <w:sz w:val="22"/>
          <w:szCs w:val="22"/>
        </w:rPr>
      </w:pPr>
      <w:r w:rsidRPr="00E715BF">
        <w:rPr>
          <w:rFonts w:ascii="Museo Sans 300" w:hAnsi="Museo Sans 300"/>
          <w:b/>
          <w:sz w:val="22"/>
          <w:szCs w:val="22"/>
        </w:rPr>
        <w:t xml:space="preserve">Registro de comisiones por préstamos </w:t>
      </w:r>
    </w:p>
    <w:p w14:paraId="1A78D315" w14:textId="5C62F31D" w:rsidR="00E715BF" w:rsidRPr="008F3C51" w:rsidRDefault="00827FB3" w:rsidP="00E715BF">
      <w:pPr>
        <w:pStyle w:val="Prrafodelista"/>
        <w:keepNext/>
        <w:widowControl w:val="0"/>
        <w:numPr>
          <w:ilvl w:val="0"/>
          <w:numId w:val="23"/>
        </w:numPr>
        <w:ind w:left="0" w:firstLine="0"/>
        <w:contextualSpacing/>
        <w:jc w:val="both"/>
        <w:outlineLvl w:val="0"/>
        <w:rPr>
          <w:rFonts w:ascii="Museo Sans 300" w:hAnsi="Museo Sans 300"/>
          <w:bCs/>
          <w:sz w:val="22"/>
          <w:szCs w:val="22"/>
        </w:rPr>
      </w:pPr>
      <w:r w:rsidRPr="008F3C51">
        <w:rPr>
          <w:rFonts w:ascii="Museo Sans 300" w:hAnsi="Museo Sans 300"/>
          <w:b/>
          <w:sz w:val="22"/>
          <w:szCs w:val="22"/>
        </w:rPr>
        <w:t xml:space="preserve"> </w:t>
      </w:r>
      <w:r w:rsidRPr="008F3C51">
        <w:rPr>
          <w:rFonts w:ascii="Museo Sans 300" w:hAnsi="Museo Sans 300"/>
          <w:bCs/>
          <w:sz w:val="22"/>
          <w:szCs w:val="22"/>
        </w:rPr>
        <w:t xml:space="preserve">Los bancos deberán contabilizar con crédito a la cuenta </w:t>
      </w:r>
      <w:r w:rsidR="00D4381E" w:rsidRPr="008F3C51">
        <w:rPr>
          <w:rFonts w:ascii="Museo Sans 300" w:hAnsi="Museo Sans 300"/>
          <w:bCs/>
          <w:sz w:val="22"/>
          <w:szCs w:val="22"/>
        </w:rPr>
        <w:t>2250040100 “</w:t>
      </w:r>
      <w:r w:rsidRPr="008F3C51">
        <w:rPr>
          <w:rFonts w:ascii="Museo Sans 300" w:hAnsi="Museo Sans 300"/>
          <w:bCs/>
          <w:sz w:val="22"/>
          <w:szCs w:val="22"/>
        </w:rPr>
        <w:t xml:space="preserve">CREDITOS DIFERIDOS” </w:t>
      </w:r>
      <w:r w:rsidR="002C4F62" w:rsidRPr="008F3C51">
        <w:rPr>
          <w:rFonts w:ascii="Museo Sans 300" w:hAnsi="Museo Sans 300"/>
          <w:bCs/>
          <w:sz w:val="22"/>
          <w:szCs w:val="22"/>
        </w:rPr>
        <w:t>–</w:t>
      </w:r>
      <w:r w:rsidRPr="008F3C51">
        <w:rPr>
          <w:rFonts w:ascii="Museo Sans 300" w:hAnsi="Museo Sans 300"/>
          <w:bCs/>
          <w:sz w:val="22"/>
          <w:szCs w:val="22"/>
        </w:rPr>
        <w:t xml:space="preserve"> </w:t>
      </w:r>
      <w:r w:rsidR="002C4F62" w:rsidRPr="008F3C51">
        <w:rPr>
          <w:rFonts w:ascii="Museo Sans 300" w:hAnsi="Museo Sans 300"/>
          <w:bCs/>
          <w:sz w:val="22"/>
          <w:szCs w:val="22"/>
        </w:rPr>
        <w:t>“</w:t>
      </w:r>
      <w:r w:rsidRPr="008F3C51">
        <w:rPr>
          <w:rFonts w:ascii="Museo Sans 300" w:hAnsi="Museo Sans 300"/>
          <w:bCs/>
          <w:sz w:val="22"/>
          <w:szCs w:val="22"/>
        </w:rPr>
        <w:t xml:space="preserve">INGRESOS, PERCIBIDOS NO DEVENGADOS” – </w:t>
      </w:r>
      <w:r w:rsidRPr="008F3C51">
        <w:rPr>
          <w:rFonts w:ascii="Museo Sans 300" w:hAnsi="Museo Sans 300"/>
          <w:bCs/>
          <w:sz w:val="22"/>
          <w:szCs w:val="22"/>
        </w:rPr>
        <w:lastRenderedPageBreak/>
        <w:t xml:space="preserve">“Operaciones </w:t>
      </w:r>
      <w:bookmarkStart w:id="1" w:name="_Hlk133934004"/>
      <w:r w:rsidR="00E715BF" w:rsidRPr="008F3C51">
        <w:rPr>
          <w:rFonts w:ascii="Museo Sans 300" w:hAnsi="Museo Sans 300"/>
          <w:bCs/>
          <w:sz w:val="22"/>
          <w:szCs w:val="22"/>
        </w:rPr>
        <w:t>de Préstamos”, todas aquellas provisiones o cobros en efectivo que efectúen en concepto de comisiones u otros ingresos diferentes de los intereses, relacionados con los préstamos, netos de los costos directos por otorgamiento de los mismos. (2)</w:t>
      </w:r>
    </w:p>
    <w:p w14:paraId="35BE45AF" w14:textId="77777777" w:rsidR="00E715BF" w:rsidRPr="00E715BF" w:rsidRDefault="00E715BF" w:rsidP="00E715BF">
      <w:pPr>
        <w:pStyle w:val="Prrafodelista"/>
        <w:keepNext/>
        <w:widowControl w:val="0"/>
        <w:ind w:left="0"/>
        <w:contextualSpacing/>
        <w:jc w:val="both"/>
        <w:outlineLvl w:val="0"/>
        <w:rPr>
          <w:rFonts w:ascii="Museo Sans 300" w:hAnsi="Museo Sans 300"/>
          <w:b/>
          <w:sz w:val="22"/>
          <w:szCs w:val="22"/>
        </w:rPr>
      </w:pPr>
    </w:p>
    <w:p w14:paraId="2A3781F5" w14:textId="60B3C490" w:rsidR="00E715BF" w:rsidRPr="00E715BF" w:rsidRDefault="00827FB3" w:rsidP="00AF53E6">
      <w:pPr>
        <w:pStyle w:val="Prrafodelista"/>
        <w:keepNext/>
        <w:widowControl w:val="0"/>
        <w:ind w:left="0"/>
        <w:contextualSpacing/>
        <w:jc w:val="both"/>
        <w:outlineLvl w:val="0"/>
        <w:rPr>
          <w:rFonts w:ascii="Museo Sans 300" w:hAnsi="Museo Sans 300"/>
          <w:bCs/>
          <w:sz w:val="22"/>
          <w:szCs w:val="22"/>
        </w:rPr>
      </w:pPr>
      <w:r w:rsidRPr="00E715BF">
        <w:rPr>
          <w:rFonts w:ascii="Museo Sans 300" w:hAnsi="Museo Sans 300"/>
          <w:bCs/>
          <w:sz w:val="22"/>
          <w:szCs w:val="22"/>
        </w:rPr>
        <w:t xml:space="preserve">No procederán las comisiones o recargos por la administración o manejo de créditos, así como de sobregiros que no se hayan pactado en el contrato o documento que lo ampare. </w:t>
      </w:r>
      <w:r w:rsidR="00D4381E" w:rsidRPr="00E715BF">
        <w:rPr>
          <w:rFonts w:ascii="Museo Sans 300" w:hAnsi="Museo Sans 300"/>
          <w:bCs/>
          <w:sz w:val="22"/>
          <w:szCs w:val="22"/>
        </w:rPr>
        <w:t>Asimismo,</w:t>
      </w:r>
      <w:r w:rsidRPr="00E715BF">
        <w:rPr>
          <w:rFonts w:ascii="Museo Sans 300" w:hAnsi="Museo Sans 300"/>
          <w:bCs/>
          <w:sz w:val="22"/>
          <w:szCs w:val="22"/>
        </w:rPr>
        <w:t xml:space="preserve"> no serán sujetas a cobro las comisiones que se generen </w:t>
      </w:r>
      <w:r w:rsidR="00D4381E" w:rsidRPr="00E715BF">
        <w:rPr>
          <w:rFonts w:ascii="Museo Sans 300" w:hAnsi="Museo Sans 300"/>
          <w:bCs/>
          <w:sz w:val="22"/>
          <w:szCs w:val="22"/>
        </w:rPr>
        <w:t>por responsabilidad</w:t>
      </w:r>
      <w:r w:rsidRPr="00E715BF">
        <w:rPr>
          <w:rFonts w:ascii="Museo Sans 300" w:hAnsi="Museo Sans 300"/>
          <w:bCs/>
          <w:sz w:val="22"/>
          <w:szCs w:val="22"/>
        </w:rPr>
        <w:t>, actuación u omisión del banco, o fallas en su sistema informático, según lo establecido en el Art</w:t>
      </w:r>
      <w:r w:rsidR="00064184">
        <w:rPr>
          <w:rFonts w:ascii="Museo Sans 300" w:hAnsi="Museo Sans 300"/>
          <w:bCs/>
          <w:sz w:val="22"/>
          <w:szCs w:val="22"/>
        </w:rPr>
        <w:t>í</w:t>
      </w:r>
      <w:r w:rsidRPr="00E715BF">
        <w:rPr>
          <w:rFonts w:ascii="Museo Sans 300" w:hAnsi="Museo Sans 300"/>
          <w:bCs/>
          <w:sz w:val="22"/>
          <w:szCs w:val="22"/>
        </w:rPr>
        <w:t>culo 12-A de la Ley de Protección al Consumidor. (2)</w:t>
      </w:r>
      <w:bookmarkEnd w:id="1"/>
    </w:p>
    <w:p w14:paraId="3AF107BB" w14:textId="77777777" w:rsidR="00E715BF" w:rsidRPr="00E715BF" w:rsidRDefault="00E715BF" w:rsidP="00E715BF">
      <w:pPr>
        <w:pStyle w:val="Prrafodelista"/>
        <w:keepNext/>
        <w:widowControl w:val="0"/>
        <w:ind w:left="0"/>
        <w:contextualSpacing/>
        <w:jc w:val="both"/>
        <w:outlineLvl w:val="0"/>
        <w:rPr>
          <w:rFonts w:ascii="Museo Sans 300" w:hAnsi="Museo Sans 300"/>
          <w:b/>
          <w:sz w:val="22"/>
          <w:szCs w:val="22"/>
        </w:rPr>
      </w:pPr>
    </w:p>
    <w:p w14:paraId="2613C434" w14:textId="452F1979" w:rsidR="00E715BF" w:rsidRPr="00E715BF" w:rsidRDefault="00E715BF" w:rsidP="00E715BF">
      <w:pPr>
        <w:pStyle w:val="Prrafodelista"/>
        <w:keepNext/>
        <w:widowControl w:val="0"/>
        <w:ind w:left="0"/>
        <w:contextualSpacing/>
        <w:jc w:val="both"/>
        <w:outlineLvl w:val="0"/>
        <w:rPr>
          <w:rFonts w:ascii="Museo Sans 300" w:hAnsi="Museo Sans 300"/>
          <w:b/>
          <w:sz w:val="22"/>
          <w:szCs w:val="22"/>
        </w:rPr>
      </w:pPr>
      <w:r w:rsidRPr="00E715BF">
        <w:rPr>
          <w:rFonts w:ascii="Museo Sans 300" w:hAnsi="Museo Sans 300"/>
          <w:b/>
          <w:sz w:val="22"/>
          <w:szCs w:val="22"/>
        </w:rPr>
        <w:t>Reconocimiento de Ingresos</w:t>
      </w:r>
    </w:p>
    <w:p w14:paraId="3699E63C" w14:textId="77777777" w:rsidR="00827FB3" w:rsidRPr="00E715BF" w:rsidRDefault="00827FB3" w:rsidP="00827FB3">
      <w:pPr>
        <w:pStyle w:val="Prrafodelista"/>
        <w:keepNext/>
        <w:numPr>
          <w:ilvl w:val="0"/>
          <w:numId w:val="23"/>
        </w:numPr>
        <w:ind w:left="0" w:firstLine="0"/>
        <w:contextualSpacing/>
        <w:jc w:val="both"/>
        <w:outlineLvl w:val="0"/>
        <w:rPr>
          <w:rFonts w:ascii="Museo Sans 300" w:hAnsi="Museo Sans 300"/>
          <w:bCs/>
          <w:sz w:val="22"/>
          <w:szCs w:val="22"/>
        </w:rPr>
      </w:pPr>
      <w:r w:rsidRPr="00E715BF">
        <w:rPr>
          <w:rFonts w:ascii="Museo Sans 300" w:hAnsi="Museo Sans 300"/>
          <w:b/>
          <w:sz w:val="22"/>
          <w:szCs w:val="22"/>
        </w:rPr>
        <w:t xml:space="preserve"> </w:t>
      </w:r>
      <w:r w:rsidRPr="00E715BF">
        <w:rPr>
          <w:rFonts w:ascii="Museo Sans 300" w:hAnsi="Museo Sans 300"/>
          <w:bCs/>
          <w:sz w:val="22"/>
          <w:szCs w:val="22"/>
        </w:rPr>
        <w:t xml:space="preserve">El reconocimiento de ingresos por las comisiones se hará periódicamente según la forma de pago establecida originalmente, utilizando el método del interés efectivo, el cual consiste en determinar la tasa de interés efectiva o la Tasa Interna de Retorno (TIR), utilizando como flujo negativo el monto otorgado del préstamo menos las comisiones por otorgamiento, netas de sus costos directos por otorgamiento, y como flujos positivos, la misma cuota que se calculó bajo la tasa de interés nominal, en ambos casos excluyendo las comisiones adicionales periódicas. El valor de la comisión a reconocer periódicamente será la diferencia entre los intereses a pagar bajo la tasa de interés efectiva (TIR) y los intereses a pagar bajo la tasa de interés nominal. En Anexo No. 1 se presenta un ejemplo de la amortización de la comisión por otorgamiento bajo el método del interés efectivo. </w:t>
      </w:r>
    </w:p>
    <w:p w14:paraId="49225A2C" w14:textId="77777777" w:rsidR="00827FB3" w:rsidRPr="00E715BF" w:rsidRDefault="00827FB3" w:rsidP="00827FB3">
      <w:pPr>
        <w:keepNext/>
        <w:jc w:val="both"/>
        <w:outlineLvl w:val="0"/>
        <w:rPr>
          <w:rFonts w:ascii="Museo Sans 300" w:hAnsi="Museo Sans 300"/>
          <w:b/>
          <w:sz w:val="22"/>
          <w:szCs w:val="22"/>
        </w:rPr>
      </w:pPr>
    </w:p>
    <w:p w14:paraId="45EA23AC" w14:textId="77777777" w:rsidR="00827FB3" w:rsidRPr="00E715BF" w:rsidRDefault="00827FB3" w:rsidP="005917DA">
      <w:pPr>
        <w:pStyle w:val="Prrafodelista"/>
        <w:keepNext/>
        <w:ind w:left="0"/>
        <w:contextualSpacing/>
        <w:jc w:val="both"/>
        <w:outlineLvl w:val="0"/>
        <w:rPr>
          <w:rFonts w:ascii="Museo Sans 300" w:hAnsi="Museo Sans 300"/>
          <w:bCs/>
          <w:sz w:val="22"/>
          <w:szCs w:val="22"/>
        </w:rPr>
      </w:pPr>
      <w:r w:rsidRPr="00E715BF">
        <w:rPr>
          <w:rFonts w:ascii="Museo Sans 300" w:hAnsi="Museo Sans 300"/>
          <w:bCs/>
          <w:sz w:val="22"/>
          <w:szCs w:val="22"/>
        </w:rPr>
        <w:t>Para el reconocimiento del ingreso se debitará la cuenta 22500401</w:t>
      </w:r>
      <w:r w:rsidRPr="00AF53E6">
        <w:rPr>
          <w:rFonts w:ascii="Museo Sans 300" w:hAnsi="Museo Sans 300"/>
          <w:bCs/>
          <w:sz w:val="22"/>
          <w:szCs w:val="22"/>
        </w:rPr>
        <w:t>00</w:t>
      </w:r>
      <w:r w:rsidRPr="00E715BF">
        <w:rPr>
          <w:rFonts w:ascii="Museo Sans 300" w:hAnsi="Museo Sans 300"/>
          <w:bCs/>
          <w:sz w:val="22"/>
          <w:szCs w:val="22"/>
        </w:rPr>
        <w:t xml:space="preserve"> “</w:t>
      </w:r>
      <w:r w:rsidRPr="00AF53E6">
        <w:rPr>
          <w:rFonts w:ascii="Museo Sans 300" w:hAnsi="Museo Sans 300"/>
          <w:bCs/>
          <w:sz w:val="22"/>
          <w:szCs w:val="22"/>
        </w:rPr>
        <w:t xml:space="preserve">CREDITOS DIFERIDOS”– “INGRESOS, PERCIBIDOS NO DEVENGADOS” </w:t>
      </w:r>
      <w:r w:rsidRPr="00E715BF">
        <w:rPr>
          <w:rFonts w:ascii="Museo Sans 300" w:hAnsi="Museo Sans 300"/>
          <w:bCs/>
          <w:sz w:val="22"/>
          <w:szCs w:val="22"/>
        </w:rPr>
        <w:t>- “</w:t>
      </w:r>
      <w:r w:rsidRPr="00AF53E6">
        <w:rPr>
          <w:rFonts w:ascii="Museo Sans 300" w:hAnsi="Museo Sans 300"/>
          <w:bCs/>
          <w:sz w:val="22"/>
          <w:szCs w:val="22"/>
        </w:rPr>
        <w:t>Operaciones de</w:t>
      </w:r>
      <w:r w:rsidRPr="00E715BF">
        <w:rPr>
          <w:rFonts w:ascii="Museo Sans 300" w:hAnsi="Museo Sans 300"/>
          <w:bCs/>
          <w:sz w:val="22"/>
          <w:szCs w:val="22"/>
        </w:rPr>
        <w:t xml:space="preserve"> Préstamos”; acreditándose la cuenta 61100105</w:t>
      </w:r>
      <w:r w:rsidRPr="00AF53E6">
        <w:rPr>
          <w:rFonts w:ascii="Museo Sans 300" w:hAnsi="Museo Sans 300"/>
          <w:bCs/>
          <w:sz w:val="22"/>
          <w:szCs w:val="22"/>
        </w:rPr>
        <w:t>00</w:t>
      </w:r>
      <w:r w:rsidRPr="00E715BF">
        <w:rPr>
          <w:rFonts w:ascii="Museo Sans 300" w:hAnsi="Museo Sans 300"/>
          <w:bCs/>
          <w:sz w:val="22"/>
          <w:szCs w:val="22"/>
        </w:rPr>
        <w:t xml:space="preserve"> “</w:t>
      </w:r>
      <w:r w:rsidRPr="00AF53E6">
        <w:rPr>
          <w:rFonts w:ascii="Museo Sans 300" w:hAnsi="Museo Sans 300"/>
          <w:bCs/>
          <w:sz w:val="22"/>
          <w:szCs w:val="22"/>
        </w:rPr>
        <w:t>INGRESOS DE OPERACIONES DE INTERMEDIACION” – “CARTERA DE PRESTAMOS</w:t>
      </w:r>
      <w:r w:rsidRPr="00E715BF">
        <w:rPr>
          <w:rFonts w:ascii="Museo Sans 300" w:hAnsi="Museo Sans 300"/>
          <w:bCs/>
          <w:sz w:val="22"/>
          <w:szCs w:val="22"/>
        </w:rPr>
        <w:t xml:space="preserve">” – “Comisiones por otorgamiento”. </w:t>
      </w:r>
      <w:r w:rsidRPr="00AF53E6">
        <w:rPr>
          <w:rFonts w:ascii="Museo Sans 300" w:hAnsi="Museo Sans 300"/>
          <w:bCs/>
          <w:sz w:val="22"/>
          <w:szCs w:val="22"/>
        </w:rPr>
        <w:t>(2)</w:t>
      </w:r>
    </w:p>
    <w:p w14:paraId="42676795" w14:textId="77777777" w:rsidR="00827FB3" w:rsidRPr="00E715BF" w:rsidRDefault="00827FB3" w:rsidP="00827FB3">
      <w:pPr>
        <w:keepNext/>
        <w:jc w:val="both"/>
        <w:outlineLvl w:val="0"/>
        <w:rPr>
          <w:rFonts w:ascii="Museo Sans 300" w:hAnsi="Museo Sans 300"/>
          <w:b/>
          <w:sz w:val="22"/>
          <w:szCs w:val="22"/>
        </w:rPr>
      </w:pPr>
    </w:p>
    <w:p w14:paraId="13FDA0C3" w14:textId="77777777" w:rsidR="00827FB3" w:rsidRPr="00E715BF" w:rsidRDefault="00827FB3" w:rsidP="00827FB3">
      <w:pPr>
        <w:keepNext/>
        <w:jc w:val="both"/>
        <w:outlineLvl w:val="0"/>
        <w:rPr>
          <w:rFonts w:ascii="Museo Sans 300" w:hAnsi="Museo Sans 300"/>
          <w:b/>
          <w:sz w:val="22"/>
          <w:szCs w:val="22"/>
        </w:rPr>
      </w:pPr>
      <w:r w:rsidRPr="00E715BF">
        <w:rPr>
          <w:rFonts w:ascii="Museo Sans 300" w:hAnsi="Museo Sans 300"/>
          <w:b/>
          <w:sz w:val="22"/>
          <w:szCs w:val="22"/>
        </w:rPr>
        <w:t>Registro de comisiones por operaciones contingentes y servicios</w:t>
      </w:r>
    </w:p>
    <w:p w14:paraId="040D2652" w14:textId="2F2356AD" w:rsidR="00827FB3" w:rsidRPr="00E715BF" w:rsidRDefault="00827FB3" w:rsidP="00827FB3">
      <w:pPr>
        <w:pStyle w:val="Prrafodelista"/>
        <w:keepNext/>
        <w:numPr>
          <w:ilvl w:val="0"/>
          <w:numId w:val="23"/>
        </w:numPr>
        <w:ind w:left="0" w:firstLine="0"/>
        <w:contextualSpacing/>
        <w:jc w:val="both"/>
        <w:outlineLvl w:val="0"/>
        <w:rPr>
          <w:rFonts w:ascii="Museo Sans 300" w:hAnsi="Museo Sans 300"/>
          <w:bCs/>
          <w:sz w:val="22"/>
          <w:szCs w:val="22"/>
        </w:rPr>
      </w:pPr>
      <w:r w:rsidRPr="00E715BF">
        <w:rPr>
          <w:rFonts w:ascii="Museo Sans 300" w:hAnsi="Museo Sans 300"/>
          <w:b/>
          <w:sz w:val="22"/>
          <w:szCs w:val="22"/>
        </w:rPr>
        <w:t xml:space="preserve"> </w:t>
      </w:r>
      <w:r w:rsidRPr="00E715BF">
        <w:rPr>
          <w:rFonts w:ascii="Museo Sans 300" w:hAnsi="Museo Sans 300"/>
          <w:bCs/>
          <w:sz w:val="22"/>
          <w:szCs w:val="22"/>
        </w:rPr>
        <w:t xml:space="preserve">Los bancos deberán contabilizar con crédito a la cuenta </w:t>
      </w:r>
      <w:r w:rsidR="00D4381E" w:rsidRPr="00E715BF">
        <w:rPr>
          <w:rFonts w:ascii="Museo Sans 300" w:hAnsi="Museo Sans 300"/>
          <w:bCs/>
          <w:sz w:val="22"/>
          <w:szCs w:val="22"/>
        </w:rPr>
        <w:t>22500402</w:t>
      </w:r>
      <w:r w:rsidR="00D4381E" w:rsidRPr="00AF53E6">
        <w:rPr>
          <w:rFonts w:ascii="Museo Sans 300" w:hAnsi="Museo Sans 300"/>
          <w:bCs/>
          <w:sz w:val="22"/>
          <w:szCs w:val="22"/>
        </w:rPr>
        <w:t>00</w:t>
      </w:r>
      <w:r w:rsidR="00D4381E" w:rsidRPr="00E715BF">
        <w:rPr>
          <w:rFonts w:ascii="Museo Sans 300" w:hAnsi="Museo Sans 300"/>
          <w:bCs/>
          <w:sz w:val="22"/>
          <w:szCs w:val="22"/>
        </w:rPr>
        <w:t xml:space="preserve"> “</w:t>
      </w:r>
      <w:r w:rsidRPr="00AF53E6">
        <w:rPr>
          <w:rFonts w:ascii="Museo Sans 300" w:hAnsi="Museo Sans 300"/>
          <w:bCs/>
          <w:sz w:val="22"/>
          <w:szCs w:val="22"/>
        </w:rPr>
        <w:t>CREDITOS DIFERIDOS</w:t>
      </w:r>
      <w:r w:rsidRPr="00E715BF">
        <w:rPr>
          <w:rFonts w:ascii="Museo Sans 300" w:hAnsi="Museo Sans 300"/>
          <w:bCs/>
          <w:sz w:val="22"/>
          <w:szCs w:val="22"/>
        </w:rPr>
        <w:t xml:space="preserve">” - </w:t>
      </w:r>
      <w:r w:rsidRPr="00AF53E6">
        <w:rPr>
          <w:rFonts w:ascii="Museo Sans 300" w:hAnsi="Museo Sans 300"/>
          <w:bCs/>
          <w:sz w:val="22"/>
          <w:szCs w:val="22"/>
        </w:rPr>
        <w:t>“INGRESOS, PERCIBIDOS NO DEVENGADOS</w:t>
      </w:r>
      <w:r w:rsidRPr="00E715BF">
        <w:rPr>
          <w:rFonts w:ascii="Museo Sans 300" w:hAnsi="Museo Sans 300"/>
          <w:bCs/>
          <w:sz w:val="22"/>
          <w:szCs w:val="22"/>
        </w:rPr>
        <w:t xml:space="preserve">” “Otras Operaciones”, todas aquellas provisiones o cobros en efectivo que efectúen en concepto de comisiones por el otorgamiento de avales, fianzas, garantías, y otros servicios, netos de los costos directos por otorgamiento de los mismos. </w:t>
      </w:r>
      <w:r w:rsidRPr="00AF53E6">
        <w:rPr>
          <w:rFonts w:ascii="Museo Sans 300" w:hAnsi="Museo Sans 300"/>
          <w:bCs/>
          <w:sz w:val="22"/>
          <w:szCs w:val="22"/>
        </w:rPr>
        <w:t>Siempre que se trate de comisiones originadas por operaciones legalmente autorizadas</w:t>
      </w:r>
      <w:r w:rsidR="002C4F62">
        <w:rPr>
          <w:rFonts w:ascii="Museo Sans 300" w:hAnsi="Museo Sans 300"/>
          <w:bCs/>
          <w:sz w:val="22"/>
          <w:szCs w:val="22"/>
        </w:rPr>
        <w:t>.</w:t>
      </w:r>
      <w:r w:rsidRPr="00E715BF">
        <w:rPr>
          <w:rFonts w:ascii="Museo Sans 300" w:hAnsi="Museo Sans 300"/>
          <w:bCs/>
          <w:sz w:val="22"/>
          <w:szCs w:val="22"/>
        </w:rPr>
        <w:t xml:space="preserve"> </w:t>
      </w:r>
      <w:r w:rsidRPr="00AF53E6">
        <w:rPr>
          <w:rFonts w:ascii="Museo Sans 300" w:hAnsi="Museo Sans 300"/>
          <w:bCs/>
          <w:sz w:val="22"/>
          <w:szCs w:val="22"/>
        </w:rPr>
        <w:t>(2)</w:t>
      </w:r>
    </w:p>
    <w:p w14:paraId="0783C43A" w14:textId="77777777" w:rsidR="00827FB3" w:rsidRPr="00E715BF" w:rsidRDefault="00827FB3" w:rsidP="00827FB3">
      <w:pPr>
        <w:keepNext/>
        <w:jc w:val="both"/>
        <w:outlineLvl w:val="0"/>
        <w:rPr>
          <w:rFonts w:ascii="Museo Sans 300" w:hAnsi="Museo Sans 300"/>
          <w:b/>
          <w:sz w:val="22"/>
          <w:szCs w:val="22"/>
        </w:rPr>
      </w:pPr>
    </w:p>
    <w:p w14:paraId="650B8D88" w14:textId="77777777" w:rsidR="00827FB3" w:rsidRPr="00E715BF" w:rsidRDefault="00827FB3" w:rsidP="00827FB3">
      <w:pPr>
        <w:pStyle w:val="Prrafodelista"/>
        <w:keepNext/>
        <w:numPr>
          <w:ilvl w:val="0"/>
          <w:numId w:val="23"/>
        </w:numPr>
        <w:ind w:left="0" w:firstLine="0"/>
        <w:contextualSpacing/>
        <w:jc w:val="both"/>
        <w:outlineLvl w:val="0"/>
        <w:rPr>
          <w:rFonts w:ascii="Museo Sans 300" w:hAnsi="Museo Sans 300"/>
          <w:bCs/>
          <w:sz w:val="22"/>
          <w:szCs w:val="22"/>
        </w:rPr>
      </w:pPr>
      <w:r w:rsidRPr="00E715BF">
        <w:rPr>
          <w:rFonts w:ascii="Museo Sans 300" w:hAnsi="Museo Sans 300"/>
          <w:bCs/>
          <w:sz w:val="22"/>
          <w:szCs w:val="22"/>
        </w:rPr>
        <w:t>La amortización de las provisiones se hará mensualmente a prorrata durante el plazo estipulado para la operación contingente con crédito a la cuenta 621003 “INGRESOS DE OTRAS OPERACIONES” - “AVALES Y FIANZAS”</w:t>
      </w:r>
    </w:p>
    <w:p w14:paraId="0741778C" w14:textId="5DC3F547" w:rsidR="00827FB3" w:rsidRDefault="00827FB3" w:rsidP="00827FB3">
      <w:pPr>
        <w:keepNext/>
        <w:jc w:val="both"/>
        <w:outlineLvl w:val="0"/>
        <w:rPr>
          <w:rFonts w:ascii="Museo Sans 300" w:hAnsi="Museo Sans 300"/>
          <w:b/>
          <w:sz w:val="22"/>
          <w:szCs w:val="22"/>
          <w:lang w:val="es-SV"/>
        </w:rPr>
      </w:pPr>
    </w:p>
    <w:p w14:paraId="41A59616" w14:textId="087B960C" w:rsidR="00AF53E6" w:rsidRDefault="00AF53E6" w:rsidP="00827FB3">
      <w:pPr>
        <w:keepNext/>
        <w:jc w:val="both"/>
        <w:outlineLvl w:val="0"/>
        <w:rPr>
          <w:rFonts w:ascii="Museo Sans 300" w:hAnsi="Museo Sans 300"/>
          <w:b/>
          <w:sz w:val="22"/>
          <w:szCs w:val="22"/>
          <w:lang w:val="es-SV"/>
        </w:rPr>
      </w:pPr>
    </w:p>
    <w:p w14:paraId="08380BDA" w14:textId="77777777" w:rsidR="00AF53E6" w:rsidRPr="00E715BF" w:rsidRDefault="00AF53E6" w:rsidP="00827FB3">
      <w:pPr>
        <w:keepNext/>
        <w:jc w:val="both"/>
        <w:outlineLvl w:val="0"/>
        <w:rPr>
          <w:rFonts w:ascii="Museo Sans 300" w:hAnsi="Museo Sans 300"/>
          <w:b/>
          <w:sz w:val="22"/>
          <w:szCs w:val="22"/>
          <w:lang w:val="es-SV"/>
        </w:rPr>
      </w:pPr>
    </w:p>
    <w:p w14:paraId="7593E0DE" w14:textId="77777777" w:rsidR="00827FB3" w:rsidRPr="00E715BF" w:rsidRDefault="00827FB3" w:rsidP="00827FB3">
      <w:pPr>
        <w:keepNext/>
        <w:jc w:val="both"/>
        <w:outlineLvl w:val="0"/>
        <w:rPr>
          <w:rFonts w:ascii="Museo Sans 300" w:hAnsi="Museo Sans 300"/>
          <w:b/>
          <w:sz w:val="22"/>
          <w:szCs w:val="22"/>
        </w:rPr>
      </w:pPr>
      <w:r w:rsidRPr="00E715BF">
        <w:rPr>
          <w:rFonts w:ascii="Museo Sans 300" w:hAnsi="Museo Sans 300"/>
          <w:b/>
          <w:sz w:val="22"/>
          <w:szCs w:val="22"/>
        </w:rPr>
        <w:lastRenderedPageBreak/>
        <w:t>Suspensión de las amortizaciones</w:t>
      </w:r>
    </w:p>
    <w:p w14:paraId="45268887" w14:textId="77777777" w:rsidR="00827FB3" w:rsidRPr="00E715BF" w:rsidRDefault="00827FB3" w:rsidP="00827FB3">
      <w:pPr>
        <w:pStyle w:val="Prrafodelista"/>
        <w:keepNext/>
        <w:numPr>
          <w:ilvl w:val="0"/>
          <w:numId w:val="23"/>
        </w:numPr>
        <w:ind w:left="0" w:firstLine="0"/>
        <w:contextualSpacing/>
        <w:jc w:val="both"/>
        <w:outlineLvl w:val="0"/>
        <w:rPr>
          <w:rFonts w:ascii="Museo Sans 300" w:hAnsi="Museo Sans 300"/>
          <w:bCs/>
          <w:sz w:val="22"/>
          <w:szCs w:val="22"/>
        </w:rPr>
      </w:pPr>
      <w:r w:rsidRPr="00E715BF">
        <w:rPr>
          <w:rFonts w:ascii="Museo Sans 300" w:hAnsi="Museo Sans 300"/>
          <w:b/>
          <w:sz w:val="22"/>
          <w:szCs w:val="22"/>
        </w:rPr>
        <w:t xml:space="preserve"> </w:t>
      </w:r>
      <w:r w:rsidRPr="00E715BF">
        <w:rPr>
          <w:rFonts w:ascii="Museo Sans 300" w:hAnsi="Museo Sans 300"/>
          <w:bCs/>
          <w:sz w:val="22"/>
          <w:szCs w:val="22"/>
        </w:rPr>
        <w:t>Cuando los préstamos se reclasifiquen a cartera vencida, se podrá continuar amortizando la comisión cobrada en concepto de otorgamiento, reconociéndose como ingreso hasta la finalización del plazo de los mismos. (1)</w:t>
      </w:r>
    </w:p>
    <w:p w14:paraId="725081D3" w14:textId="77777777" w:rsidR="00827FB3" w:rsidRPr="00E715BF" w:rsidRDefault="00827FB3" w:rsidP="00827FB3">
      <w:pPr>
        <w:keepNext/>
        <w:jc w:val="both"/>
        <w:outlineLvl w:val="0"/>
        <w:rPr>
          <w:rFonts w:ascii="Museo Sans 300" w:hAnsi="Museo Sans 300"/>
          <w:bCs/>
          <w:sz w:val="22"/>
          <w:szCs w:val="22"/>
        </w:rPr>
      </w:pPr>
    </w:p>
    <w:p w14:paraId="1591733E" w14:textId="77777777" w:rsidR="00827FB3" w:rsidRPr="00E715BF" w:rsidRDefault="00827FB3" w:rsidP="00827FB3">
      <w:pPr>
        <w:keepNext/>
        <w:jc w:val="both"/>
        <w:outlineLvl w:val="0"/>
        <w:rPr>
          <w:rFonts w:ascii="Museo Sans 300" w:hAnsi="Museo Sans 300"/>
          <w:bCs/>
          <w:sz w:val="22"/>
          <w:szCs w:val="22"/>
        </w:rPr>
      </w:pPr>
      <w:r w:rsidRPr="00E715BF">
        <w:rPr>
          <w:rFonts w:ascii="Museo Sans 300" w:hAnsi="Museo Sans 300"/>
          <w:bCs/>
          <w:sz w:val="22"/>
          <w:szCs w:val="22"/>
        </w:rPr>
        <w:t>Cuando los préstamos sean reconocidos como pérdidas y retirados de las cuentas de activo de conformidad con las “Normas para el Reconocimiento Contable de Pérdidas y Cuentas por Cobrar de Bancos”, las comisiones cobradas por otorgamiento podrán reconocerse como ingresos. (1)</w:t>
      </w:r>
    </w:p>
    <w:p w14:paraId="07FEC11B" w14:textId="77777777" w:rsidR="00827FB3" w:rsidRPr="00E715BF" w:rsidRDefault="00827FB3" w:rsidP="00827FB3">
      <w:pPr>
        <w:keepNext/>
        <w:jc w:val="both"/>
        <w:outlineLvl w:val="0"/>
        <w:rPr>
          <w:rFonts w:ascii="Museo Sans 300" w:hAnsi="Museo Sans 300"/>
          <w:bCs/>
          <w:sz w:val="22"/>
          <w:szCs w:val="22"/>
        </w:rPr>
      </w:pPr>
    </w:p>
    <w:p w14:paraId="5342E965" w14:textId="77777777" w:rsidR="00827FB3" w:rsidRPr="00E715BF" w:rsidRDefault="00827FB3" w:rsidP="00827FB3">
      <w:pPr>
        <w:keepNext/>
        <w:jc w:val="both"/>
        <w:outlineLvl w:val="0"/>
        <w:rPr>
          <w:rFonts w:ascii="Museo Sans 300" w:hAnsi="Museo Sans 300"/>
          <w:bCs/>
          <w:sz w:val="22"/>
          <w:szCs w:val="22"/>
        </w:rPr>
      </w:pPr>
      <w:r w:rsidRPr="00E715BF">
        <w:rPr>
          <w:rFonts w:ascii="Museo Sans 300" w:hAnsi="Museo Sans 300"/>
          <w:bCs/>
          <w:sz w:val="22"/>
          <w:szCs w:val="22"/>
        </w:rPr>
        <w:t>También se reconocerán como ingreso las comisiones diferidas de aquellos créditos que sean cancelados antes del vencimiento pactado. (1)</w:t>
      </w:r>
    </w:p>
    <w:p w14:paraId="4900B78F" w14:textId="77777777" w:rsidR="00827FB3" w:rsidRPr="00E715BF" w:rsidRDefault="00827FB3" w:rsidP="00827FB3">
      <w:pPr>
        <w:keepNext/>
        <w:jc w:val="both"/>
        <w:outlineLvl w:val="0"/>
        <w:rPr>
          <w:rFonts w:ascii="Museo Sans 300" w:hAnsi="Museo Sans 300"/>
          <w:b/>
          <w:sz w:val="22"/>
          <w:szCs w:val="22"/>
        </w:rPr>
      </w:pPr>
    </w:p>
    <w:p w14:paraId="3B8ECA0F" w14:textId="77777777" w:rsidR="00827FB3" w:rsidRPr="00E715BF" w:rsidRDefault="00827FB3" w:rsidP="00827FB3">
      <w:pPr>
        <w:keepNext/>
        <w:jc w:val="center"/>
        <w:outlineLvl w:val="0"/>
        <w:rPr>
          <w:rFonts w:ascii="Museo Sans 300" w:hAnsi="Museo Sans 300"/>
          <w:b/>
          <w:sz w:val="22"/>
          <w:szCs w:val="22"/>
        </w:rPr>
      </w:pPr>
      <w:r w:rsidRPr="00E715BF">
        <w:rPr>
          <w:rFonts w:ascii="Museo Sans 300" w:hAnsi="Museo Sans 300"/>
          <w:b/>
          <w:sz w:val="22"/>
          <w:szCs w:val="22"/>
        </w:rPr>
        <w:t>CAPÍTULO III</w:t>
      </w:r>
    </w:p>
    <w:p w14:paraId="6FEA6482" w14:textId="77777777" w:rsidR="00827FB3" w:rsidRPr="00E715BF" w:rsidRDefault="00827FB3" w:rsidP="00827FB3">
      <w:pPr>
        <w:keepNext/>
        <w:jc w:val="center"/>
        <w:outlineLvl w:val="0"/>
        <w:rPr>
          <w:rFonts w:ascii="Museo Sans 300" w:hAnsi="Museo Sans 300"/>
          <w:b/>
          <w:sz w:val="22"/>
          <w:szCs w:val="22"/>
        </w:rPr>
      </w:pPr>
      <w:r w:rsidRPr="00E715BF">
        <w:rPr>
          <w:rFonts w:ascii="Museo Sans 300" w:hAnsi="Museo Sans 300"/>
          <w:b/>
          <w:sz w:val="22"/>
          <w:szCs w:val="22"/>
        </w:rPr>
        <w:t>OTRAS DISPOSICIONES Y VIGENCIA</w:t>
      </w:r>
    </w:p>
    <w:p w14:paraId="0E1EBEE0" w14:textId="77777777" w:rsidR="00827FB3" w:rsidRPr="00E715BF" w:rsidRDefault="00827FB3" w:rsidP="00827FB3">
      <w:pPr>
        <w:keepNext/>
        <w:jc w:val="both"/>
        <w:outlineLvl w:val="0"/>
        <w:rPr>
          <w:rFonts w:ascii="Museo Sans 300" w:hAnsi="Museo Sans 300"/>
          <w:b/>
          <w:sz w:val="22"/>
          <w:szCs w:val="22"/>
        </w:rPr>
      </w:pPr>
    </w:p>
    <w:p w14:paraId="4C8D3D5D" w14:textId="77777777" w:rsidR="00827FB3" w:rsidRPr="00E715BF" w:rsidRDefault="00827FB3" w:rsidP="00827FB3">
      <w:pPr>
        <w:pStyle w:val="Prrafodelista"/>
        <w:keepNext/>
        <w:numPr>
          <w:ilvl w:val="0"/>
          <w:numId w:val="23"/>
        </w:numPr>
        <w:ind w:left="0" w:firstLine="0"/>
        <w:contextualSpacing/>
        <w:jc w:val="both"/>
        <w:outlineLvl w:val="0"/>
        <w:rPr>
          <w:rFonts w:ascii="Museo Sans 300" w:hAnsi="Museo Sans 300"/>
          <w:bCs/>
          <w:sz w:val="22"/>
          <w:szCs w:val="22"/>
        </w:rPr>
      </w:pPr>
      <w:r w:rsidRPr="00E715BF">
        <w:rPr>
          <w:rFonts w:ascii="Museo Sans 300" w:hAnsi="Museo Sans 300"/>
          <w:b/>
          <w:sz w:val="22"/>
          <w:szCs w:val="22"/>
        </w:rPr>
        <w:t xml:space="preserve"> </w:t>
      </w:r>
      <w:r w:rsidRPr="00E715BF">
        <w:rPr>
          <w:rFonts w:ascii="Museo Sans 300" w:hAnsi="Museo Sans 300"/>
          <w:bCs/>
          <w:sz w:val="22"/>
          <w:szCs w:val="22"/>
        </w:rPr>
        <w:t xml:space="preserve">Con el objeto de que se cumpla con los procedimientos descritos en estas Normas, los bancos deberán establecer controles que les permitan realizar las amortizaciones en forma oportuna y exacta. </w:t>
      </w:r>
    </w:p>
    <w:p w14:paraId="6177F625" w14:textId="77777777" w:rsidR="00827FB3" w:rsidRPr="00E715BF" w:rsidRDefault="00827FB3" w:rsidP="00827FB3">
      <w:pPr>
        <w:keepNext/>
        <w:jc w:val="both"/>
        <w:outlineLvl w:val="0"/>
        <w:rPr>
          <w:rFonts w:ascii="Museo Sans 300" w:hAnsi="Museo Sans 300"/>
          <w:b/>
          <w:sz w:val="22"/>
          <w:szCs w:val="22"/>
        </w:rPr>
      </w:pPr>
    </w:p>
    <w:p w14:paraId="522ACFB8" w14:textId="77777777" w:rsidR="00827FB3" w:rsidRPr="00E715BF" w:rsidRDefault="00827FB3" w:rsidP="00827FB3">
      <w:pPr>
        <w:pStyle w:val="Prrafodelista"/>
        <w:keepNext/>
        <w:numPr>
          <w:ilvl w:val="0"/>
          <w:numId w:val="23"/>
        </w:numPr>
        <w:ind w:left="0" w:firstLine="0"/>
        <w:contextualSpacing/>
        <w:jc w:val="both"/>
        <w:outlineLvl w:val="0"/>
        <w:rPr>
          <w:rFonts w:ascii="Museo Sans 300" w:hAnsi="Museo Sans 300"/>
          <w:bCs/>
          <w:sz w:val="22"/>
          <w:szCs w:val="22"/>
        </w:rPr>
      </w:pPr>
      <w:r w:rsidRPr="00E715BF">
        <w:rPr>
          <w:rFonts w:ascii="Museo Sans 300" w:hAnsi="Museo Sans 300"/>
          <w:b/>
          <w:sz w:val="22"/>
          <w:szCs w:val="22"/>
        </w:rPr>
        <w:t xml:space="preserve"> </w:t>
      </w:r>
      <w:r w:rsidRPr="00E715BF">
        <w:rPr>
          <w:rFonts w:ascii="Museo Sans 300" w:hAnsi="Museo Sans 300"/>
          <w:bCs/>
          <w:sz w:val="22"/>
          <w:szCs w:val="22"/>
        </w:rPr>
        <w:t xml:space="preserve">Los saldos de las comisiones que a la entrada en vigencia de estas normas se encuentren pendientes de amortizar bajo el método anterior, deberán ajustarse según lo que corresponda bajo el método del rendimiento efectivo, en el plazo de 90 días contados a partir de la vigencia de las presentes normas. </w:t>
      </w:r>
    </w:p>
    <w:p w14:paraId="4F6F9D5C" w14:textId="77777777" w:rsidR="00827FB3" w:rsidRPr="00E715BF" w:rsidRDefault="00827FB3" w:rsidP="00827FB3">
      <w:pPr>
        <w:keepNext/>
        <w:jc w:val="both"/>
        <w:outlineLvl w:val="0"/>
        <w:rPr>
          <w:rFonts w:ascii="Museo Sans 300" w:hAnsi="Museo Sans 300"/>
          <w:b/>
          <w:i/>
          <w:iCs/>
          <w:sz w:val="22"/>
          <w:szCs w:val="22"/>
          <w:u w:val="single"/>
        </w:rPr>
      </w:pPr>
    </w:p>
    <w:p w14:paraId="07F4B242" w14:textId="77777777" w:rsidR="00827FB3" w:rsidRPr="00E715BF" w:rsidRDefault="00827FB3" w:rsidP="00827FB3">
      <w:pPr>
        <w:keepNext/>
        <w:jc w:val="both"/>
        <w:outlineLvl w:val="0"/>
        <w:rPr>
          <w:rFonts w:ascii="Museo Sans 300" w:hAnsi="Museo Sans 300"/>
          <w:b/>
          <w:i/>
          <w:iCs/>
          <w:sz w:val="22"/>
          <w:szCs w:val="22"/>
          <w:u w:val="single"/>
        </w:rPr>
      </w:pPr>
      <w:bookmarkStart w:id="2" w:name="_Hlk133934193"/>
      <w:r w:rsidRPr="00AF53E6">
        <w:rPr>
          <w:rFonts w:ascii="Museo Sans 300" w:hAnsi="Museo Sans 300"/>
          <w:b/>
          <w:sz w:val="22"/>
          <w:szCs w:val="22"/>
        </w:rPr>
        <w:t>Sanciones</w:t>
      </w:r>
    </w:p>
    <w:p w14:paraId="51674DAA" w14:textId="77777777" w:rsidR="00827FB3" w:rsidRPr="00E715BF" w:rsidRDefault="00827FB3" w:rsidP="00827FB3">
      <w:pPr>
        <w:keepNext/>
        <w:jc w:val="both"/>
        <w:outlineLvl w:val="0"/>
        <w:rPr>
          <w:rFonts w:ascii="Museo Sans 300" w:hAnsi="Museo Sans 300"/>
          <w:b/>
          <w:sz w:val="22"/>
          <w:szCs w:val="22"/>
        </w:rPr>
      </w:pPr>
      <w:r w:rsidRPr="00E715BF">
        <w:rPr>
          <w:rFonts w:ascii="Museo Sans 300" w:hAnsi="Museo Sans 300"/>
          <w:b/>
          <w:sz w:val="22"/>
          <w:szCs w:val="22"/>
        </w:rPr>
        <w:t xml:space="preserve">Art. 10-A.- </w:t>
      </w:r>
      <w:r w:rsidRPr="00E715BF">
        <w:rPr>
          <w:rFonts w:ascii="Museo Sans 300" w:hAnsi="Museo Sans 300"/>
          <w:b/>
          <w:sz w:val="22"/>
          <w:szCs w:val="22"/>
        </w:rPr>
        <w:tab/>
      </w:r>
      <w:r w:rsidRPr="00AF53E6">
        <w:rPr>
          <w:rFonts w:ascii="Museo Sans 300" w:hAnsi="Museo Sans 300"/>
          <w:bCs/>
          <w:sz w:val="22"/>
          <w:szCs w:val="22"/>
        </w:rPr>
        <w:t>Los incumplimientos a las disposiciones contenidas en las presentes Normas, serán sancionados de conformidad a lo establecido en la Ley de Supervisión y Regulación del Sistema Financiero. (2)</w:t>
      </w:r>
    </w:p>
    <w:bookmarkEnd w:id="2"/>
    <w:p w14:paraId="031B5BBD" w14:textId="77777777" w:rsidR="00827FB3" w:rsidRPr="00E715BF" w:rsidRDefault="00827FB3" w:rsidP="00827FB3">
      <w:pPr>
        <w:keepNext/>
        <w:jc w:val="both"/>
        <w:outlineLvl w:val="0"/>
        <w:rPr>
          <w:rFonts w:ascii="Museo Sans 300" w:hAnsi="Museo Sans 300"/>
          <w:b/>
          <w:i/>
          <w:iCs/>
          <w:sz w:val="22"/>
          <w:szCs w:val="22"/>
          <w:u w:val="single"/>
        </w:rPr>
      </w:pPr>
    </w:p>
    <w:p w14:paraId="4B9B0121" w14:textId="77777777" w:rsidR="00827FB3" w:rsidRPr="00AF53E6" w:rsidRDefault="00827FB3" w:rsidP="00827FB3">
      <w:pPr>
        <w:keepNext/>
        <w:jc w:val="both"/>
        <w:outlineLvl w:val="0"/>
        <w:rPr>
          <w:rFonts w:ascii="Museo Sans 300" w:hAnsi="Museo Sans 300"/>
          <w:b/>
          <w:sz w:val="22"/>
          <w:szCs w:val="22"/>
        </w:rPr>
      </w:pPr>
      <w:bookmarkStart w:id="3" w:name="_Hlk133934116"/>
      <w:r w:rsidRPr="00AF53E6">
        <w:rPr>
          <w:rFonts w:ascii="Museo Sans 300" w:hAnsi="Museo Sans 300"/>
          <w:b/>
          <w:sz w:val="22"/>
          <w:szCs w:val="22"/>
        </w:rPr>
        <w:t>Aspectos no previstos</w:t>
      </w:r>
    </w:p>
    <w:bookmarkEnd w:id="3"/>
    <w:p w14:paraId="148733EC" w14:textId="47523D3B" w:rsidR="00827FB3" w:rsidRPr="00AF53E6" w:rsidRDefault="00827FB3" w:rsidP="00827FB3">
      <w:pPr>
        <w:pStyle w:val="Prrafodelista"/>
        <w:keepNext/>
        <w:numPr>
          <w:ilvl w:val="0"/>
          <w:numId w:val="23"/>
        </w:numPr>
        <w:ind w:left="0" w:firstLine="0"/>
        <w:contextualSpacing/>
        <w:jc w:val="both"/>
        <w:outlineLvl w:val="0"/>
        <w:rPr>
          <w:rFonts w:ascii="Museo Sans 300" w:hAnsi="Museo Sans 300"/>
          <w:bCs/>
          <w:sz w:val="22"/>
          <w:szCs w:val="22"/>
        </w:rPr>
      </w:pPr>
      <w:r w:rsidRPr="00E715BF">
        <w:rPr>
          <w:rFonts w:ascii="Museo Sans 300" w:hAnsi="Museo Sans 300"/>
          <w:b/>
          <w:sz w:val="22"/>
          <w:szCs w:val="22"/>
        </w:rPr>
        <w:t xml:space="preserve"> </w:t>
      </w:r>
      <w:bookmarkStart w:id="4" w:name="_Hlk133934132"/>
      <w:r w:rsidRPr="00AF53E6">
        <w:rPr>
          <w:rFonts w:ascii="Museo Sans 300" w:hAnsi="Museo Sans 300"/>
          <w:bCs/>
          <w:sz w:val="22"/>
          <w:szCs w:val="22"/>
        </w:rPr>
        <w:t xml:space="preserve">Los aspectos no previstos en materia de regulación en las presentes </w:t>
      </w:r>
      <w:r w:rsidR="00D4381E" w:rsidRPr="00AF53E6">
        <w:rPr>
          <w:rFonts w:ascii="Museo Sans 300" w:hAnsi="Museo Sans 300"/>
          <w:bCs/>
          <w:sz w:val="22"/>
          <w:szCs w:val="22"/>
        </w:rPr>
        <w:t>Normas</w:t>
      </w:r>
      <w:r w:rsidRPr="00AF53E6">
        <w:rPr>
          <w:rFonts w:ascii="Museo Sans 300" w:hAnsi="Museo Sans 300"/>
          <w:bCs/>
          <w:sz w:val="22"/>
          <w:szCs w:val="22"/>
        </w:rPr>
        <w:t xml:space="preserve"> serán resueltos por el Banco Central</w:t>
      </w:r>
      <w:r w:rsidR="00752A17">
        <w:rPr>
          <w:rFonts w:ascii="Museo Sans 300" w:hAnsi="Museo Sans 300"/>
          <w:bCs/>
          <w:sz w:val="22"/>
          <w:szCs w:val="22"/>
        </w:rPr>
        <w:t xml:space="preserve"> de Reserva</w:t>
      </w:r>
      <w:r w:rsidRPr="00AF53E6">
        <w:rPr>
          <w:rFonts w:ascii="Museo Sans 300" w:hAnsi="Museo Sans 300"/>
          <w:bCs/>
          <w:sz w:val="22"/>
          <w:szCs w:val="22"/>
        </w:rPr>
        <w:t xml:space="preserve"> de El Salvador por medio de su Comité de Normas.</w:t>
      </w:r>
      <w:bookmarkEnd w:id="4"/>
      <w:r w:rsidRPr="00AF53E6">
        <w:rPr>
          <w:rFonts w:ascii="Museo Sans 300" w:hAnsi="Museo Sans 300"/>
          <w:bCs/>
          <w:sz w:val="22"/>
          <w:szCs w:val="22"/>
        </w:rPr>
        <w:t xml:space="preserve"> (2)</w:t>
      </w:r>
    </w:p>
    <w:p w14:paraId="21DFA28D" w14:textId="77777777" w:rsidR="00827FB3" w:rsidRPr="00E715BF" w:rsidRDefault="00827FB3" w:rsidP="00827FB3">
      <w:pPr>
        <w:pStyle w:val="Prrafodelista"/>
        <w:keepNext/>
        <w:ind w:left="0"/>
        <w:outlineLvl w:val="0"/>
        <w:rPr>
          <w:rFonts w:ascii="Museo Sans 300" w:hAnsi="Museo Sans 300"/>
          <w:b/>
          <w:i/>
          <w:iCs/>
          <w:sz w:val="22"/>
          <w:szCs w:val="22"/>
          <w:u w:val="single"/>
        </w:rPr>
      </w:pPr>
    </w:p>
    <w:p w14:paraId="1B6BCF72" w14:textId="224AA32A" w:rsidR="00827FB3" w:rsidRPr="00E715BF" w:rsidRDefault="00827FB3" w:rsidP="00827FB3">
      <w:pPr>
        <w:pStyle w:val="Prrafodelista"/>
        <w:keepNext/>
        <w:numPr>
          <w:ilvl w:val="0"/>
          <w:numId w:val="23"/>
        </w:numPr>
        <w:ind w:left="0" w:firstLine="0"/>
        <w:contextualSpacing/>
        <w:jc w:val="both"/>
        <w:outlineLvl w:val="0"/>
        <w:rPr>
          <w:rFonts w:ascii="Museo Sans 300" w:hAnsi="Museo Sans 300"/>
          <w:bCs/>
          <w:sz w:val="22"/>
          <w:szCs w:val="22"/>
        </w:rPr>
      </w:pPr>
      <w:r w:rsidRPr="00E715BF">
        <w:rPr>
          <w:rFonts w:ascii="Museo Sans 300" w:hAnsi="Museo Sans 300"/>
          <w:bCs/>
          <w:sz w:val="22"/>
          <w:szCs w:val="22"/>
        </w:rPr>
        <w:t xml:space="preserve"> </w:t>
      </w:r>
      <w:r w:rsidR="00D4381E" w:rsidRPr="00E715BF">
        <w:rPr>
          <w:rFonts w:ascii="Museo Sans 300" w:hAnsi="Museo Sans 300"/>
          <w:bCs/>
          <w:sz w:val="22"/>
          <w:szCs w:val="22"/>
        </w:rPr>
        <w:t>Derogase</w:t>
      </w:r>
      <w:r w:rsidRPr="00E715BF">
        <w:rPr>
          <w:rFonts w:ascii="Museo Sans 300" w:hAnsi="Museo Sans 300"/>
          <w:bCs/>
          <w:sz w:val="22"/>
          <w:szCs w:val="22"/>
        </w:rPr>
        <w:t xml:space="preserve"> las Normas para la Contabilización de las Comisiones Bancarias sobre Préstamos y Operaciones Contingentes, NCB-015, aprobadas por el Consejo Directivo de la Superintendencia, en Sesión CD–20/2000 del 17 de abril del año 2000 y en Sesión CD-42/2000 del 24 de agosto del año 2000.</w:t>
      </w:r>
    </w:p>
    <w:p w14:paraId="12020230" w14:textId="77777777" w:rsidR="00827FB3" w:rsidRPr="00E715BF" w:rsidRDefault="00827FB3" w:rsidP="00827FB3">
      <w:pPr>
        <w:pStyle w:val="Prrafodelista"/>
        <w:keepNext/>
        <w:ind w:left="0"/>
        <w:outlineLvl w:val="0"/>
        <w:rPr>
          <w:rFonts w:ascii="Museo Sans 300" w:hAnsi="Museo Sans 300"/>
          <w:b/>
          <w:i/>
          <w:iCs/>
          <w:sz w:val="22"/>
          <w:szCs w:val="22"/>
          <w:u w:val="single"/>
        </w:rPr>
      </w:pPr>
    </w:p>
    <w:p w14:paraId="721AA0A2" w14:textId="77777777" w:rsidR="00827FB3" w:rsidRPr="00ED712A" w:rsidRDefault="00827FB3" w:rsidP="00827FB3">
      <w:pPr>
        <w:pStyle w:val="Prrafodelista"/>
        <w:keepNext/>
        <w:numPr>
          <w:ilvl w:val="0"/>
          <w:numId w:val="23"/>
        </w:numPr>
        <w:ind w:left="0" w:firstLine="0"/>
        <w:contextualSpacing/>
        <w:jc w:val="both"/>
        <w:outlineLvl w:val="0"/>
        <w:rPr>
          <w:rFonts w:ascii="Museo Sans 300" w:eastAsia="Calibri" w:hAnsi="Museo Sans 300"/>
          <w:bCs/>
          <w:sz w:val="22"/>
          <w:szCs w:val="22"/>
          <w:lang w:val="es-SV" w:eastAsia="en-US"/>
        </w:rPr>
      </w:pPr>
      <w:r w:rsidRPr="00ED712A">
        <w:rPr>
          <w:rFonts w:ascii="Museo Sans 300" w:eastAsia="Calibri" w:hAnsi="Museo Sans 300"/>
          <w:bCs/>
          <w:sz w:val="22"/>
          <w:szCs w:val="22"/>
          <w:lang w:val="es-SV" w:eastAsia="en-US"/>
        </w:rPr>
        <w:t xml:space="preserve">Las presentes Normas entrarán en vigencia a partir del día uno de octubre de dos mil cinco. (1) </w:t>
      </w:r>
    </w:p>
    <w:p w14:paraId="70BB093C" w14:textId="77777777" w:rsidR="00064184" w:rsidRDefault="00064184" w:rsidP="00827FB3">
      <w:pPr>
        <w:keepNext/>
        <w:jc w:val="both"/>
        <w:outlineLvl w:val="0"/>
        <w:rPr>
          <w:rFonts w:ascii="Museo Sans 300" w:hAnsi="Museo Sans 300"/>
          <w:b/>
          <w:sz w:val="22"/>
          <w:szCs w:val="22"/>
        </w:rPr>
      </w:pPr>
    </w:p>
    <w:p w14:paraId="5B47A4B9" w14:textId="77777777" w:rsidR="00064184" w:rsidRDefault="00064184" w:rsidP="00827FB3">
      <w:pPr>
        <w:keepNext/>
        <w:jc w:val="both"/>
        <w:outlineLvl w:val="0"/>
        <w:rPr>
          <w:rFonts w:ascii="Museo Sans 300" w:hAnsi="Museo Sans 300"/>
          <w:b/>
          <w:sz w:val="22"/>
          <w:szCs w:val="22"/>
        </w:rPr>
      </w:pPr>
    </w:p>
    <w:p w14:paraId="46FA0C1E" w14:textId="2165D922" w:rsidR="00827FB3" w:rsidRPr="00CF160A" w:rsidRDefault="00827FB3" w:rsidP="00CF160A">
      <w:pPr>
        <w:keepNext/>
        <w:spacing w:after="120"/>
        <w:jc w:val="both"/>
        <w:outlineLvl w:val="0"/>
        <w:rPr>
          <w:rFonts w:ascii="Museo Sans 300" w:hAnsi="Museo Sans 300"/>
          <w:b/>
          <w:sz w:val="20"/>
        </w:rPr>
      </w:pPr>
      <w:r w:rsidRPr="00CF160A">
        <w:rPr>
          <w:rFonts w:ascii="Museo Sans 300" w:hAnsi="Museo Sans 300"/>
          <w:b/>
          <w:sz w:val="20"/>
        </w:rPr>
        <w:t>MODIFICACIONES:</w:t>
      </w:r>
    </w:p>
    <w:p w14:paraId="01AFB6FD" w14:textId="77777777" w:rsidR="00827FB3" w:rsidRPr="00CF160A" w:rsidRDefault="00827FB3" w:rsidP="00CF160A">
      <w:pPr>
        <w:pStyle w:val="Prrafodelista"/>
        <w:keepNext/>
        <w:numPr>
          <w:ilvl w:val="0"/>
          <w:numId w:val="24"/>
        </w:numPr>
        <w:ind w:left="425" w:hanging="425"/>
        <w:jc w:val="both"/>
        <w:outlineLvl w:val="0"/>
        <w:rPr>
          <w:rFonts w:ascii="Museo Sans 300" w:hAnsi="Museo Sans 300"/>
          <w:b/>
          <w:sz w:val="20"/>
        </w:rPr>
      </w:pPr>
      <w:r w:rsidRPr="00CF160A">
        <w:rPr>
          <w:rFonts w:ascii="Museo Sans 300" w:hAnsi="Museo Sans 300"/>
          <w:b/>
          <w:sz w:val="20"/>
        </w:rPr>
        <w:t>Modificaciones aprobadas por el Consejo Directivo de la Superintendencia del Sistema Financiero en Sesión No. CD-29/05 del seis de julio de dos mil cinco.</w:t>
      </w:r>
    </w:p>
    <w:p w14:paraId="577C66FD" w14:textId="03F52353" w:rsidR="00827FB3" w:rsidRPr="00CF160A" w:rsidRDefault="00ED313D" w:rsidP="00CF160A">
      <w:pPr>
        <w:pStyle w:val="Prrafodelista"/>
        <w:keepNext/>
        <w:numPr>
          <w:ilvl w:val="0"/>
          <w:numId w:val="24"/>
        </w:numPr>
        <w:spacing w:before="60" w:after="60"/>
        <w:ind w:left="425" w:hanging="425"/>
        <w:jc w:val="both"/>
        <w:outlineLvl w:val="0"/>
        <w:rPr>
          <w:rFonts w:ascii="Museo Sans 300" w:hAnsi="Museo Sans 300"/>
          <w:b/>
          <w:sz w:val="20"/>
        </w:rPr>
      </w:pPr>
      <w:r w:rsidRPr="00CF160A">
        <w:rPr>
          <w:rFonts w:ascii="Museo Sans 300" w:hAnsi="Museo Sans 300"/>
          <w:b/>
          <w:sz w:val="20"/>
        </w:rPr>
        <w:t xml:space="preserve">Modificaciones en los artículos </w:t>
      </w:r>
      <w:r w:rsidR="002B3A67" w:rsidRPr="00CF160A">
        <w:rPr>
          <w:rFonts w:ascii="Museo Sans 300" w:hAnsi="Museo Sans 300"/>
          <w:b/>
          <w:sz w:val="20"/>
        </w:rPr>
        <w:t>4</w:t>
      </w:r>
      <w:r w:rsidRPr="00CF160A">
        <w:rPr>
          <w:rFonts w:ascii="Museo Sans 300" w:hAnsi="Museo Sans 300"/>
          <w:b/>
          <w:sz w:val="20"/>
        </w:rPr>
        <w:t xml:space="preserve">, </w:t>
      </w:r>
      <w:r w:rsidR="002B3A67" w:rsidRPr="00CF160A">
        <w:rPr>
          <w:rFonts w:ascii="Museo Sans 300" w:hAnsi="Museo Sans 300"/>
          <w:b/>
          <w:sz w:val="20"/>
        </w:rPr>
        <w:t>5</w:t>
      </w:r>
      <w:r w:rsidRPr="00CF160A">
        <w:rPr>
          <w:rFonts w:ascii="Museo Sans 300" w:hAnsi="Museo Sans 300"/>
          <w:b/>
          <w:sz w:val="20"/>
        </w:rPr>
        <w:t>,</w:t>
      </w:r>
      <w:r w:rsidR="002B3A67" w:rsidRPr="00CF160A">
        <w:rPr>
          <w:rFonts w:ascii="Museo Sans 300" w:hAnsi="Museo Sans 300"/>
          <w:b/>
          <w:sz w:val="20"/>
        </w:rPr>
        <w:t xml:space="preserve"> 6</w:t>
      </w:r>
      <w:r w:rsidR="002C4F62" w:rsidRPr="00CF160A">
        <w:rPr>
          <w:rFonts w:ascii="Museo Sans 300" w:hAnsi="Museo Sans 300"/>
          <w:b/>
          <w:sz w:val="20"/>
        </w:rPr>
        <w:t xml:space="preserve"> y 11</w:t>
      </w:r>
      <w:r w:rsidRPr="00CF160A">
        <w:rPr>
          <w:rFonts w:ascii="Museo Sans 300" w:hAnsi="Museo Sans 300"/>
          <w:b/>
          <w:sz w:val="20"/>
        </w:rPr>
        <w:t xml:space="preserve"> </w:t>
      </w:r>
      <w:r w:rsidR="002B3A67" w:rsidRPr="00CF160A">
        <w:rPr>
          <w:rFonts w:ascii="Museo Sans 300" w:hAnsi="Museo Sans 300"/>
          <w:b/>
          <w:sz w:val="20"/>
        </w:rPr>
        <w:t xml:space="preserve">e incorporación de los artículos 10-A </w:t>
      </w:r>
      <w:r w:rsidRPr="00CF160A">
        <w:rPr>
          <w:rFonts w:ascii="Museo Sans 300" w:hAnsi="Museo Sans 300"/>
          <w:b/>
          <w:sz w:val="20"/>
        </w:rPr>
        <w:t xml:space="preserve">aprobadas por el Comité de Normas del Banco Central </w:t>
      </w:r>
      <w:r w:rsidR="00752A17" w:rsidRPr="00CF160A">
        <w:rPr>
          <w:rFonts w:ascii="Museo Sans 300" w:hAnsi="Museo Sans 300"/>
          <w:b/>
          <w:sz w:val="20"/>
        </w:rPr>
        <w:t xml:space="preserve">de Reserva de El Salvador </w:t>
      </w:r>
      <w:r w:rsidRPr="00CF160A">
        <w:rPr>
          <w:rFonts w:ascii="Museo Sans 300" w:hAnsi="Museo Sans 300"/>
          <w:b/>
          <w:sz w:val="20"/>
        </w:rPr>
        <w:t>en Sesión No. CN-0</w:t>
      </w:r>
      <w:r w:rsidR="002B3A67" w:rsidRPr="00CF160A">
        <w:rPr>
          <w:rFonts w:ascii="Museo Sans 300" w:hAnsi="Museo Sans 300"/>
          <w:b/>
          <w:sz w:val="20"/>
        </w:rPr>
        <w:t>4</w:t>
      </w:r>
      <w:r w:rsidRPr="00CF160A">
        <w:rPr>
          <w:rFonts w:ascii="Museo Sans 300" w:hAnsi="Museo Sans 300"/>
          <w:b/>
          <w:sz w:val="20"/>
        </w:rPr>
        <w:t>/2023 del</w:t>
      </w:r>
      <w:r w:rsidR="002B3A67" w:rsidRPr="00CF160A">
        <w:rPr>
          <w:rFonts w:ascii="Museo Sans 300" w:hAnsi="Museo Sans 300"/>
          <w:b/>
          <w:sz w:val="20"/>
        </w:rPr>
        <w:t xml:space="preserve"> 28</w:t>
      </w:r>
      <w:r w:rsidRPr="00CF160A">
        <w:rPr>
          <w:rFonts w:ascii="Museo Sans 300" w:hAnsi="Museo Sans 300"/>
          <w:b/>
          <w:sz w:val="20"/>
        </w:rPr>
        <w:t xml:space="preserve"> de </w:t>
      </w:r>
      <w:r w:rsidR="002B3A67" w:rsidRPr="00CF160A">
        <w:rPr>
          <w:rFonts w:ascii="Museo Sans 300" w:hAnsi="Museo Sans 300"/>
          <w:b/>
          <w:sz w:val="20"/>
        </w:rPr>
        <w:t>junio</w:t>
      </w:r>
      <w:r w:rsidRPr="00CF160A">
        <w:rPr>
          <w:rFonts w:ascii="Museo Sans 300" w:hAnsi="Museo Sans 300"/>
          <w:b/>
          <w:sz w:val="20"/>
        </w:rPr>
        <w:t xml:space="preserve"> de 2023, con vigencia a partir del </w:t>
      </w:r>
      <w:r w:rsidR="00AC5419" w:rsidRPr="00CF160A">
        <w:rPr>
          <w:rFonts w:ascii="Museo Sans 300" w:hAnsi="Museo Sans 300"/>
          <w:b/>
          <w:sz w:val="20"/>
        </w:rPr>
        <w:t>1</w:t>
      </w:r>
      <w:r w:rsidR="00AC5419">
        <w:rPr>
          <w:rFonts w:ascii="Museo Sans 300" w:hAnsi="Museo Sans 300"/>
          <w:b/>
          <w:sz w:val="20"/>
        </w:rPr>
        <w:t>4</w:t>
      </w:r>
      <w:r w:rsidR="00AC5419" w:rsidRPr="00CF160A">
        <w:rPr>
          <w:rFonts w:ascii="Museo Sans 300" w:hAnsi="Museo Sans 300"/>
          <w:b/>
          <w:sz w:val="20"/>
        </w:rPr>
        <w:t xml:space="preserve"> </w:t>
      </w:r>
      <w:r w:rsidRPr="00CF160A">
        <w:rPr>
          <w:rFonts w:ascii="Museo Sans 300" w:hAnsi="Museo Sans 300"/>
          <w:b/>
          <w:sz w:val="20"/>
        </w:rPr>
        <w:t xml:space="preserve">de </w:t>
      </w:r>
      <w:r w:rsidR="004F5338" w:rsidRPr="00CF160A">
        <w:rPr>
          <w:rFonts w:ascii="Museo Sans 300" w:hAnsi="Museo Sans 300"/>
          <w:b/>
          <w:sz w:val="20"/>
        </w:rPr>
        <w:t xml:space="preserve">julio </w:t>
      </w:r>
      <w:r w:rsidRPr="00CF160A">
        <w:rPr>
          <w:rFonts w:ascii="Museo Sans 300" w:hAnsi="Museo Sans 300"/>
          <w:b/>
          <w:sz w:val="20"/>
        </w:rPr>
        <w:t>de 2023.</w:t>
      </w:r>
    </w:p>
    <w:p w14:paraId="5A87E860" w14:textId="77777777" w:rsidR="00827FB3" w:rsidRDefault="00827FB3" w:rsidP="00827FB3">
      <w:pPr>
        <w:keepNext/>
        <w:pageBreakBefore/>
        <w:jc w:val="both"/>
        <w:outlineLvl w:val="0"/>
        <w:rPr>
          <w:rFonts w:ascii="Museo Sans 300" w:hAnsi="Museo Sans 300"/>
          <w:b/>
          <w:sz w:val="22"/>
          <w:szCs w:val="22"/>
        </w:rPr>
      </w:pPr>
      <w:r>
        <w:rPr>
          <w:rFonts w:ascii="Arial Narrow" w:eastAsiaTheme="minorHAnsi" w:hAnsi="Arial Narrow"/>
          <w:noProof/>
          <w:szCs w:val="24"/>
          <w:lang w:eastAsia="es-MX"/>
        </w:rPr>
        <w:drawing>
          <wp:anchor distT="0" distB="0" distL="114300" distR="114300" simplePos="0" relativeHeight="251659264" behindDoc="1" locked="0" layoutInCell="1" allowOverlap="1" wp14:anchorId="2AEA9D5E" wp14:editId="05A3E79C">
            <wp:simplePos x="0" y="0"/>
            <wp:positionH relativeFrom="column">
              <wp:posOffset>0</wp:posOffset>
            </wp:positionH>
            <wp:positionV relativeFrom="page">
              <wp:posOffset>1906905</wp:posOffset>
            </wp:positionV>
            <wp:extent cx="6144895" cy="5334000"/>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4895" cy="5334000"/>
                    </a:xfrm>
                    <a:prstGeom prst="rect">
                      <a:avLst/>
                    </a:prstGeom>
                    <a:noFill/>
                  </pic:spPr>
                </pic:pic>
              </a:graphicData>
            </a:graphic>
            <wp14:sizeRelH relativeFrom="page">
              <wp14:pctWidth>0</wp14:pctWidth>
            </wp14:sizeRelH>
            <wp14:sizeRelV relativeFrom="page">
              <wp14:pctHeight>0</wp14:pctHeight>
            </wp14:sizeRelV>
          </wp:anchor>
        </w:drawing>
      </w:r>
    </w:p>
    <w:p w14:paraId="6C99131D" w14:textId="5A96FF15" w:rsidR="00730A0A" w:rsidRPr="00827FB3" w:rsidRDefault="00730A0A" w:rsidP="00827FB3">
      <w:pPr>
        <w:rPr>
          <w:rFonts w:eastAsiaTheme="minorHAnsi"/>
        </w:rPr>
      </w:pPr>
    </w:p>
    <w:sectPr w:rsidR="00730A0A" w:rsidRPr="00827FB3">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5E7B5" w14:textId="77777777" w:rsidR="005E0A1F" w:rsidRDefault="005E0A1F" w:rsidP="009C24F4">
      <w:r>
        <w:separator/>
      </w:r>
    </w:p>
    <w:p w14:paraId="7CD6D00F" w14:textId="77777777" w:rsidR="005E0A1F" w:rsidRDefault="005E0A1F"/>
  </w:endnote>
  <w:endnote w:type="continuationSeparator" w:id="0">
    <w:p w14:paraId="7F5CEA2C" w14:textId="77777777" w:rsidR="005E0A1F" w:rsidRDefault="005E0A1F" w:rsidP="009C24F4">
      <w:r>
        <w:continuationSeparator/>
      </w:r>
    </w:p>
    <w:p w14:paraId="2A909B03" w14:textId="77777777" w:rsidR="005E0A1F" w:rsidRDefault="005E0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9" w:type="dxa"/>
      <w:jc w:val="center"/>
      <w:tblBorders>
        <w:top w:val="triple" w:sz="4" w:space="0" w:color="A6A6A6" w:themeColor="background1" w:themeShade="A6"/>
      </w:tblBorders>
      <w:tblLook w:val="04A0" w:firstRow="1" w:lastRow="0" w:firstColumn="1" w:lastColumn="0" w:noHBand="0" w:noVBand="1"/>
    </w:tblPr>
    <w:tblGrid>
      <w:gridCol w:w="250"/>
      <w:gridCol w:w="6888"/>
      <w:gridCol w:w="1781"/>
    </w:tblGrid>
    <w:tr w:rsidR="008361A8" w:rsidRPr="00B96CE4" w14:paraId="6C991340" w14:textId="77777777" w:rsidTr="00045498">
      <w:trPr>
        <w:trHeight w:val="791"/>
        <w:jc w:val="center"/>
      </w:trPr>
      <w:tc>
        <w:tcPr>
          <w:tcW w:w="236" w:type="dxa"/>
          <w:tcBorders>
            <w:top w:val="nil"/>
            <w:left w:val="nil"/>
            <w:bottom w:val="nil"/>
            <w:right w:val="nil"/>
          </w:tcBorders>
          <w:vAlign w:val="bottom"/>
        </w:tcPr>
        <w:p w14:paraId="6C991339" w14:textId="77777777" w:rsidR="008361A8" w:rsidRPr="00B96CE4" w:rsidRDefault="008361A8" w:rsidP="008361A8">
          <w:pPr>
            <w:pStyle w:val="Piedepgina"/>
            <w:ind w:firstLine="34"/>
            <w:jc w:val="center"/>
            <w:rPr>
              <w:rFonts w:ascii="Museo Sans 300" w:hAnsi="Museo Sans 300"/>
              <w:sz w:val="18"/>
              <w:szCs w:val="18"/>
            </w:rPr>
          </w:pPr>
        </w:p>
        <w:p w14:paraId="6C99133A" w14:textId="77777777" w:rsidR="008361A8" w:rsidRPr="00B96CE4" w:rsidRDefault="008361A8" w:rsidP="008361A8">
          <w:pPr>
            <w:pStyle w:val="Piedepgina"/>
            <w:ind w:firstLine="34"/>
            <w:jc w:val="center"/>
            <w:rPr>
              <w:rFonts w:ascii="Museo Sans 300" w:hAnsi="Museo Sans 300"/>
              <w:sz w:val="18"/>
              <w:szCs w:val="18"/>
            </w:rPr>
          </w:pPr>
        </w:p>
        <w:p w14:paraId="6C99133B" w14:textId="77777777" w:rsidR="008361A8" w:rsidRPr="00B96CE4" w:rsidRDefault="008361A8" w:rsidP="008361A8">
          <w:pPr>
            <w:pStyle w:val="Piedepgina"/>
            <w:ind w:firstLine="34"/>
            <w:rPr>
              <w:rFonts w:ascii="Museo Sans 300" w:hAnsi="Museo Sans 300"/>
              <w:sz w:val="18"/>
              <w:szCs w:val="18"/>
              <w:lang w:val="es-ES"/>
            </w:rPr>
          </w:pPr>
        </w:p>
      </w:tc>
      <w:tc>
        <w:tcPr>
          <w:tcW w:w="6900" w:type="dxa"/>
          <w:tcBorders>
            <w:top w:val="triple" w:sz="4" w:space="0" w:color="A6A6A6" w:themeColor="background1" w:themeShade="A6"/>
            <w:left w:val="nil"/>
            <w:bottom w:val="nil"/>
            <w:right w:val="nil"/>
          </w:tcBorders>
          <w:vAlign w:val="center"/>
          <w:hideMark/>
        </w:tcPr>
        <w:p w14:paraId="6C99133C" w14:textId="77777777" w:rsidR="008361A8" w:rsidRPr="00B96CE4" w:rsidRDefault="008361A8" w:rsidP="008361A8">
          <w:pPr>
            <w:pStyle w:val="Piedepgina"/>
            <w:jc w:val="center"/>
            <w:rPr>
              <w:rFonts w:ascii="Museo Sans 300" w:hAnsi="Museo Sans 300" w:cs="Arial"/>
              <w:color w:val="808080" w:themeColor="background1" w:themeShade="80"/>
              <w:sz w:val="18"/>
              <w:szCs w:val="18"/>
              <w:lang w:val="es-MX"/>
            </w:rPr>
          </w:pPr>
          <w:r w:rsidRPr="00B96CE4">
            <w:rPr>
              <w:rFonts w:ascii="Museo Sans 300" w:hAnsi="Museo Sans 300" w:cs="Arial"/>
              <w:color w:val="808080" w:themeColor="background1" w:themeShade="80"/>
              <w:sz w:val="18"/>
              <w:szCs w:val="18"/>
              <w:lang w:val="es-MX"/>
            </w:rPr>
            <w:t>Alameda Juan Pablo II, entre 15 y 17 Av. Norte, San Salvador, El Salvador.</w:t>
          </w:r>
        </w:p>
        <w:p w14:paraId="6C99133D" w14:textId="77777777" w:rsidR="008361A8" w:rsidRPr="00B96CE4" w:rsidRDefault="008361A8" w:rsidP="008361A8">
          <w:pPr>
            <w:pStyle w:val="Piedepgina"/>
            <w:jc w:val="center"/>
            <w:rPr>
              <w:rFonts w:ascii="Museo Sans 300" w:hAnsi="Museo Sans 300" w:cs="Arial"/>
              <w:color w:val="808080" w:themeColor="background1" w:themeShade="80"/>
              <w:sz w:val="18"/>
              <w:szCs w:val="18"/>
              <w:lang w:val="es-ES"/>
            </w:rPr>
          </w:pPr>
          <w:r w:rsidRPr="00B96CE4">
            <w:rPr>
              <w:rFonts w:ascii="Museo Sans 300" w:hAnsi="Museo Sans 300" w:cs="Arial"/>
              <w:color w:val="808080" w:themeColor="background1" w:themeShade="80"/>
              <w:sz w:val="18"/>
              <w:szCs w:val="18"/>
            </w:rPr>
            <w:t>Tel. (503) 2281-8000</w:t>
          </w:r>
        </w:p>
        <w:p w14:paraId="6C99133E" w14:textId="77777777" w:rsidR="008361A8" w:rsidRPr="00B96CE4" w:rsidRDefault="008361A8" w:rsidP="008361A8">
          <w:pPr>
            <w:pStyle w:val="Piedepgina"/>
            <w:jc w:val="center"/>
            <w:rPr>
              <w:rFonts w:ascii="Museo Sans 300" w:hAnsi="Museo Sans 300" w:cs="Arial"/>
              <w:color w:val="818284"/>
              <w:sz w:val="18"/>
              <w:szCs w:val="18"/>
              <w:lang w:val="es-ES"/>
            </w:rPr>
          </w:pPr>
          <w:r w:rsidRPr="00B96CE4">
            <w:rPr>
              <w:rFonts w:ascii="Museo Sans 300" w:hAnsi="Museo Sans 300" w:cs="Arial"/>
              <w:color w:val="808080" w:themeColor="background1" w:themeShade="80"/>
              <w:sz w:val="18"/>
              <w:szCs w:val="18"/>
            </w:rPr>
            <w:t>www.bcr.gob.sv</w:t>
          </w:r>
        </w:p>
      </w:tc>
      <w:tc>
        <w:tcPr>
          <w:tcW w:w="1783" w:type="dxa"/>
          <w:tcBorders>
            <w:top w:val="triple" w:sz="4" w:space="0" w:color="A6A6A6" w:themeColor="background1" w:themeShade="A6"/>
            <w:left w:val="nil"/>
            <w:bottom w:val="nil"/>
            <w:right w:val="nil"/>
          </w:tcBorders>
          <w:vAlign w:val="center"/>
          <w:hideMark/>
        </w:tcPr>
        <w:p w14:paraId="6C99133F" w14:textId="77777777" w:rsidR="008361A8" w:rsidRPr="00B96CE4" w:rsidRDefault="006374C4" w:rsidP="008361A8">
          <w:pPr>
            <w:pStyle w:val="Piedepgina"/>
            <w:jc w:val="center"/>
            <w:rPr>
              <w:rFonts w:ascii="Museo Sans 300" w:hAnsi="Museo Sans 300" w:cs="Arial"/>
              <w:color w:val="818284"/>
              <w:sz w:val="18"/>
              <w:szCs w:val="18"/>
              <w:lang w:val="es-ES"/>
            </w:rPr>
          </w:pPr>
          <w:sdt>
            <w:sdtPr>
              <w:rPr>
                <w:rFonts w:ascii="Museo Sans 300" w:hAnsi="Museo Sans 300" w:cs="Arial"/>
                <w:sz w:val="18"/>
                <w:szCs w:val="18"/>
              </w:rPr>
              <w:id w:val="-2051442318"/>
              <w:docPartObj>
                <w:docPartGallery w:val="Page Numbers (Bottom of Page)"/>
                <w:docPartUnique/>
              </w:docPartObj>
            </w:sdtPr>
            <w:sdtEndPr/>
            <w:sdtContent>
              <w:sdt>
                <w:sdtPr>
                  <w:rPr>
                    <w:rFonts w:ascii="Museo Sans 300" w:hAnsi="Museo Sans 300" w:cs="Arial"/>
                    <w:sz w:val="18"/>
                    <w:szCs w:val="18"/>
                  </w:rPr>
                  <w:id w:val="1542401350"/>
                  <w:docPartObj>
                    <w:docPartGallery w:val="Page Numbers (Top of Page)"/>
                    <w:docPartUnique/>
                  </w:docPartObj>
                </w:sdtPr>
                <w:sdtEndPr/>
                <w:sdtContent>
                  <w:r w:rsidR="008361A8" w:rsidRPr="00B96CE4">
                    <w:rPr>
                      <w:rFonts w:ascii="Museo Sans 300" w:hAnsi="Museo Sans 300" w:cs="Arial"/>
                      <w:color w:val="818284"/>
                      <w:sz w:val="18"/>
                      <w:szCs w:val="18"/>
                    </w:rPr>
                    <w:t xml:space="preserve">Página </w:t>
                  </w:r>
                  <w:r w:rsidR="008361A8" w:rsidRPr="00B96CE4">
                    <w:rPr>
                      <w:rFonts w:ascii="Museo Sans 300" w:hAnsi="Museo Sans 300" w:cs="Arial"/>
                      <w:color w:val="818284"/>
                      <w:sz w:val="18"/>
                      <w:szCs w:val="18"/>
                    </w:rPr>
                    <w:fldChar w:fldCharType="begin"/>
                  </w:r>
                  <w:r w:rsidR="008361A8" w:rsidRPr="00B96CE4">
                    <w:rPr>
                      <w:rFonts w:ascii="Museo Sans 300" w:hAnsi="Museo Sans 300" w:cs="Arial"/>
                      <w:color w:val="818284"/>
                      <w:sz w:val="18"/>
                      <w:szCs w:val="18"/>
                    </w:rPr>
                    <w:instrText>PAGE</w:instrText>
                  </w:r>
                  <w:r w:rsidR="008361A8" w:rsidRPr="00B96CE4">
                    <w:rPr>
                      <w:rFonts w:ascii="Museo Sans 300" w:hAnsi="Museo Sans 300" w:cs="Arial"/>
                      <w:color w:val="818284"/>
                      <w:sz w:val="18"/>
                      <w:szCs w:val="18"/>
                    </w:rPr>
                    <w:fldChar w:fldCharType="separate"/>
                  </w:r>
                  <w:r w:rsidR="00B11A1C" w:rsidRPr="00B96CE4">
                    <w:rPr>
                      <w:rFonts w:ascii="Museo Sans 300" w:hAnsi="Museo Sans 300" w:cs="Arial"/>
                      <w:noProof/>
                      <w:color w:val="818284"/>
                      <w:sz w:val="18"/>
                      <w:szCs w:val="18"/>
                    </w:rPr>
                    <w:t>4</w:t>
                  </w:r>
                  <w:r w:rsidR="008361A8" w:rsidRPr="00B96CE4">
                    <w:rPr>
                      <w:rFonts w:ascii="Museo Sans 300" w:hAnsi="Museo Sans 300" w:cs="Arial"/>
                      <w:color w:val="818284"/>
                      <w:sz w:val="18"/>
                      <w:szCs w:val="18"/>
                    </w:rPr>
                    <w:fldChar w:fldCharType="end"/>
                  </w:r>
                  <w:r w:rsidR="008361A8" w:rsidRPr="00B96CE4">
                    <w:rPr>
                      <w:rFonts w:ascii="Museo Sans 300" w:hAnsi="Museo Sans 300" w:cs="Arial"/>
                      <w:color w:val="818284"/>
                      <w:sz w:val="18"/>
                      <w:szCs w:val="18"/>
                    </w:rPr>
                    <w:t xml:space="preserve"> de </w:t>
                  </w:r>
                  <w:r w:rsidR="008361A8" w:rsidRPr="00B96CE4">
                    <w:rPr>
                      <w:rFonts w:ascii="Museo Sans 300" w:hAnsi="Museo Sans 300" w:cs="Arial"/>
                      <w:color w:val="818284"/>
                      <w:sz w:val="18"/>
                      <w:szCs w:val="18"/>
                    </w:rPr>
                    <w:fldChar w:fldCharType="begin"/>
                  </w:r>
                  <w:r w:rsidR="008361A8" w:rsidRPr="00B96CE4">
                    <w:rPr>
                      <w:rFonts w:ascii="Museo Sans 300" w:hAnsi="Museo Sans 300" w:cs="Arial"/>
                      <w:color w:val="818284"/>
                      <w:sz w:val="18"/>
                      <w:szCs w:val="18"/>
                    </w:rPr>
                    <w:instrText>NUMPAGES</w:instrText>
                  </w:r>
                  <w:r w:rsidR="008361A8" w:rsidRPr="00B96CE4">
                    <w:rPr>
                      <w:rFonts w:ascii="Museo Sans 300" w:hAnsi="Museo Sans 300" w:cs="Arial"/>
                      <w:color w:val="818284"/>
                      <w:sz w:val="18"/>
                      <w:szCs w:val="18"/>
                    </w:rPr>
                    <w:fldChar w:fldCharType="separate"/>
                  </w:r>
                  <w:r w:rsidR="00B11A1C" w:rsidRPr="00B96CE4">
                    <w:rPr>
                      <w:rFonts w:ascii="Museo Sans 300" w:hAnsi="Museo Sans 300" w:cs="Arial"/>
                      <w:noProof/>
                      <w:color w:val="818284"/>
                      <w:sz w:val="18"/>
                      <w:szCs w:val="18"/>
                    </w:rPr>
                    <w:t>4</w:t>
                  </w:r>
                  <w:r w:rsidR="008361A8" w:rsidRPr="00B96CE4">
                    <w:rPr>
                      <w:rFonts w:ascii="Museo Sans 300" w:hAnsi="Museo Sans 300" w:cs="Arial"/>
                      <w:color w:val="818284"/>
                      <w:sz w:val="18"/>
                      <w:szCs w:val="18"/>
                    </w:rPr>
                    <w:fldChar w:fldCharType="end"/>
                  </w:r>
                </w:sdtContent>
              </w:sdt>
            </w:sdtContent>
          </w:sdt>
        </w:p>
      </w:tc>
    </w:tr>
  </w:tbl>
  <w:p w14:paraId="6C991341" w14:textId="77777777" w:rsidR="008361A8" w:rsidRPr="00B96CE4" w:rsidRDefault="008361A8" w:rsidP="00B11A1C">
    <w:pPr>
      <w:pStyle w:val="Piedepgina"/>
      <w:rPr>
        <w:rFonts w:ascii="Museo Sans 300" w:hAnsi="Museo Sans 300"/>
        <w:sz w:val="22"/>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81BB" w14:textId="77777777" w:rsidR="005E0A1F" w:rsidRDefault="005E0A1F" w:rsidP="009C24F4">
      <w:r>
        <w:separator/>
      </w:r>
    </w:p>
    <w:p w14:paraId="447EE17D" w14:textId="77777777" w:rsidR="005E0A1F" w:rsidRDefault="005E0A1F"/>
  </w:footnote>
  <w:footnote w:type="continuationSeparator" w:id="0">
    <w:p w14:paraId="773880A1" w14:textId="77777777" w:rsidR="005E0A1F" w:rsidRDefault="005E0A1F" w:rsidP="009C24F4">
      <w:r>
        <w:continuationSeparator/>
      </w:r>
    </w:p>
    <w:p w14:paraId="4DAB88B7" w14:textId="77777777" w:rsidR="005E0A1F" w:rsidRDefault="005E0A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1328" w14:textId="77777777" w:rsidR="008361A8" w:rsidRDefault="008361A8"/>
  <w:tbl>
    <w:tblPr>
      <w:tblStyle w:val="Tablaconcuadrcula"/>
      <w:tblW w:w="9640" w:type="dxa"/>
      <w:tblInd w:w="-176"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69"/>
      <w:gridCol w:w="5812"/>
      <w:gridCol w:w="1559"/>
    </w:tblGrid>
    <w:tr w:rsidR="00BF4D75" w:rsidRPr="00CF160A" w14:paraId="6C99132E" w14:textId="77777777" w:rsidTr="00CF160A">
      <w:trPr>
        <w:trHeight w:val="366"/>
      </w:trPr>
      <w:tc>
        <w:tcPr>
          <w:tcW w:w="2269" w:type="dxa"/>
          <w:tcBorders>
            <w:top w:val="triple" w:sz="4" w:space="0" w:color="A6A6A6" w:themeColor="background1" w:themeShade="A6"/>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6C991329" w14:textId="77777777" w:rsidR="00BF4D75" w:rsidRPr="00CF160A" w:rsidRDefault="00BF4D75" w:rsidP="00551268">
          <w:pPr>
            <w:pStyle w:val="Piedepgina"/>
            <w:jc w:val="center"/>
            <w:rPr>
              <w:rFonts w:ascii="Museo Sans 300" w:hAnsi="Museo Sans 300" w:cs="Arial"/>
              <w:color w:val="808080" w:themeColor="background1" w:themeShade="80"/>
              <w:sz w:val="18"/>
              <w:szCs w:val="18"/>
            </w:rPr>
          </w:pPr>
          <w:r w:rsidRPr="00CF160A">
            <w:rPr>
              <w:rFonts w:ascii="Museo Sans 300" w:hAnsi="Museo Sans 300" w:cs="Arial"/>
              <w:color w:val="808080" w:themeColor="background1" w:themeShade="80"/>
              <w:sz w:val="18"/>
              <w:szCs w:val="18"/>
            </w:rPr>
            <w:t>CDSSF-50/2004</w:t>
          </w:r>
        </w:p>
        <w:p w14:paraId="6C99132A" w14:textId="77777777" w:rsidR="00BF4D75" w:rsidRPr="00CF160A" w:rsidRDefault="00BF4D75" w:rsidP="00BF4D75">
          <w:pPr>
            <w:pStyle w:val="Piedepgina"/>
            <w:jc w:val="center"/>
            <w:rPr>
              <w:rFonts w:ascii="Museo Sans 300" w:hAnsi="Museo Sans 300" w:cs="Arial"/>
              <w:color w:val="808080" w:themeColor="background1" w:themeShade="80"/>
              <w:sz w:val="18"/>
              <w:szCs w:val="18"/>
              <w:highlight w:val="yellow"/>
            </w:rPr>
          </w:pPr>
          <w:r w:rsidRPr="00CF160A">
            <w:rPr>
              <w:rFonts w:ascii="Museo Sans 300" w:hAnsi="Museo Sans 300" w:cs="Arial"/>
              <w:color w:val="808080" w:themeColor="background1" w:themeShade="80"/>
              <w:sz w:val="18"/>
              <w:szCs w:val="18"/>
            </w:rPr>
            <w:t>CDSSF-14/2005</w:t>
          </w:r>
        </w:p>
      </w:tc>
      <w:tc>
        <w:tcPr>
          <w:tcW w:w="5812" w:type="dxa"/>
          <w:vMerge w:val="restart"/>
          <w:tcBorders>
            <w:left w:val="triple" w:sz="4" w:space="0" w:color="A6A6A6" w:themeColor="background1" w:themeShade="A6"/>
          </w:tcBorders>
          <w:vAlign w:val="center"/>
        </w:tcPr>
        <w:p w14:paraId="6C99132B" w14:textId="77777777" w:rsidR="00BF4D75" w:rsidRPr="00CF160A" w:rsidRDefault="00BF4D75" w:rsidP="00551268">
          <w:pPr>
            <w:pStyle w:val="Piedepgina"/>
            <w:jc w:val="center"/>
            <w:rPr>
              <w:rFonts w:ascii="Museo Sans 300" w:hAnsi="Museo Sans 300" w:cs="Arial"/>
              <w:color w:val="808080" w:themeColor="background1" w:themeShade="80"/>
              <w:sz w:val="18"/>
              <w:szCs w:val="18"/>
              <w:lang w:val="es-MX"/>
            </w:rPr>
          </w:pPr>
          <w:r w:rsidRPr="00CF160A">
            <w:rPr>
              <w:rFonts w:ascii="Museo Sans 300" w:hAnsi="Museo Sans 300" w:cs="Arial"/>
              <w:color w:val="808080" w:themeColor="background1" w:themeShade="80"/>
              <w:sz w:val="18"/>
              <w:szCs w:val="18"/>
              <w:lang w:val="es-MX"/>
            </w:rPr>
            <w:t>NCB-021</w:t>
          </w:r>
        </w:p>
        <w:p w14:paraId="6C99132C" w14:textId="77777777" w:rsidR="00BF4D75" w:rsidRPr="00CF160A" w:rsidRDefault="00BF4D75" w:rsidP="00551268">
          <w:pPr>
            <w:pStyle w:val="Piedepgina"/>
            <w:jc w:val="center"/>
            <w:rPr>
              <w:rFonts w:ascii="Museo Sans 300" w:hAnsi="Museo Sans 300" w:cs="Arial"/>
              <w:color w:val="808080" w:themeColor="background1" w:themeShade="80"/>
              <w:sz w:val="18"/>
              <w:szCs w:val="18"/>
              <w:lang w:val="es-MX"/>
            </w:rPr>
          </w:pPr>
          <w:r w:rsidRPr="00CF160A">
            <w:rPr>
              <w:rFonts w:ascii="Museo Sans 300" w:hAnsi="Museo Sans 300" w:cs="Arial"/>
              <w:color w:val="808080" w:themeColor="background1" w:themeShade="80"/>
              <w:sz w:val="18"/>
              <w:szCs w:val="18"/>
              <w:lang w:val="es-MX"/>
            </w:rPr>
            <w:t>NORMAS PARA LA CONTABILIZACIÓN DE LAS COMISIONES BANCARIAS SOBRE PRÉSTAMOS Y OPERACIONES CONTINGENTES</w:t>
          </w:r>
        </w:p>
      </w:tc>
      <w:tc>
        <w:tcPr>
          <w:tcW w:w="1559" w:type="dxa"/>
          <w:vMerge w:val="restart"/>
          <w:vAlign w:val="center"/>
        </w:tcPr>
        <w:p w14:paraId="6C99132D" w14:textId="77777777" w:rsidR="00BF4D75" w:rsidRPr="00CF160A" w:rsidRDefault="00BF4D75" w:rsidP="00551268">
          <w:pPr>
            <w:pStyle w:val="Encabezado"/>
            <w:jc w:val="center"/>
            <w:rPr>
              <w:rFonts w:ascii="Museo Sans 300" w:hAnsi="Museo Sans 300"/>
              <w:sz w:val="18"/>
              <w:szCs w:val="18"/>
            </w:rPr>
          </w:pPr>
        </w:p>
      </w:tc>
    </w:tr>
    <w:tr w:rsidR="00BF4D75" w:rsidRPr="00CF160A" w14:paraId="6C991333" w14:textId="77777777" w:rsidTr="00CF160A">
      <w:trPr>
        <w:trHeight w:val="366"/>
      </w:trPr>
      <w:tc>
        <w:tcPr>
          <w:tcW w:w="2269" w:type="dxa"/>
          <w:tcBorders>
            <w:top w:val="triple" w:sz="4" w:space="0" w:color="BFBFBF" w:themeColor="background1" w:themeShade="BF"/>
            <w:left w:val="triple" w:sz="4" w:space="0" w:color="A6A6A6" w:themeColor="background1" w:themeShade="A6"/>
            <w:bottom w:val="triple" w:sz="4" w:space="0" w:color="BFBFBF" w:themeColor="background1" w:themeShade="BF"/>
            <w:right w:val="triple" w:sz="4" w:space="0" w:color="A6A6A6" w:themeColor="background1" w:themeShade="A6"/>
          </w:tcBorders>
          <w:vAlign w:val="center"/>
        </w:tcPr>
        <w:p w14:paraId="6C99132F" w14:textId="77777777" w:rsidR="00BF4D75" w:rsidRPr="00CF160A" w:rsidRDefault="00BF4D75" w:rsidP="00551268">
          <w:pPr>
            <w:pStyle w:val="Piedepgina"/>
            <w:jc w:val="center"/>
            <w:rPr>
              <w:rFonts w:ascii="Museo Sans 300" w:hAnsi="Museo Sans 300" w:cs="Arial"/>
              <w:color w:val="818284"/>
              <w:sz w:val="18"/>
              <w:szCs w:val="18"/>
            </w:rPr>
          </w:pPr>
          <w:r w:rsidRPr="00CF160A">
            <w:rPr>
              <w:rFonts w:ascii="Museo Sans 300" w:hAnsi="Museo Sans 300" w:cs="Arial"/>
              <w:color w:val="818284"/>
              <w:sz w:val="18"/>
              <w:szCs w:val="18"/>
              <w:lang w:val="es-MX"/>
            </w:rPr>
            <w:t>Aprobación</w:t>
          </w:r>
          <w:r w:rsidRPr="00CF160A">
            <w:rPr>
              <w:rFonts w:ascii="Museo Sans 300" w:hAnsi="Museo Sans 300" w:cs="Arial"/>
              <w:color w:val="818284"/>
              <w:sz w:val="18"/>
              <w:szCs w:val="18"/>
            </w:rPr>
            <w:t>: 22/12/2004</w:t>
          </w:r>
        </w:p>
        <w:p w14:paraId="6C991330" w14:textId="77777777" w:rsidR="00BF4D75" w:rsidRPr="00CF160A" w:rsidRDefault="00BF4D75" w:rsidP="00BF4D75">
          <w:pPr>
            <w:pStyle w:val="Piedepgina"/>
            <w:jc w:val="center"/>
            <w:rPr>
              <w:rFonts w:ascii="Museo Sans 300" w:hAnsi="Museo Sans 300" w:cs="Arial"/>
              <w:color w:val="818284"/>
              <w:sz w:val="18"/>
              <w:szCs w:val="18"/>
              <w:highlight w:val="yellow"/>
            </w:rPr>
          </w:pPr>
          <w:r w:rsidRPr="00CF160A">
            <w:rPr>
              <w:rFonts w:ascii="Museo Sans 300" w:hAnsi="Museo Sans 300" w:cs="Arial"/>
              <w:color w:val="818284"/>
              <w:sz w:val="18"/>
              <w:szCs w:val="18"/>
            </w:rPr>
            <w:t xml:space="preserve">                    30/03/2005</w:t>
          </w:r>
        </w:p>
      </w:tc>
      <w:tc>
        <w:tcPr>
          <w:tcW w:w="5812" w:type="dxa"/>
          <w:vMerge/>
          <w:tcBorders>
            <w:left w:val="triple" w:sz="4" w:space="0" w:color="A6A6A6" w:themeColor="background1" w:themeShade="A6"/>
          </w:tcBorders>
          <w:vAlign w:val="center"/>
        </w:tcPr>
        <w:p w14:paraId="6C991331" w14:textId="77777777" w:rsidR="00BF4D75" w:rsidRPr="00CF160A" w:rsidRDefault="00BF4D75" w:rsidP="00551268">
          <w:pPr>
            <w:pStyle w:val="Encabezado"/>
            <w:jc w:val="center"/>
            <w:rPr>
              <w:rFonts w:ascii="Museo Sans 300" w:hAnsi="Museo Sans 300"/>
              <w:sz w:val="18"/>
              <w:szCs w:val="18"/>
            </w:rPr>
          </w:pPr>
        </w:p>
      </w:tc>
      <w:tc>
        <w:tcPr>
          <w:tcW w:w="1559" w:type="dxa"/>
          <w:vMerge/>
          <w:vAlign w:val="center"/>
        </w:tcPr>
        <w:p w14:paraId="6C991332" w14:textId="77777777" w:rsidR="00BF4D75" w:rsidRPr="00CF160A" w:rsidRDefault="00BF4D75" w:rsidP="00551268">
          <w:pPr>
            <w:pStyle w:val="Encabezado"/>
            <w:jc w:val="center"/>
            <w:rPr>
              <w:rFonts w:ascii="Museo Sans 300" w:hAnsi="Museo Sans 300"/>
              <w:noProof/>
              <w:sz w:val="18"/>
              <w:szCs w:val="18"/>
              <w:lang w:val="es-ES"/>
            </w:rPr>
          </w:pPr>
        </w:p>
      </w:tc>
    </w:tr>
    <w:tr w:rsidR="00BF4D75" w:rsidRPr="00CF160A" w14:paraId="6C991337" w14:textId="77777777" w:rsidTr="00CF160A">
      <w:trPr>
        <w:trHeight w:val="366"/>
      </w:trPr>
      <w:tc>
        <w:tcPr>
          <w:tcW w:w="2269" w:type="dxa"/>
          <w:tcBorders>
            <w:top w:val="triple" w:sz="4" w:space="0" w:color="BFBFBF" w:themeColor="background1" w:themeShade="BF"/>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6C991334" w14:textId="77777777" w:rsidR="00BF4D75" w:rsidRPr="00CF160A" w:rsidRDefault="00BF4D75" w:rsidP="00BF4D75">
          <w:pPr>
            <w:pStyle w:val="Piedepgina"/>
            <w:jc w:val="center"/>
            <w:rPr>
              <w:rFonts w:ascii="Museo Sans 300" w:hAnsi="Museo Sans 300"/>
              <w:sz w:val="18"/>
              <w:szCs w:val="18"/>
            </w:rPr>
          </w:pPr>
          <w:r w:rsidRPr="00CF160A">
            <w:rPr>
              <w:rFonts w:ascii="Museo Sans 300" w:hAnsi="Museo Sans 300" w:cs="Arial"/>
              <w:color w:val="818284"/>
              <w:sz w:val="18"/>
              <w:szCs w:val="18"/>
            </w:rPr>
            <w:t>Vigencia: 01/10/2005</w:t>
          </w:r>
        </w:p>
      </w:tc>
      <w:tc>
        <w:tcPr>
          <w:tcW w:w="5812" w:type="dxa"/>
          <w:vMerge/>
          <w:tcBorders>
            <w:left w:val="triple" w:sz="4" w:space="0" w:color="A6A6A6" w:themeColor="background1" w:themeShade="A6"/>
          </w:tcBorders>
          <w:vAlign w:val="center"/>
        </w:tcPr>
        <w:p w14:paraId="6C991335" w14:textId="77777777" w:rsidR="00BF4D75" w:rsidRPr="00CF160A" w:rsidRDefault="00BF4D75" w:rsidP="00551268">
          <w:pPr>
            <w:pStyle w:val="Encabezado"/>
            <w:jc w:val="center"/>
            <w:rPr>
              <w:rFonts w:ascii="Museo Sans 300" w:hAnsi="Museo Sans 300"/>
              <w:sz w:val="18"/>
              <w:szCs w:val="18"/>
            </w:rPr>
          </w:pPr>
        </w:p>
      </w:tc>
      <w:tc>
        <w:tcPr>
          <w:tcW w:w="1559" w:type="dxa"/>
          <w:vMerge/>
          <w:vAlign w:val="center"/>
        </w:tcPr>
        <w:p w14:paraId="6C991336" w14:textId="77777777" w:rsidR="00BF4D75" w:rsidRPr="00CF160A" w:rsidRDefault="00BF4D75" w:rsidP="00551268">
          <w:pPr>
            <w:pStyle w:val="Encabezado"/>
            <w:jc w:val="center"/>
            <w:rPr>
              <w:rFonts w:ascii="Museo Sans 300" w:hAnsi="Museo Sans 300"/>
              <w:sz w:val="18"/>
              <w:szCs w:val="18"/>
            </w:rPr>
          </w:pPr>
        </w:p>
      </w:tc>
    </w:tr>
  </w:tbl>
  <w:p w14:paraId="6C991338" w14:textId="77777777" w:rsidR="008361A8" w:rsidRPr="00260C2E" w:rsidRDefault="008361A8">
    <w:pPr>
      <w:pStyle w:val="Encabezado"/>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E0"/>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 w15:restartNumberingAfterBreak="0">
    <w:nsid w:val="16737D01"/>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3F508F"/>
    <w:multiLevelType w:val="hybridMultilevel"/>
    <w:tmpl w:val="6E18EF00"/>
    <w:lvl w:ilvl="0" w:tplc="CCD49922">
      <w:start w:val="1"/>
      <w:numFmt w:val="decimal"/>
      <w:lvlText w:val="Art. %1.-"/>
      <w:lvlJc w:val="left"/>
      <w:pPr>
        <w:ind w:left="720" w:hanging="360"/>
      </w:pPr>
      <w:rPr>
        <w:b/>
        <w:strike w:val="0"/>
        <w:dstrike w:val="0"/>
        <w:color w:val="auto"/>
        <w:sz w:val="24"/>
        <w:szCs w:val="24"/>
        <w:u w:val="none"/>
        <w:effect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336437"/>
    <w:multiLevelType w:val="hybridMultilevel"/>
    <w:tmpl w:val="C4C2D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0F404A"/>
    <w:multiLevelType w:val="hybridMultilevel"/>
    <w:tmpl w:val="41A008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3D44E1"/>
    <w:multiLevelType w:val="hybridMultilevel"/>
    <w:tmpl w:val="420AD52E"/>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0B01946"/>
    <w:multiLevelType w:val="hybridMultilevel"/>
    <w:tmpl w:val="8294E1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134178"/>
    <w:multiLevelType w:val="multilevel"/>
    <w:tmpl w:val="A8E84120"/>
    <w:lvl w:ilvl="0">
      <w:start w:val="1"/>
      <w:numFmt w:val="decimal"/>
      <w:pStyle w:val="Achievemen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4A72252"/>
    <w:multiLevelType w:val="hybridMultilevel"/>
    <w:tmpl w:val="56264390"/>
    <w:lvl w:ilvl="0" w:tplc="FE861A1E">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9" w15:restartNumberingAfterBreak="0">
    <w:nsid w:val="410C280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095839"/>
    <w:multiLevelType w:val="hybridMultilevel"/>
    <w:tmpl w:val="0EE236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DB03A5"/>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FC2BC4"/>
    <w:multiLevelType w:val="hybridMultilevel"/>
    <w:tmpl w:val="4B28CB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194742E"/>
    <w:multiLevelType w:val="hybridMultilevel"/>
    <w:tmpl w:val="74A67ED0"/>
    <w:lvl w:ilvl="0" w:tplc="8CD8E54E">
      <w:start w:val="1"/>
      <w:numFmt w:val="lowerLetter"/>
      <w:lvlText w:val="%1)"/>
      <w:lvlJc w:val="left"/>
      <w:pPr>
        <w:ind w:left="720" w:hanging="360"/>
      </w:pPr>
      <w:rPr>
        <w:rFonts w:hint="default"/>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3040755"/>
    <w:multiLevelType w:val="hybridMultilevel"/>
    <w:tmpl w:val="EC6CA8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6E6987"/>
    <w:multiLevelType w:val="hybridMultilevel"/>
    <w:tmpl w:val="5B0C3D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06638FB"/>
    <w:multiLevelType w:val="hybridMultilevel"/>
    <w:tmpl w:val="6AD86E28"/>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71B16A8B"/>
    <w:multiLevelType w:val="hybridMultilevel"/>
    <w:tmpl w:val="4F7CE10A"/>
    <w:lvl w:ilvl="0" w:tplc="FE861A1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9" w15:restartNumberingAfterBreak="0">
    <w:nsid w:val="7244654B"/>
    <w:multiLevelType w:val="hybridMultilevel"/>
    <w:tmpl w:val="D1263632"/>
    <w:lvl w:ilvl="0" w:tplc="E8D6DA22">
      <w:start w:val="1"/>
      <w:numFmt w:val="lowerLetter"/>
      <w:lvlText w:val="%1)"/>
      <w:lvlJc w:val="left"/>
      <w:pPr>
        <w:ind w:left="1428" w:hanging="360"/>
      </w:pPr>
      <w:rPr>
        <w:b w:val="0"/>
      </w:rPr>
    </w:lvl>
    <w:lvl w:ilvl="1" w:tplc="9DAEA670">
      <w:numFmt w:val="bullet"/>
      <w:lvlText w:val=""/>
      <w:lvlJc w:val="left"/>
      <w:pPr>
        <w:ind w:left="2148" w:hanging="360"/>
      </w:pPr>
      <w:rPr>
        <w:rFonts w:ascii="Symbol" w:eastAsia="Times New Roman" w:hAnsi="Symbol" w:cstheme="minorHAnsi" w:hint="default"/>
      </w:r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0" w15:restartNumberingAfterBreak="0">
    <w:nsid w:val="7451168F"/>
    <w:multiLevelType w:val="hybridMultilevel"/>
    <w:tmpl w:val="D200DD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F64A54"/>
    <w:multiLevelType w:val="hybridMultilevel"/>
    <w:tmpl w:val="9DA42E1E"/>
    <w:lvl w:ilvl="0" w:tplc="76D2E3B0">
      <w:start w:val="1"/>
      <w:numFmt w:val="decimal"/>
      <w:lvlText w:val="Art. %1.-"/>
      <w:lvlJc w:val="left"/>
      <w:pPr>
        <w:ind w:left="720" w:hanging="360"/>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A072ABE"/>
    <w:multiLevelType w:val="hybridMultilevel"/>
    <w:tmpl w:val="123CF4FE"/>
    <w:lvl w:ilvl="0" w:tplc="88ACC2C0">
      <w:start w:val="1"/>
      <w:numFmt w:val="decimal"/>
      <w:lvlText w:val="(%1)"/>
      <w:lvlJc w:val="left"/>
      <w:pPr>
        <w:ind w:left="717" w:hanging="360"/>
      </w:pPr>
      <w:rPr>
        <w:rFonts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23" w15:restartNumberingAfterBreak="0">
    <w:nsid w:val="7AB54789"/>
    <w:multiLevelType w:val="hybridMultilevel"/>
    <w:tmpl w:val="4EA6AA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8677175">
    <w:abstractNumId w:val="15"/>
  </w:num>
  <w:num w:numId="2" w16cid:durableId="1422530190">
    <w:abstractNumId w:val="8"/>
  </w:num>
  <w:num w:numId="3" w16cid:durableId="1976715821">
    <w:abstractNumId w:val="13"/>
  </w:num>
  <w:num w:numId="4" w16cid:durableId="907610317">
    <w:abstractNumId w:val="17"/>
  </w:num>
  <w:num w:numId="5" w16cid:durableId="140510467">
    <w:abstractNumId w:val="18"/>
  </w:num>
  <w:num w:numId="6" w16cid:durableId="1443762938">
    <w:abstractNumId w:val="19"/>
  </w:num>
  <w:num w:numId="7" w16cid:durableId="948584186">
    <w:abstractNumId w:val="16"/>
  </w:num>
  <w:num w:numId="8" w16cid:durableId="1695693965">
    <w:abstractNumId w:val="0"/>
  </w:num>
  <w:num w:numId="9" w16cid:durableId="1226918467">
    <w:abstractNumId w:val="6"/>
  </w:num>
  <w:num w:numId="10" w16cid:durableId="126633349">
    <w:abstractNumId w:val="4"/>
  </w:num>
  <w:num w:numId="11" w16cid:durableId="578292763">
    <w:abstractNumId w:val="5"/>
  </w:num>
  <w:num w:numId="12" w16cid:durableId="1899433004">
    <w:abstractNumId w:val="14"/>
  </w:num>
  <w:num w:numId="13" w16cid:durableId="937760046">
    <w:abstractNumId w:val="12"/>
  </w:num>
  <w:num w:numId="14" w16cid:durableId="444429104">
    <w:abstractNumId w:val="7"/>
  </w:num>
  <w:num w:numId="15" w16cid:durableId="1304892754">
    <w:abstractNumId w:val="3"/>
  </w:num>
  <w:num w:numId="16" w16cid:durableId="1769080704">
    <w:abstractNumId w:val="1"/>
  </w:num>
  <w:num w:numId="17" w16cid:durableId="1710490844">
    <w:abstractNumId w:val="9"/>
  </w:num>
  <w:num w:numId="18" w16cid:durableId="868877042">
    <w:abstractNumId w:val="10"/>
  </w:num>
  <w:num w:numId="19" w16cid:durableId="2057774596">
    <w:abstractNumId w:val="20"/>
  </w:num>
  <w:num w:numId="20" w16cid:durableId="629743880">
    <w:abstractNumId w:val="11"/>
  </w:num>
  <w:num w:numId="21" w16cid:durableId="2132967346">
    <w:abstractNumId w:val="23"/>
  </w:num>
  <w:num w:numId="22" w16cid:durableId="1786150253">
    <w:abstractNumId w:val="2"/>
  </w:num>
  <w:num w:numId="23" w16cid:durableId="192428588">
    <w:abstractNumId w:val="21"/>
  </w:num>
  <w:num w:numId="24" w16cid:durableId="1589576120">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hideGrammaticalErrors/>
  <w:revisionView w:inkAnnotations="0"/>
  <w:defaultTabStop w:val="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F4"/>
    <w:rsid w:val="00006D61"/>
    <w:rsid w:val="0001518A"/>
    <w:rsid w:val="00045498"/>
    <w:rsid w:val="00064184"/>
    <w:rsid w:val="000B73A8"/>
    <w:rsid w:val="000E2804"/>
    <w:rsid w:val="000F70A1"/>
    <w:rsid w:val="00117510"/>
    <w:rsid w:val="001313E8"/>
    <w:rsid w:val="0015516B"/>
    <w:rsid w:val="0016721E"/>
    <w:rsid w:val="001F3A0F"/>
    <w:rsid w:val="002118A8"/>
    <w:rsid w:val="00260C2E"/>
    <w:rsid w:val="00271425"/>
    <w:rsid w:val="002B3A67"/>
    <w:rsid w:val="002C4F62"/>
    <w:rsid w:val="002D34B5"/>
    <w:rsid w:val="002D42E5"/>
    <w:rsid w:val="00300EA0"/>
    <w:rsid w:val="00301EE8"/>
    <w:rsid w:val="00304DCE"/>
    <w:rsid w:val="00335000"/>
    <w:rsid w:val="003360CB"/>
    <w:rsid w:val="00340BB6"/>
    <w:rsid w:val="0036048D"/>
    <w:rsid w:val="00363B92"/>
    <w:rsid w:val="00372AE5"/>
    <w:rsid w:val="003A3112"/>
    <w:rsid w:val="003C7795"/>
    <w:rsid w:val="00400282"/>
    <w:rsid w:val="0041039B"/>
    <w:rsid w:val="00442488"/>
    <w:rsid w:val="00492D79"/>
    <w:rsid w:val="004C5488"/>
    <w:rsid w:val="004D064C"/>
    <w:rsid w:val="004F46CC"/>
    <w:rsid w:val="004F5338"/>
    <w:rsid w:val="00500680"/>
    <w:rsid w:val="0050462B"/>
    <w:rsid w:val="00505D5F"/>
    <w:rsid w:val="005169F3"/>
    <w:rsid w:val="0051706B"/>
    <w:rsid w:val="005219CF"/>
    <w:rsid w:val="00530E93"/>
    <w:rsid w:val="00535344"/>
    <w:rsid w:val="00535FF7"/>
    <w:rsid w:val="005917DA"/>
    <w:rsid w:val="005A17DC"/>
    <w:rsid w:val="005B3E08"/>
    <w:rsid w:val="005E0A1F"/>
    <w:rsid w:val="005E102B"/>
    <w:rsid w:val="005E5D4B"/>
    <w:rsid w:val="00612866"/>
    <w:rsid w:val="00614F28"/>
    <w:rsid w:val="00624A10"/>
    <w:rsid w:val="006374C4"/>
    <w:rsid w:val="006505C9"/>
    <w:rsid w:val="00661236"/>
    <w:rsid w:val="00692E21"/>
    <w:rsid w:val="006B1D36"/>
    <w:rsid w:val="006B61FA"/>
    <w:rsid w:val="006C3206"/>
    <w:rsid w:val="006C4DB2"/>
    <w:rsid w:val="006D2252"/>
    <w:rsid w:val="006D32E4"/>
    <w:rsid w:val="006D68A0"/>
    <w:rsid w:val="006E36B8"/>
    <w:rsid w:val="006F098D"/>
    <w:rsid w:val="006F3F2B"/>
    <w:rsid w:val="00730A0A"/>
    <w:rsid w:val="00752A17"/>
    <w:rsid w:val="00757132"/>
    <w:rsid w:val="00761EBD"/>
    <w:rsid w:val="00775E1C"/>
    <w:rsid w:val="00780749"/>
    <w:rsid w:val="007852BA"/>
    <w:rsid w:val="00792D19"/>
    <w:rsid w:val="007A68A3"/>
    <w:rsid w:val="007B2F42"/>
    <w:rsid w:val="007D55E3"/>
    <w:rsid w:val="007E2C9E"/>
    <w:rsid w:val="00820781"/>
    <w:rsid w:val="00820FCE"/>
    <w:rsid w:val="00821C51"/>
    <w:rsid w:val="008263D9"/>
    <w:rsid w:val="008278B2"/>
    <w:rsid w:val="00827FB3"/>
    <w:rsid w:val="008361A8"/>
    <w:rsid w:val="00851B52"/>
    <w:rsid w:val="00852D29"/>
    <w:rsid w:val="00856DD6"/>
    <w:rsid w:val="0086324E"/>
    <w:rsid w:val="008703CA"/>
    <w:rsid w:val="008716F9"/>
    <w:rsid w:val="00875378"/>
    <w:rsid w:val="008820F1"/>
    <w:rsid w:val="00884EE9"/>
    <w:rsid w:val="008B5F19"/>
    <w:rsid w:val="008D0FCB"/>
    <w:rsid w:val="008E1704"/>
    <w:rsid w:val="008F3C51"/>
    <w:rsid w:val="00941C7C"/>
    <w:rsid w:val="00961DFF"/>
    <w:rsid w:val="00974EFD"/>
    <w:rsid w:val="00993790"/>
    <w:rsid w:val="009B5419"/>
    <w:rsid w:val="009C031D"/>
    <w:rsid w:val="009C24F4"/>
    <w:rsid w:val="009D1FE6"/>
    <w:rsid w:val="009E1151"/>
    <w:rsid w:val="00A129AF"/>
    <w:rsid w:val="00A35670"/>
    <w:rsid w:val="00A37694"/>
    <w:rsid w:val="00A570B9"/>
    <w:rsid w:val="00A9796D"/>
    <w:rsid w:val="00AB0720"/>
    <w:rsid w:val="00AC4A44"/>
    <w:rsid w:val="00AC5419"/>
    <w:rsid w:val="00AC604B"/>
    <w:rsid w:val="00AE6E9C"/>
    <w:rsid w:val="00AF53E6"/>
    <w:rsid w:val="00B06EC4"/>
    <w:rsid w:val="00B11A1C"/>
    <w:rsid w:val="00B4275B"/>
    <w:rsid w:val="00B7019F"/>
    <w:rsid w:val="00B745D2"/>
    <w:rsid w:val="00B87F07"/>
    <w:rsid w:val="00B93156"/>
    <w:rsid w:val="00B96CE4"/>
    <w:rsid w:val="00BE6C31"/>
    <w:rsid w:val="00BF4D75"/>
    <w:rsid w:val="00C00742"/>
    <w:rsid w:val="00C20713"/>
    <w:rsid w:val="00C27B33"/>
    <w:rsid w:val="00C31CFE"/>
    <w:rsid w:val="00C4701C"/>
    <w:rsid w:val="00C53658"/>
    <w:rsid w:val="00C61EFC"/>
    <w:rsid w:val="00C75427"/>
    <w:rsid w:val="00CB2C35"/>
    <w:rsid w:val="00CD005E"/>
    <w:rsid w:val="00CE43AE"/>
    <w:rsid w:val="00CF160A"/>
    <w:rsid w:val="00D109A1"/>
    <w:rsid w:val="00D15387"/>
    <w:rsid w:val="00D23C16"/>
    <w:rsid w:val="00D32BC6"/>
    <w:rsid w:val="00D36754"/>
    <w:rsid w:val="00D40C22"/>
    <w:rsid w:val="00D42542"/>
    <w:rsid w:val="00D4381E"/>
    <w:rsid w:val="00D63B5A"/>
    <w:rsid w:val="00D80A54"/>
    <w:rsid w:val="00D86F1F"/>
    <w:rsid w:val="00D9709D"/>
    <w:rsid w:val="00E020E6"/>
    <w:rsid w:val="00E1361D"/>
    <w:rsid w:val="00E444F9"/>
    <w:rsid w:val="00E44E3F"/>
    <w:rsid w:val="00E51BAB"/>
    <w:rsid w:val="00E715BF"/>
    <w:rsid w:val="00E71A10"/>
    <w:rsid w:val="00EB5F24"/>
    <w:rsid w:val="00EB7015"/>
    <w:rsid w:val="00EC2AC6"/>
    <w:rsid w:val="00ED2785"/>
    <w:rsid w:val="00ED313D"/>
    <w:rsid w:val="00ED712A"/>
    <w:rsid w:val="00EE135E"/>
    <w:rsid w:val="00EE5756"/>
    <w:rsid w:val="00F279AC"/>
    <w:rsid w:val="00F30829"/>
    <w:rsid w:val="00F42398"/>
    <w:rsid w:val="00F46820"/>
    <w:rsid w:val="00F832BB"/>
    <w:rsid w:val="00F83B92"/>
    <w:rsid w:val="00F961F1"/>
    <w:rsid w:val="00F97EBB"/>
    <w:rsid w:val="00FB052D"/>
    <w:rsid w:val="00FB2505"/>
    <w:rsid w:val="00FC1835"/>
    <w:rsid w:val="00FC7155"/>
    <w:rsid w:val="00FD4D1B"/>
    <w:rsid w:val="00FD5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9912DE"/>
  <w15:docId w15:val="{E960CA2D-BF41-49B1-9DB6-A7BFE151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2E"/>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AE6E9C"/>
    <w:pPr>
      <w:keepNext/>
      <w:jc w:val="both"/>
      <w:outlineLvl w:val="0"/>
    </w:pPr>
    <w:rPr>
      <w:rFonts w:ascii="Times New Roman" w:hAnsi="Times New Roman"/>
      <w:b/>
      <w:lang w:val="es-GT"/>
    </w:rPr>
  </w:style>
  <w:style w:type="paragraph" w:styleId="Ttulo2">
    <w:name w:val="heading 2"/>
    <w:basedOn w:val="Normal"/>
    <w:next w:val="Normal"/>
    <w:link w:val="Ttulo2Car"/>
    <w:qFormat/>
    <w:rsid w:val="008703CA"/>
    <w:pPr>
      <w:keepNext/>
      <w:widowControl w:val="0"/>
      <w:spacing w:line="480" w:lineRule="auto"/>
      <w:jc w:val="both"/>
      <w:outlineLvl w:val="1"/>
    </w:pPr>
    <w:rPr>
      <w:rFonts w:ascii="Verdana" w:hAnsi="Verdana"/>
      <w:b/>
      <w:snapToGrid w:val="0"/>
    </w:rPr>
  </w:style>
  <w:style w:type="paragraph" w:styleId="Ttulo3">
    <w:name w:val="heading 3"/>
    <w:basedOn w:val="Normal"/>
    <w:next w:val="Normal"/>
    <w:link w:val="Ttulo3Car"/>
    <w:qFormat/>
    <w:rsid w:val="00AE6E9C"/>
    <w:pPr>
      <w:keepNext/>
      <w:ind w:firstLine="708"/>
      <w:jc w:val="both"/>
      <w:outlineLvl w:val="2"/>
    </w:pPr>
    <w:rPr>
      <w:b/>
      <w:lang w:val="es-GT"/>
    </w:rPr>
  </w:style>
  <w:style w:type="paragraph" w:styleId="Ttulo4">
    <w:name w:val="heading 4"/>
    <w:basedOn w:val="Normal"/>
    <w:next w:val="Normal"/>
    <w:link w:val="Ttulo4Car"/>
    <w:uiPriority w:val="9"/>
    <w:semiHidden/>
    <w:unhideWhenUsed/>
    <w:qFormat/>
    <w:rsid w:val="00260C2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0C2E"/>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D68A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6D68A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aliases w:val="List Paragraph 1"/>
    <w:basedOn w:val="Normal"/>
    <w:link w:val="PrrafodelistaCar"/>
    <w:uiPriority w:val="34"/>
    <w:qFormat/>
    <w:rsid w:val="00AE6E9C"/>
    <w:pPr>
      <w:ind w:left="708"/>
    </w:pPr>
  </w:style>
  <w:style w:type="character" w:customStyle="1" w:styleId="PrrafodelistaCar">
    <w:name w:val="Párrafo de lista Car"/>
    <w:aliases w:val="List Paragraph 1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uiPriority w:val="99"/>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unhideWhenUsed/>
    <w:rsid w:val="009C24F4"/>
    <w:rPr>
      <w:rFonts w:ascii="Tahoma" w:hAnsi="Tahoma" w:cs="Tahoma"/>
      <w:sz w:val="16"/>
      <w:szCs w:val="16"/>
    </w:rPr>
  </w:style>
  <w:style w:type="character" w:customStyle="1" w:styleId="TextodegloboCar">
    <w:name w:val="Texto de globo Car"/>
    <w:basedOn w:val="Fuentedeprrafopredeter"/>
    <w:link w:val="Textodeglobo"/>
    <w:uiPriority w:val="99"/>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jc w:val="center"/>
    </w:pPr>
    <w:rPr>
      <w:rFonts w:ascii="Arial Narrow" w:eastAsiaTheme="majorEastAsia" w:hAnsi="Arial Narrow"/>
      <w:bCs w:val="0"/>
      <w:noProof/>
      <w:snapToGrid w:val="0"/>
      <w:color w:val="auto"/>
      <w:sz w:val="24"/>
      <w:szCs w:val="20"/>
      <w:lang w:val="es-ES"/>
    </w:rPr>
  </w:style>
  <w:style w:type="paragraph" w:customStyle="1" w:styleId="1luegodel">
    <w:name w:val="1. luego del :"/>
    <w:basedOn w:val="Normal"/>
    <w:link w:val="1luegodelCar"/>
    <w:qFormat/>
    <w:rsid w:val="000B73A8"/>
    <w:pPr>
      <w:spacing w:after="120"/>
      <w:jc w:val="both"/>
    </w:pPr>
    <w:rPr>
      <w:rFonts w:ascii="Arial Narrow" w:eastAsiaTheme="majorEastAsia" w:hAnsi="Arial Narrow" w:cstheme="majorBidi"/>
      <w:iCs/>
      <w:noProof/>
      <w:color w:val="000000" w:themeColor="text1"/>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ind w:left="425" w:hanging="425"/>
      <w:jc w:val="both"/>
    </w:pPr>
    <w:rPr>
      <w:rFonts w:ascii="Arial Narrow" w:eastAsiaTheme="majorEastAsia" w:hAnsi="Arial Narrow" w:cstheme="majorBidi"/>
      <w:iCs/>
      <w:noProof/>
      <w:color w:val="000000" w:themeColor="text1"/>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rPr>
      <w:b/>
      <w:bCs/>
      <w:color w:val="4F81BD" w:themeColor="accent1"/>
      <w:sz w:val="18"/>
      <w:szCs w:val="18"/>
    </w:rPr>
  </w:style>
  <w:style w:type="paragraph" w:styleId="Textoindependiente">
    <w:name w:val="Body Text"/>
    <w:basedOn w:val="Normal"/>
    <w:link w:val="TextoindependienteCar"/>
    <w:uiPriority w:val="1"/>
    <w:qFormat/>
    <w:rsid w:val="009E1151"/>
    <w:pPr>
      <w:jc w:val="both"/>
    </w:pPr>
    <w:rPr>
      <w:rFonts w:ascii="Times New Roman" w:hAnsi="Times New Roman"/>
      <w:lang w:val="es-GT"/>
    </w:rPr>
  </w:style>
  <w:style w:type="character" w:customStyle="1" w:styleId="TextoindependienteCar">
    <w:name w:val="Texto independiente Car"/>
    <w:basedOn w:val="Fuentedeprrafopredeter"/>
    <w:link w:val="Textoindependiente"/>
    <w:uiPriority w:val="1"/>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semiHidden/>
    <w:unhideWhenUsed/>
    <w:rsid w:val="008703C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703CA"/>
    <w:rPr>
      <w:sz w:val="16"/>
      <w:szCs w:val="16"/>
      <w:lang w:val="es-SV"/>
    </w:rPr>
  </w:style>
  <w:style w:type="paragraph" w:styleId="Sangra2detindependiente">
    <w:name w:val="Body Text Indent 2"/>
    <w:basedOn w:val="Normal"/>
    <w:link w:val="Sangra2detindependienteCar"/>
    <w:uiPriority w:val="99"/>
    <w:semiHidden/>
    <w:unhideWhenUsed/>
    <w:rsid w:val="008703C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703CA"/>
    <w:rPr>
      <w:lang w:val="es-SV"/>
    </w:rPr>
  </w:style>
  <w:style w:type="paragraph" w:styleId="Textoindependiente2">
    <w:name w:val="Body Text 2"/>
    <w:basedOn w:val="Normal"/>
    <w:link w:val="Textoindependiente2Car"/>
    <w:uiPriority w:val="99"/>
    <w:unhideWhenUsed/>
    <w:rsid w:val="008703CA"/>
    <w:pPr>
      <w:spacing w:after="120" w:line="480" w:lineRule="auto"/>
    </w:pPr>
  </w:style>
  <w:style w:type="character" w:customStyle="1" w:styleId="Textoindependiente2Car">
    <w:name w:val="Texto independiente 2 Car"/>
    <w:basedOn w:val="Fuentedeprrafopredeter"/>
    <w:link w:val="Textoindependiente2"/>
    <w:uiPriority w:val="99"/>
    <w:rsid w:val="008703CA"/>
    <w:rPr>
      <w:lang w:val="es-SV"/>
    </w:rPr>
  </w:style>
  <w:style w:type="paragraph" w:styleId="Sangradetextonormal">
    <w:name w:val="Body Text Indent"/>
    <w:basedOn w:val="Normal"/>
    <w:link w:val="SangradetextonormalCar"/>
    <w:uiPriority w:val="99"/>
    <w:semiHidden/>
    <w:unhideWhenUsed/>
    <w:rsid w:val="008703CA"/>
    <w:pPr>
      <w:spacing w:after="120"/>
      <w:ind w:left="283"/>
    </w:pPr>
  </w:style>
  <w:style w:type="character" w:customStyle="1" w:styleId="SangradetextonormalCar">
    <w:name w:val="Sangría de texto normal Car"/>
    <w:basedOn w:val="Fuentedeprrafopredeter"/>
    <w:link w:val="Sangradetextonormal"/>
    <w:uiPriority w:val="99"/>
    <w:semiHidden/>
    <w:rsid w:val="008703CA"/>
    <w:rPr>
      <w:lang w:val="es-SV"/>
    </w:rPr>
  </w:style>
  <w:style w:type="character" w:customStyle="1" w:styleId="Ttulo2Car">
    <w:name w:val="Título 2 Car"/>
    <w:basedOn w:val="Fuentedeprrafopredeter"/>
    <w:link w:val="Ttulo2"/>
    <w:rsid w:val="008703CA"/>
    <w:rPr>
      <w:rFonts w:ascii="Verdana" w:eastAsia="Times New Roman" w:hAnsi="Verdana" w:cs="Times New Roman"/>
      <w:b/>
      <w:snapToGrid w:val="0"/>
      <w:sz w:val="24"/>
      <w:szCs w:val="20"/>
      <w:lang w:val="es-ES_tradnl" w:eastAsia="es-ES"/>
    </w:rPr>
  </w:style>
  <w:style w:type="character" w:customStyle="1" w:styleId="Ttulo4Car">
    <w:name w:val="Título 4 Car"/>
    <w:basedOn w:val="Fuentedeprrafopredeter"/>
    <w:link w:val="Ttulo4"/>
    <w:uiPriority w:val="9"/>
    <w:semiHidden/>
    <w:rsid w:val="00260C2E"/>
    <w:rPr>
      <w:rFonts w:asciiTheme="majorHAnsi" w:eastAsiaTheme="majorEastAsia" w:hAnsiTheme="majorHAnsi" w:cstheme="majorBidi"/>
      <w:b/>
      <w:bCs/>
      <w:i/>
      <w:iCs/>
      <w:color w:val="4F81BD" w:themeColor="accent1"/>
      <w:lang w:val="es-SV"/>
    </w:rPr>
  </w:style>
  <w:style w:type="character" w:customStyle="1" w:styleId="Ttulo5Car">
    <w:name w:val="Título 5 Car"/>
    <w:basedOn w:val="Fuentedeprrafopredeter"/>
    <w:link w:val="Ttulo5"/>
    <w:uiPriority w:val="9"/>
    <w:semiHidden/>
    <w:rsid w:val="00260C2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uiPriority w:val="9"/>
    <w:semiHidden/>
    <w:rsid w:val="006D68A0"/>
    <w:rPr>
      <w:rFonts w:asciiTheme="majorHAnsi" w:eastAsiaTheme="majorEastAsia" w:hAnsiTheme="majorHAnsi" w:cstheme="majorBidi"/>
      <w:i/>
      <w:iCs/>
      <w:color w:val="243F60" w:themeColor="accent1" w:themeShade="7F"/>
      <w:sz w:val="24"/>
      <w:szCs w:val="20"/>
      <w:lang w:val="es-ES_tradnl" w:eastAsia="es-ES"/>
    </w:rPr>
  </w:style>
  <w:style w:type="character" w:customStyle="1" w:styleId="Ttulo7Car">
    <w:name w:val="Título 7 Car"/>
    <w:basedOn w:val="Fuentedeprrafopredeter"/>
    <w:link w:val="Ttulo7"/>
    <w:uiPriority w:val="9"/>
    <w:rsid w:val="006D68A0"/>
    <w:rPr>
      <w:rFonts w:asciiTheme="majorHAnsi" w:eastAsiaTheme="majorEastAsia" w:hAnsiTheme="majorHAnsi" w:cstheme="majorBidi"/>
      <w:i/>
      <w:iCs/>
      <w:color w:val="404040" w:themeColor="text1" w:themeTint="BF"/>
      <w:sz w:val="24"/>
      <w:szCs w:val="20"/>
      <w:lang w:val="es-ES_tradnl" w:eastAsia="es-ES"/>
    </w:rPr>
  </w:style>
  <w:style w:type="paragraph" w:styleId="Textonotapie">
    <w:name w:val="footnote text"/>
    <w:basedOn w:val="Normal"/>
    <w:link w:val="TextonotapieCar"/>
    <w:uiPriority w:val="99"/>
    <w:semiHidden/>
    <w:rsid w:val="006D68A0"/>
    <w:rPr>
      <w:rFonts w:ascii="Times New Roman" w:hAnsi="Times New Roman"/>
      <w:sz w:val="20"/>
      <w:lang w:val="es-ES"/>
    </w:rPr>
  </w:style>
  <w:style w:type="character" w:customStyle="1" w:styleId="TextonotapieCar">
    <w:name w:val="Texto nota pie Car"/>
    <w:basedOn w:val="Fuentedeprrafopredeter"/>
    <w:link w:val="Textonotapie"/>
    <w:uiPriority w:val="99"/>
    <w:semiHidden/>
    <w:rsid w:val="006D68A0"/>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D40C22"/>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D40C22"/>
    <w:rPr>
      <w:rFonts w:ascii="Times New Roman" w:eastAsia="Times New Roman" w:hAnsi="Times New Roman" w:cs="Times New Roman"/>
      <w:sz w:val="16"/>
      <w:szCs w:val="16"/>
      <w:lang w:val="es-ES" w:eastAsia="es-ES"/>
    </w:rPr>
  </w:style>
  <w:style w:type="character" w:styleId="Hipervnculo">
    <w:name w:val="Hyperlink"/>
    <w:basedOn w:val="Fuentedeprrafopredeter"/>
    <w:rsid w:val="00AC604B"/>
    <w:rPr>
      <w:color w:val="0000FF"/>
      <w:u w:val="single"/>
    </w:rPr>
  </w:style>
  <w:style w:type="paragraph" w:styleId="NormalWeb">
    <w:name w:val="Normal (Web)"/>
    <w:basedOn w:val="Normal"/>
    <w:uiPriority w:val="99"/>
    <w:rsid w:val="00AB0720"/>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ensbustermenu">
    <w:name w:val="ensbustermenu"/>
    <w:basedOn w:val="Normal"/>
    <w:uiPriority w:val="99"/>
    <w:rsid w:val="00C61EFC"/>
    <w:pPr>
      <w:spacing w:before="100" w:beforeAutospacing="1" w:after="100" w:afterAutospacing="1"/>
    </w:pPr>
    <w:rPr>
      <w:rFonts w:eastAsia="Arial Unicode MS" w:cs="Arial"/>
      <w:color w:val="333333"/>
      <w:sz w:val="16"/>
      <w:szCs w:val="16"/>
      <w:lang w:val="es-ES"/>
    </w:rPr>
  </w:style>
  <w:style w:type="paragraph" w:customStyle="1" w:styleId="Estilo2SSF">
    <w:name w:val="Estilo2SSF"/>
    <w:basedOn w:val="Normal"/>
    <w:uiPriority w:val="99"/>
    <w:rsid w:val="00C61EFC"/>
    <w:pPr>
      <w:jc w:val="both"/>
    </w:pPr>
    <w:rPr>
      <w:rFonts w:ascii="Trebuchet MS" w:hAnsi="Trebuchet MS" w:cs="Trebuchet MS"/>
      <w:b/>
      <w:bCs/>
      <w:sz w:val="20"/>
      <w:lang w:val="es-ES"/>
    </w:rPr>
  </w:style>
  <w:style w:type="paragraph" w:customStyle="1" w:styleId="Estilo1MSSF">
    <w:name w:val="Estilo1MSSF"/>
    <w:basedOn w:val="Ttulo1"/>
    <w:uiPriority w:val="99"/>
    <w:rsid w:val="00C61EFC"/>
    <w:pPr>
      <w:keepNext w:val="0"/>
      <w:autoSpaceDE w:val="0"/>
      <w:autoSpaceDN w:val="0"/>
      <w:adjustRightInd w:val="0"/>
      <w:jc w:val="center"/>
    </w:pPr>
    <w:rPr>
      <w:rFonts w:ascii="Trebuchet MS" w:hAnsi="Trebuchet MS" w:cs="Trebuchet MS"/>
      <w:bCs/>
      <w:sz w:val="20"/>
      <w:lang w:val="es-ES"/>
    </w:rPr>
  </w:style>
  <w:style w:type="paragraph" w:customStyle="1" w:styleId="Default1">
    <w:name w:val="Default1"/>
    <w:basedOn w:val="Normal"/>
    <w:next w:val="Normal"/>
    <w:uiPriority w:val="99"/>
    <w:rsid w:val="00993790"/>
    <w:pPr>
      <w:autoSpaceDE w:val="0"/>
      <w:autoSpaceDN w:val="0"/>
      <w:adjustRightInd w:val="0"/>
    </w:pPr>
    <w:rPr>
      <w:rFonts w:cs="Arial"/>
      <w:szCs w:val="24"/>
      <w:lang w:val="es-SV" w:eastAsia="es-SV"/>
    </w:rPr>
  </w:style>
  <w:style w:type="paragraph" w:customStyle="1" w:styleId="Textoindependiente22">
    <w:name w:val="Texto independiente 22"/>
    <w:basedOn w:val="Normal"/>
    <w:rsid w:val="00C31CFE"/>
    <w:rPr>
      <w:rFonts w:ascii="Arial Narrow" w:hAnsi="Arial Narrow"/>
      <w:sz w:val="22"/>
    </w:rPr>
  </w:style>
  <w:style w:type="paragraph" w:customStyle="1" w:styleId="Textoindependiente21">
    <w:name w:val="Texto independiente 21"/>
    <w:basedOn w:val="Normal"/>
    <w:rsid w:val="00C31CFE"/>
    <w:rPr>
      <w:rFonts w:ascii="Arial Narrow" w:hAnsi="Arial Narrow"/>
      <w:sz w:val="22"/>
    </w:rPr>
  </w:style>
  <w:style w:type="numbering" w:customStyle="1" w:styleId="Sinlista1">
    <w:name w:val="Sin lista1"/>
    <w:next w:val="Sinlista"/>
    <w:uiPriority w:val="99"/>
    <w:semiHidden/>
    <w:unhideWhenUsed/>
    <w:rsid w:val="008361A8"/>
  </w:style>
  <w:style w:type="table" w:customStyle="1" w:styleId="TableNormal">
    <w:name w:val="Table Normal"/>
    <w:uiPriority w:val="2"/>
    <w:semiHidden/>
    <w:unhideWhenUsed/>
    <w:qFormat/>
    <w:rsid w:val="008361A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361A8"/>
    <w:pPr>
      <w:widowControl w:val="0"/>
      <w:ind w:left="400"/>
      <w:outlineLvl w:val="1"/>
    </w:pPr>
    <w:rPr>
      <w:rFonts w:ascii="Arial Narrow" w:eastAsia="Arial Narrow" w:hAnsi="Arial Narrow" w:cstheme="minorBidi"/>
      <w:b/>
      <w:bCs/>
      <w:sz w:val="22"/>
      <w:szCs w:val="22"/>
      <w:lang w:val="en-US" w:eastAsia="en-US"/>
    </w:rPr>
  </w:style>
  <w:style w:type="paragraph" w:customStyle="1" w:styleId="TableParagraph">
    <w:name w:val="Table Paragraph"/>
    <w:basedOn w:val="Normal"/>
    <w:uiPriority w:val="1"/>
    <w:qFormat/>
    <w:rsid w:val="008361A8"/>
    <w:pPr>
      <w:widowControl w:val="0"/>
    </w:pPr>
    <w:rPr>
      <w:rFonts w:asciiTheme="minorHAnsi" w:eastAsiaTheme="minorHAnsi" w:hAnsiTheme="minorHAnsi" w:cstheme="minorBidi"/>
      <w:sz w:val="22"/>
      <w:szCs w:val="22"/>
      <w:lang w:val="en-US" w:eastAsia="en-US"/>
    </w:rPr>
  </w:style>
  <w:style w:type="table" w:customStyle="1" w:styleId="Tablaconcuadrcula2">
    <w:name w:val="Tabla con cuadrícula2"/>
    <w:basedOn w:val="Tablanormal"/>
    <w:next w:val="Tablaconcuadrcula"/>
    <w:uiPriority w:val="59"/>
    <w:rsid w:val="008361A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361A8"/>
    <w:rPr>
      <w:sz w:val="16"/>
      <w:szCs w:val="16"/>
    </w:rPr>
  </w:style>
  <w:style w:type="paragraph" w:styleId="Textocomentario">
    <w:name w:val="annotation text"/>
    <w:basedOn w:val="Normal"/>
    <w:link w:val="TextocomentarioCar"/>
    <w:uiPriority w:val="99"/>
    <w:unhideWhenUsed/>
    <w:rsid w:val="008361A8"/>
    <w:pPr>
      <w:widowControl w:val="0"/>
    </w:pPr>
    <w:rPr>
      <w:rFonts w:asciiTheme="minorHAnsi" w:eastAsiaTheme="minorHAnsi" w:hAnsiTheme="minorHAnsi" w:cstheme="minorBidi"/>
      <w:sz w:val="20"/>
      <w:lang w:val="en-US" w:eastAsia="en-US"/>
    </w:rPr>
  </w:style>
  <w:style w:type="character" w:customStyle="1" w:styleId="TextocomentarioCar">
    <w:name w:val="Texto comentario Car"/>
    <w:basedOn w:val="Fuentedeprrafopredeter"/>
    <w:link w:val="Textocomentario"/>
    <w:uiPriority w:val="99"/>
    <w:rsid w:val="008361A8"/>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361A8"/>
    <w:rPr>
      <w:b/>
      <w:bCs/>
    </w:rPr>
  </w:style>
  <w:style w:type="character" w:customStyle="1" w:styleId="AsuntodelcomentarioCar">
    <w:name w:val="Asunto del comentario Car"/>
    <w:basedOn w:val="TextocomentarioCar"/>
    <w:link w:val="Asuntodelcomentario"/>
    <w:uiPriority w:val="99"/>
    <w:semiHidden/>
    <w:rsid w:val="008361A8"/>
    <w:rPr>
      <w:b/>
      <w:bCs/>
      <w:sz w:val="20"/>
      <w:szCs w:val="20"/>
      <w:lang w:val="en-US"/>
    </w:rPr>
  </w:style>
  <w:style w:type="paragraph" w:styleId="Revisin">
    <w:name w:val="Revision"/>
    <w:hidden/>
    <w:uiPriority w:val="99"/>
    <w:semiHidden/>
    <w:rsid w:val="008361A8"/>
    <w:pPr>
      <w:spacing w:after="0" w:line="240" w:lineRule="auto"/>
    </w:pPr>
    <w:rPr>
      <w:lang w:val="en-US"/>
    </w:rPr>
  </w:style>
  <w:style w:type="paragraph" w:styleId="Textosinformato">
    <w:name w:val="Plain Text"/>
    <w:basedOn w:val="Normal"/>
    <w:link w:val="TextosinformatoCar"/>
    <w:uiPriority w:val="99"/>
    <w:unhideWhenUsed/>
    <w:rsid w:val="008361A8"/>
    <w:rPr>
      <w:rFonts w:ascii="Consolas" w:eastAsiaTheme="minorHAnsi" w:hAnsi="Consolas" w:cs="Consolas"/>
      <w:sz w:val="21"/>
      <w:szCs w:val="21"/>
      <w:lang w:val="es-SV" w:eastAsia="en-US"/>
    </w:rPr>
  </w:style>
  <w:style w:type="character" w:customStyle="1" w:styleId="TextosinformatoCar">
    <w:name w:val="Texto sin formato Car"/>
    <w:basedOn w:val="Fuentedeprrafopredeter"/>
    <w:link w:val="Textosinformato"/>
    <w:uiPriority w:val="99"/>
    <w:rsid w:val="008361A8"/>
    <w:rPr>
      <w:rFonts w:ascii="Consolas" w:hAnsi="Consolas" w:cs="Consolas"/>
      <w:sz w:val="21"/>
      <w:szCs w:val="21"/>
      <w:lang w:val="es-SV"/>
    </w:rPr>
  </w:style>
  <w:style w:type="paragraph" w:customStyle="1" w:styleId="CM41">
    <w:name w:val="CM41"/>
    <w:basedOn w:val="Default"/>
    <w:next w:val="Default"/>
    <w:uiPriority w:val="99"/>
    <w:rsid w:val="008361A8"/>
    <w:rPr>
      <w:color w:val="auto"/>
      <w:lang w:val="es-ES"/>
    </w:rPr>
  </w:style>
  <w:style w:type="paragraph" w:customStyle="1" w:styleId="CM8">
    <w:name w:val="CM8"/>
    <w:basedOn w:val="Default"/>
    <w:next w:val="Default"/>
    <w:uiPriority w:val="99"/>
    <w:rsid w:val="008361A8"/>
    <w:pPr>
      <w:spacing w:line="278" w:lineRule="atLeast"/>
    </w:pPr>
    <w:rPr>
      <w:color w:val="auto"/>
      <w:lang w:val="es-ES"/>
    </w:rPr>
  </w:style>
  <w:style w:type="character" w:styleId="Refdenotaalpie">
    <w:name w:val="footnote reference"/>
    <w:basedOn w:val="Fuentedeprrafopredeter"/>
    <w:uiPriority w:val="99"/>
    <w:semiHidden/>
    <w:unhideWhenUsed/>
    <w:rsid w:val="008361A8"/>
    <w:rPr>
      <w:vertAlign w:val="superscript"/>
    </w:rPr>
  </w:style>
  <w:style w:type="paragraph" w:customStyle="1" w:styleId="D345FF3D873148C5AE3FBF3267827368">
    <w:name w:val="D345FF3D873148C5AE3FBF3267827368"/>
    <w:rsid w:val="008361A8"/>
    <w:rPr>
      <w:rFonts w:eastAsiaTheme="minorEastAsia"/>
      <w:lang w:eastAsia="es-MX"/>
    </w:rPr>
  </w:style>
  <w:style w:type="table" w:customStyle="1" w:styleId="Tablaconcuadrcula11">
    <w:name w:val="Tabla con cuadrícula11"/>
    <w:basedOn w:val="Tablanormal"/>
    <w:next w:val="Tablaconcuadrcula"/>
    <w:uiPriority w:val="59"/>
    <w:rsid w:val="008361A8"/>
    <w:pPr>
      <w:spacing w:after="0" w:line="240" w:lineRule="auto"/>
    </w:pPr>
    <w:rPr>
      <w:rFonts w:ascii="Calibri" w:eastAsia="Times New Roman"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1">
    <w:name w:val="Estilo1"/>
    <w:basedOn w:val="Fuentedeprrafopredeter"/>
    <w:uiPriority w:val="1"/>
    <w:rsid w:val="008361A8"/>
    <w:rPr>
      <w:rFonts w:ascii="Arial Narrow" w:hAnsi="Arial Narrow"/>
      <w:b/>
      <w:sz w:val="20"/>
    </w:rPr>
  </w:style>
  <w:style w:type="paragraph" w:customStyle="1" w:styleId="Prrafodelista1">
    <w:name w:val="Párrafo de lista1"/>
    <w:basedOn w:val="Normal"/>
    <w:rsid w:val="008361A8"/>
    <w:pPr>
      <w:ind w:left="720"/>
    </w:pPr>
    <w:rPr>
      <w:rFonts w:ascii="Courier New" w:eastAsia="Calibri" w:hAnsi="Courier New"/>
      <w:sz w:val="20"/>
    </w:rPr>
  </w:style>
  <w:style w:type="paragraph" w:customStyle="1" w:styleId="Achievement">
    <w:name w:val="Achievement"/>
    <w:basedOn w:val="Normal"/>
    <w:rsid w:val="00EB7015"/>
    <w:pPr>
      <w:numPr>
        <w:numId w:val="14"/>
      </w:numPr>
    </w:pPr>
    <w:rPr>
      <w:rFonts w:ascii="Times New Roman" w:hAnsi="Times New Roman"/>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TAK2XWSQXAVX-844807744-1566</_dlc_DocId>
    <_dlc_DocIdUrl xmlns="925361b9-3a0c-4c35-ae0e-5f5ef97db517">
      <Url>http://sis/dn/_layouts/15/DocIdRedir.aspx?ID=TAK2XWSQXAVX-844807744-1566</Url>
      <Description>TAK2XWSQXAVX-844807744-1566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130C9-9207-4865-A324-F3AEABB8EB89}">
  <ds:schemaRefs>
    <ds:schemaRef ds:uri="http://schemas.microsoft.com/sharepoint/events"/>
  </ds:schemaRefs>
</ds:datastoreItem>
</file>

<file path=customXml/itemProps2.xml><?xml version="1.0" encoding="utf-8"?>
<ds:datastoreItem xmlns:ds="http://schemas.openxmlformats.org/officeDocument/2006/customXml" ds:itemID="{218E43CD-35B2-4005-B0D1-8855433C1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4.xml><?xml version="1.0" encoding="utf-8"?>
<ds:datastoreItem xmlns:ds="http://schemas.openxmlformats.org/officeDocument/2006/customXml" ds:itemID="{3402F9C3-BDAD-48DE-A983-5658FE7FF051}">
  <ds:schemaRefs>
    <ds:schemaRef ds:uri="http://purl.org/dc/terms/"/>
    <ds:schemaRef ds:uri="0287c0b5-b5c5-4019-839b-c1f429e15169"/>
    <ds:schemaRef ds:uri="http://www.w3.org/XML/1998/namespace"/>
    <ds:schemaRef ds:uri="http://purl.org/dc/elements/1.1/"/>
    <ds:schemaRef ds:uri="http://schemas.openxmlformats.org/package/2006/metadata/core-properties"/>
    <ds:schemaRef ds:uri="http://schemas.microsoft.com/office/2006/metadata/properties"/>
    <ds:schemaRef ds:uri="925361b9-3a0c-4c35-ae0e-5f5ef97db517"/>
    <ds:schemaRef ds:uri="http://purl.org/dc/dcmitype/"/>
    <ds:schemaRef ds:uri="http://schemas.microsoft.com/office/2006/documentManagement/types"/>
    <ds:schemaRef ds:uri="http://schemas.microsoft.com/office/infopath/2007/PartnerControls"/>
  </ds:schemaRefs>
</ds:datastoreItem>
</file>

<file path=customXml/itemProps5.xml><?xml version="1.0" encoding="utf-8"?>
<ds:datastoreItem xmlns:ds="http://schemas.openxmlformats.org/officeDocument/2006/customXml" ds:itemID="{FC496A84-5554-454B-B683-5FEF9BB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1096</Words>
  <Characters>6034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2</cp:revision>
  <dcterms:created xsi:type="dcterms:W3CDTF">2023-06-27T21:50:00Z</dcterms:created>
  <dcterms:modified xsi:type="dcterms:W3CDTF">2023-06-27T21:50:00Z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95207efb-be3f-4f8e-9175-0b84614f5f70</vt:lpwstr>
  </property>
</Properties>
</file>