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4C1D" w14:textId="77777777" w:rsidR="00D52133" w:rsidRPr="00B82B2C" w:rsidRDefault="00D52133" w:rsidP="00985AAD">
      <w:pPr>
        <w:pStyle w:val="Textoindependiente"/>
        <w:rPr>
          <w:rFonts w:ascii="Museo Sans 300" w:hAnsi="Museo Sans 300"/>
          <w:sz w:val="22"/>
          <w:szCs w:val="22"/>
        </w:rPr>
      </w:pPr>
      <w:r w:rsidRPr="00B82B2C">
        <w:rPr>
          <w:rFonts w:ascii="Museo Sans 300" w:hAnsi="Museo Sans 300"/>
          <w:sz w:val="22"/>
          <w:szCs w:val="22"/>
        </w:rPr>
        <w:t>El Consejo Directivo de la Superintendencia del Sistema Financiero, en uso de la potestad que le confiere el literal k) del artículo 10 de la Ley Orgánica de la Superintendencia del Sistema Financiero y para dar cumplimiento a los artículos 63 e inciso final del artículo 66 de la Ley de Bancos, al literal a) del artículo 24 de la Ley de Sociedades de Seguros y a los artículos 41 y 155 de la Ley de Bancos Cooperativos y Sociedades de Ahorro y Crédito, acuerda emitir las:</w:t>
      </w:r>
    </w:p>
    <w:p w14:paraId="6FCD9700" w14:textId="77777777" w:rsidR="00D52133" w:rsidRPr="00B82B2C" w:rsidRDefault="00D52133" w:rsidP="00D52133">
      <w:pPr>
        <w:pStyle w:val="Textoindependiente"/>
        <w:rPr>
          <w:rFonts w:ascii="Museo Sans 300" w:hAnsi="Museo Sans 300"/>
          <w:b/>
          <w:sz w:val="22"/>
          <w:szCs w:val="22"/>
        </w:rPr>
      </w:pPr>
    </w:p>
    <w:p w14:paraId="5C1C75D5" w14:textId="01005516"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NORMAS PARA LA GESTIÓN DEL RIESGO OPERACIONAL DE LAS ENTIDADES FINANCIERAS</w:t>
      </w:r>
    </w:p>
    <w:p w14:paraId="4AE16311" w14:textId="511CE26B" w:rsidR="00C31CFE" w:rsidRPr="00B82B2C" w:rsidRDefault="00C31CFE" w:rsidP="00C31CFE">
      <w:pPr>
        <w:pStyle w:val="Textoindependiente"/>
        <w:jc w:val="center"/>
        <w:rPr>
          <w:rFonts w:ascii="Museo Sans 300" w:hAnsi="Museo Sans 300"/>
          <w:b/>
          <w:sz w:val="22"/>
          <w:szCs w:val="22"/>
        </w:rPr>
      </w:pPr>
    </w:p>
    <w:p w14:paraId="43A2523A"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w:t>
      </w:r>
    </w:p>
    <w:p w14:paraId="453946BF"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OBJETO Y SUJETOS OBLIGADOS</w:t>
      </w:r>
    </w:p>
    <w:p w14:paraId="415BF8C2"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Objeto</w:t>
      </w:r>
    </w:p>
    <w:p w14:paraId="00630F7C" w14:textId="355582E7"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1</w:t>
      </w:r>
      <w:r w:rsidRPr="00B82B2C">
        <w:rPr>
          <w:rFonts w:ascii="Museo Sans 300" w:hAnsi="Museo Sans 300"/>
          <w:sz w:val="22"/>
          <w:szCs w:val="22"/>
        </w:rPr>
        <w:t xml:space="preserve">.- </w:t>
      </w:r>
      <w:bookmarkStart w:id="0" w:name="OLE_LINK1"/>
      <w:r w:rsidRPr="00B82B2C">
        <w:rPr>
          <w:rFonts w:ascii="Museo Sans 300" w:hAnsi="Museo Sans 300"/>
          <w:sz w:val="22"/>
          <w:szCs w:val="22"/>
        </w:rPr>
        <w:t>El objeto de las presentes Normas es proporcionar lineamientos mínimos para una adecuada gestión del riesgo operacional y criterios para la adopción de políticas y procedimientos relacionados</w:t>
      </w:r>
      <w:r w:rsidR="00486C3D" w:rsidRPr="00B82B2C">
        <w:rPr>
          <w:rFonts w:ascii="Museo Sans 300" w:hAnsi="Museo Sans 300"/>
          <w:sz w:val="22"/>
          <w:szCs w:val="22"/>
        </w:rPr>
        <w:t xml:space="preserve"> </w:t>
      </w:r>
      <w:r w:rsidRPr="00B82B2C">
        <w:rPr>
          <w:rFonts w:ascii="Museo Sans 300" w:hAnsi="Museo Sans 300"/>
          <w:sz w:val="22"/>
          <w:szCs w:val="22"/>
        </w:rPr>
        <w:t>con el desarrollo de metodologías para la gestión del riesgo, acordes con la naturaleza, tamaño, perfil de riesgo de las entidades y volumen de sus operaciones.</w:t>
      </w:r>
    </w:p>
    <w:p w14:paraId="7355B5D3" w14:textId="77777777" w:rsidR="00C31CFE" w:rsidRPr="00B82B2C" w:rsidRDefault="00C31CFE" w:rsidP="00C31CFE">
      <w:pPr>
        <w:jc w:val="both"/>
        <w:rPr>
          <w:rFonts w:ascii="Museo Sans 300" w:hAnsi="Museo Sans 300"/>
          <w:sz w:val="22"/>
          <w:szCs w:val="22"/>
        </w:rPr>
      </w:pPr>
    </w:p>
    <w:p w14:paraId="3A2D5F2F" w14:textId="1CE51687" w:rsidR="00C31CFE" w:rsidRDefault="00C31CFE" w:rsidP="00C31CFE">
      <w:pPr>
        <w:jc w:val="both"/>
        <w:rPr>
          <w:rFonts w:ascii="Museo Sans 300" w:hAnsi="Museo Sans 300"/>
          <w:sz w:val="22"/>
          <w:szCs w:val="22"/>
        </w:rPr>
      </w:pPr>
      <w:r w:rsidRPr="00B82B2C">
        <w:rPr>
          <w:rFonts w:ascii="Museo Sans 300" w:hAnsi="Museo Sans 300"/>
          <w:sz w:val="22"/>
          <w:szCs w:val="22"/>
        </w:rPr>
        <w:t>Se entiende por riesgo operacional la posibilidad de incurrir en pérdidas debido a fallas en los procesos, de las personas, en los sistemas de información y a causa de acontecimientos externos; incluye el riesgo legal que consiste en la posibilidad de ocurrencia de pérdidas debido a fallas en la ejecución de contratos o acuerdos, al incumplimiento de normas, así como a factores externos tales como cambios regulatorios, procesos judiciales, entre otros.</w:t>
      </w:r>
    </w:p>
    <w:p w14:paraId="1B9E0732" w14:textId="393769A5" w:rsidR="00134838" w:rsidRDefault="00134838" w:rsidP="00C31CFE">
      <w:pPr>
        <w:jc w:val="both"/>
        <w:rPr>
          <w:rFonts w:ascii="Museo Sans 300" w:hAnsi="Museo Sans 300"/>
          <w:sz w:val="22"/>
          <w:szCs w:val="22"/>
        </w:rPr>
      </w:pPr>
    </w:p>
    <w:p w14:paraId="1DDCA2D4" w14:textId="62F1435A" w:rsidR="00134838" w:rsidRPr="00B82B2C" w:rsidRDefault="00134838" w:rsidP="00C31CFE">
      <w:pPr>
        <w:jc w:val="both"/>
        <w:rPr>
          <w:rFonts w:ascii="Museo Sans 300" w:hAnsi="Museo Sans 300"/>
          <w:sz w:val="22"/>
          <w:szCs w:val="22"/>
        </w:rPr>
      </w:pPr>
      <w:r w:rsidRPr="00134838">
        <w:rPr>
          <w:rFonts w:ascii="Museo Sans 300" w:hAnsi="Museo Sans 300"/>
          <w:sz w:val="22"/>
          <w:szCs w:val="22"/>
        </w:rPr>
        <w:t>Estas Normas complementan a las disposiciones establecidas en las Normas Técnicas para la Gestión Integral de Riesgos de las Entidades Financieras (NRP-20) y las Normas Técnicas de Gobierno Corporativo (NRP-17).</w:t>
      </w:r>
      <w:r w:rsidR="00A42A84">
        <w:rPr>
          <w:rFonts w:ascii="Museo Sans 300" w:hAnsi="Museo Sans 300"/>
          <w:sz w:val="22"/>
          <w:szCs w:val="22"/>
        </w:rPr>
        <w:t xml:space="preserve"> (4)</w:t>
      </w:r>
    </w:p>
    <w:bookmarkEnd w:id="0"/>
    <w:p w14:paraId="79A955C7" w14:textId="77777777" w:rsidR="00C31CFE" w:rsidRPr="00B82B2C" w:rsidRDefault="00C31CFE" w:rsidP="00C31CFE">
      <w:pPr>
        <w:pStyle w:val="Textoindependiente"/>
        <w:rPr>
          <w:rFonts w:ascii="Museo Sans 300" w:hAnsi="Museo Sans 300"/>
          <w:sz w:val="22"/>
          <w:szCs w:val="22"/>
        </w:rPr>
      </w:pPr>
    </w:p>
    <w:p w14:paraId="0F65422E" w14:textId="150993D8" w:rsidR="00C31CFE" w:rsidRPr="00B82B2C" w:rsidRDefault="00C31CFE" w:rsidP="00C31CFE">
      <w:pPr>
        <w:jc w:val="both"/>
        <w:rPr>
          <w:rFonts w:ascii="Museo Sans 300" w:hAnsi="Museo Sans 300"/>
          <w:b/>
          <w:bCs/>
          <w:sz w:val="22"/>
          <w:szCs w:val="22"/>
          <w:lang w:val="es-MX"/>
        </w:rPr>
      </w:pPr>
      <w:r w:rsidRPr="00B82B2C">
        <w:rPr>
          <w:rFonts w:ascii="Museo Sans 300" w:hAnsi="Museo Sans 300"/>
          <w:b/>
          <w:sz w:val="22"/>
          <w:szCs w:val="22"/>
        </w:rPr>
        <w:t xml:space="preserve">Sujetos </w:t>
      </w:r>
    </w:p>
    <w:p w14:paraId="3AA89350" w14:textId="77777777" w:rsidR="00C31CFE" w:rsidRPr="00B82B2C" w:rsidRDefault="00C31CFE" w:rsidP="00ED2785">
      <w:pPr>
        <w:spacing w:after="120"/>
        <w:jc w:val="both"/>
        <w:rPr>
          <w:rFonts w:ascii="Museo Sans 300" w:hAnsi="Museo Sans 300"/>
          <w:b/>
          <w:sz w:val="22"/>
          <w:szCs w:val="22"/>
        </w:rPr>
      </w:pPr>
      <w:r w:rsidRPr="00B82B2C">
        <w:rPr>
          <w:rFonts w:ascii="Museo Sans 300" w:hAnsi="Museo Sans 300"/>
          <w:b/>
          <w:sz w:val="22"/>
          <w:szCs w:val="22"/>
        </w:rPr>
        <w:t xml:space="preserve">Art. 2.- </w:t>
      </w:r>
      <w:r w:rsidRPr="00B82B2C">
        <w:rPr>
          <w:rFonts w:ascii="Museo Sans 300" w:hAnsi="Museo Sans 300"/>
          <w:sz w:val="22"/>
          <w:szCs w:val="22"/>
        </w:rPr>
        <w:t>Los sujetos obligados al cumplimiento de las presentes Normas son:</w:t>
      </w:r>
      <w:r w:rsidRPr="00B82B2C">
        <w:rPr>
          <w:rFonts w:ascii="Museo Sans 300" w:hAnsi="Museo Sans 300"/>
          <w:b/>
          <w:sz w:val="22"/>
          <w:szCs w:val="22"/>
        </w:rPr>
        <w:t xml:space="preserve"> </w:t>
      </w:r>
      <w:r w:rsidRPr="00B82B2C">
        <w:rPr>
          <w:rFonts w:ascii="Museo Sans 300" w:hAnsi="Museo Sans 300"/>
          <w:sz w:val="22"/>
          <w:szCs w:val="22"/>
        </w:rPr>
        <w:t>(2)</w:t>
      </w:r>
    </w:p>
    <w:p w14:paraId="500CF8E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constituidos en El Salvador, sus oficinas en el extranjero y sus subsidiarias; (2)</w:t>
      </w:r>
    </w:p>
    <w:p w14:paraId="1831966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y oficinas de bancos extranjeros establecidos en el país en lo pertinente; (2)</w:t>
      </w:r>
    </w:p>
    <w:p w14:paraId="46379140"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sociedades de seguros, sus sucursales en el extranjero; (2)</w:t>
      </w:r>
    </w:p>
    <w:p w14:paraId="1D88AB95" w14:textId="057CB4C3"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de sociedades de seguros extranjeras establecidas en el país</w:t>
      </w:r>
      <w:r w:rsidR="00ED2785" w:rsidRPr="00B82B2C">
        <w:rPr>
          <w:rFonts w:ascii="Museo Sans 300" w:hAnsi="Museo Sans 300"/>
          <w:sz w:val="22"/>
          <w:szCs w:val="22"/>
        </w:rPr>
        <w:t xml:space="preserve"> </w:t>
      </w:r>
      <w:r w:rsidRPr="00B82B2C">
        <w:rPr>
          <w:rFonts w:ascii="Museo Sans 300" w:hAnsi="Museo Sans 300"/>
          <w:sz w:val="22"/>
          <w:szCs w:val="22"/>
        </w:rPr>
        <w:t>en lo pertinente; (2)</w:t>
      </w:r>
    </w:p>
    <w:p w14:paraId="570D079D"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cooperativos, las sociedades de ahorro y crédito y las federaciones reguladas por la Ley de Bancos Cooperativos y Sociedades de Ahorro y Crédito; (2)</w:t>
      </w:r>
    </w:p>
    <w:p w14:paraId="1243916C"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Hipotecario de El Salvador, S.A.; (2)</w:t>
      </w:r>
    </w:p>
    <w:p w14:paraId="29BBA338"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lastRenderedPageBreak/>
        <w:t>El Fondo Social para la Vivienda y el Fondo Nacional de Vivienda Popular, en lo que no contradiga a sus leyes de creación ni a lo dispuesto por la Corte de Cuentas; (2)</w:t>
      </w:r>
    </w:p>
    <w:p w14:paraId="7C961833" w14:textId="718A902B"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Fomento Agropecuario, en lo que no contradiga a su ley de creación ni a lo dispuesto por la Corte de Cuentas</w:t>
      </w:r>
      <w:r w:rsidR="004273B9" w:rsidRPr="00B82B2C">
        <w:rPr>
          <w:rFonts w:ascii="Museo Sans 300" w:hAnsi="Museo Sans 300"/>
          <w:sz w:val="22"/>
          <w:szCs w:val="22"/>
        </w:rPr>
        <w:t>,</w:t>
      </w:r>
      <w:r w:rsidRPr="00B82B2C">
        <w:rPr>
          <w:rFonts w:ascii="Museo Sans 300" w:hAnsi="Museo Sans 300"/>
          <w:sz w:val="22"/>
          <w:szCs w:val="22"/>
        </w:rPr>
        <w:t xml:space="preserve"> e (2)</w:t>
      </w:r>
    </w:p>
    <w:p w14:paraId="08F0A1F2" w14:textId="348DED42" w:rsidR="00C31CFE"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Desarrollo de El Salvador, en lo que no contradiga a su ley de creación ni a lo dispuesto por la Corte de Cuentas. (2)</w:t>
      </w:r>
    </w:p>
    <w:p w14:paraId="2E809D25" w14:textId="63C7EC39" w:rsidR="00233DD0" w:rsidRPr="00645C48"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 xml:space="preserve">Las personas jurídicas que realizan operaciones de envío o recepción de dinero sistemática o sustancialmente, por cualquier medio, a nivel nacional e </w:t>
      </w:r>
      <w:r w:rsidR="00597AC4" w:rsidRPr="00645C48">
        <w:rPr>
          <w:rFonts w:ascii="Museo Sans 300" w:hAnsi="Museo Sans 300"/>
          <w:sz w:val="22"/>
          <w:szCs w:val="22"/>
        </w:rPr>
        <w:t>internacional.</w:t>
      </w:r>
      <w:r w:rsidR="00C60900">
        <w:rPr>
          <w:rFonts w:ascii="Museo Sans 300" w:hAnsi="Museo Sans 300"/>
          <w:sz w:val="22"/>
          <w:szCs w:val="22"/>
        </w:rPr>
        <w:t xml:space="preserve"> (4)</w:t>
      </w:r>
    </w:p>
    <w:p w14:paraId="17196943" w14:textId="77777777" w:rsidR="00233DD0" w:rsidRPr="00645C48" w:rsidRDefault="00233DD0" w:rsidP="00233DD0">
      <w:pPr>
        <w:ind w:left="425"/>
        <w:jc w:val="both"/>
        <w:rPr>
          <w:rFonts w:ascii="Museo Sans 300" w:hAnsi="Museo Sans 300"/>
          <w:sz w:val="22"/>
          <w:szCs w:val="22"/>
        </w:rPr>
      </w:pPr>
    </w:p>
    <w:p w14:paraId="44E7FA7E" w14:textId="359F14D4" w:rsidR="00233DD0" w:rsidRPr="00645C48" w:rsidRDefault="00233DD0" w:rsidP="00233DD0">
      <w:pPr>
        <w:ind w:left="425"/>
        <w:jc w:val="both"/>
        <w:rPr>
          <w:rFonts w:ascii="Museo Sans 300" w:hAnsi="Museo Sans 300"/>
          <w:sz w:val="22"/>
          <w:szCs w:val="22"/>
        </w:rPr>
      </w:pPr>
      <w:r w:rsidRPr="00645C48">
        <w:rPr>
          <w:rFonts w:ascii="Museo Sans 300" w:hAnsi="Museo Sans 300"/>
          <w:sz w:val="22"/>
          <w:szCs w:val="22"/>
        </w:rPr>
        <w:t>Se entenderá que se realizan operaciones de envío o recepción de dinero, sistemática o sustancialmente, cuando dicha actividad se realice de manera habitual o constituya una actividad importante dentro de las operaciones del negocio de la entidad; (</w:t>
      </w:r>
      <w:r>
        <w:rPr>
          <w:rFonts w:ascii="Museo Sans 300" w:hAnsi="Museo Sans 300"/>
          <w:sz w:val="22"/>
          <w:szCs w:val="22"/>
        </w:rPr>
        <w:t>4)</w:t>
      </w:r>
    </w:p>
    <w:p w14:paraId="128194BC" w14:textId="77F5AE69" w:rsidR="00233DD0" w:rsidRPr="00645C48" w:rsidRDefault="00233DD0" w:rsidP="00233DD0">
      <w:pPr>
        <w:numPr>
          <w:ilvl w:val="0"/>
          <w:numId w:val="2"/>
        </w:numPr>
        <w:ind w:left="425" w:hanging="425"/>
        <w:jc w:val="both"/>
        <w:rPr>
          <w:sz w:val="22"/>
          <w:szCs w:val="22"/>
        </w:rPr>
      </w:pPr>
      <w:r w:rsidRPr="00645C48">
        <w:rPr>
          <w:rFonts w:ascii="Museo Sans 300" w:hAnsi="Museo Sans 300"/>
          <w:sz w:val="22"/>
          <w:szCs w:val="22"/>
        </w:rPr>
        <w:t>Las Sociedades de Garantía Recíproca y sus reafianzadoras locales; (</w:t>
      </w:r>
      <w:r>
        <w:rPr>
          <w:rFonts w:ascii="Museo Sans 300" w:hAnsi="Museo Sans 300"/>
          <w:sz w:val="22"/>
          <w:szCs w:val="22"/>
        </w:rPr>
        <w:t>4)</w:t>
      </w:r>
    </w:p>
    <w:p w14:paraId="285DF1C2" w14:textId="1E552B36" w:rsidR="00233DD0" w:rsidRPr="00645C48"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Las Casas de Cambio de Moneda Extranjera; y (</w:t>
      </w:r>
      <w:r>
        <w:rPr>
          <w:rFonts w:ascii="Museo Sans 300" w:hAnsi="Museo Sans 300"/>
          <w:sz w:val="22"/>
          <w:szCs w:val="22"/>
        </w:rPr>
        <w:t>4</w:t>
      </w:r>
      <w:r w:rsidRPr="00645C48">
        <w:rPr>
          <w:rFonts w:ascii="Museo Sans 300" w:hAnsi="Museo Sans 300"/>
          <w:sz w:val="22"/>
          <w:szCs w:val="22"/>
        </w:rPr>
        <w:t>)</w:t>
      </w:r>
    </w:p>
    <w:p w14:paraId="43D3C6DB" w14:textId="523ABFE7" w:rsidR="00233DD0" w:rsidRPr="00233DD0"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Las Sociedades que ofrecen servicios complementarios a los servicios financieros de los integrantes del sistema financiero, en particular aquéllas en los que participen como inversionistas. (</w:t>
      </w:r>
      <w:r>
        <w:rPr>
          <w:rFonts w:ascii="Museo Sans 300" w:hAnsi="Museo Sans 300"/>
          <w:sz w:val="22"/>
          <w:szCs w:val="22"/>
        </w:rPr>
        <w:t>4</w:t>
      </w:r>
      <w:r w:rsidRPr="00645C48">
        <w:rPr>
          <w:rFonts w:ascii="Museo Sans 300" w:hAnsi="Museo Sans 300"/>
          <w:sz w:val="22"/>
          <w:szCs w:val="22"/>
        </w:rPr>
        <w:t>)</w:t>
      </w:r>
    </w:p>
    <w:p w14:paraId="12818028" w14:textId="77777777" w:rsidR="00C31CFE" w:rsidRPr="00B82B2C" w:rsidRDefault="00C31CFE" w:rsidP="00C31CFE">
      <w:pPr>
        <w:pStyle w:val="Textoindependiente"/>
        <w:rPr>
          <w:rFonts w:ascii="Museo Sans 300" w:hAnsi="Museo Sans 300"/>
          <w:sz w:val="22"/>
          <w:szCs w:val="22"/>
        </w:rPr>
      </w:pPr>
    </w:p>
    <w:p w14:paraId="0D1E3DB3" w14:textId="305B56EC"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En las presentes Normas, con los vocablos genéricos “entidad o entidades”, “Superintendencia” y “Junta Directiva”, se designan respectivamente a los sujetos obligados al cumplimiento de estas Normas, a la Superintendencia del Sistema Financiero y a la Junta Directiva o Consejo de Administración de los sujetos obligados en los casos que corresponda. </w:t>
      </w:r>
    </w:p>
    <w:p w14:paraId="5C31B439" w14:textId="77777777" w:rsidR="00C31CFE" w:rsidRPr="00B82B2C" w:rsidRDefault="00C31CFE" w:rsidP="00C31CFE">
      <w:pPr>
        <w:pStyle w:val="Textoindependiente"/>
        <w:jc w:val="center"/>
        <w:rPr>
          <w:rFonts w:ascii="Museo Sans 300" w:hAnsi="Museo Sans 300"/>
          <w:b/>
          <w:sz w:val="22"/>
          <w:szCs w:val="22"/>
        </w:rPr>
      </w:pPr>
    </w:p>
    <w:p w14:paraId="79DBD16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w:t>
      </w:r>
    </w:p>
    <w:p w14:paraId="00FCA546"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FACTORES Y EVENTOS DE RIESGO OPERACIONAL</w:t>
      </w:r>
    </w:p>
    <w:p w14:paraId="775D2DE4" w14:textId="77777777" w:rsidR="00C31CFE" w:rsidRPr="00B82B2C" w:rsidRDefault="00C31CFE" w:rsidP="00C31CFE">
      <w:pPr>
        <w:pStyle w:val="Textoindependiente"/>
        <w:rPr>
          <w:rFonts w:ascii="Museo Sans 300" w:hAnsi="Museo Sans 300"/>
          <w:sz w:val="22"/>
          <w:szCs w:val="22"/>
        </w:rPr>
      </w:pPr>
    </w:p>
    <w:p w14:paraId="4CB67E43" w14:textId="77777777" w:rsidR="00C31CFE" w:rsidRPr="00B82B2C" w:rsidRDefault="00C31CFE" w:rsidP="00C31CFE">
      <w:pPr>
        <w:tabs>
          <w:tab w:val="left" w:pos="284"/>
        </w:tabs>
        <w:ind w:left="284" w:hanging="284"/>
        <w:jc w:val="both"/>
        <w:rPr>
          <w:rFonts w:ascii="Museo Sans 300" w:hAnsi="Museo Sans 300"/>
          <w:b/>
          <w:sz w:val="22"/>
          <w:szCs w:val="22"/>
        </w:rPr>
      </w:pPr>
      <w:r w:rsidRPr="00B82B2C">
        <w:rPr>
          <w:rFonts w:ascii="Museo Sans 300" w:hAnsi="Museo Sans 300"/>
          <w:b/>
          <w:sz w:val="22"/>
          <w:szCs w:val="22"/>
        </w:rPr>
        <w:t xml:space="preserve">Factores de riesgo </w:t>
      </w:r>
    </w:p>
    <w:p w14:paraId="1016AE14" w14:textId="22432549" w:rsidR="00C31CFE" w:rsidRPr="00B82B2C" w:rsidRDefault="00C31CFE" w:rsidP="00C31CFE">
      <w:pPr>
        <w:tabs>
          <w:tab w:val="left" w:pos="0"/>
        </w:tabs>
        <w:jc w:val="both"/>
        <w:rPr>
          <w:rFonts w:ascii="Museo Sans 300" w:hAnsi="Museo Sans 300"/>
          <w:sz w:val="22"/>
          <w:szCs w:val="22"/>
        </w:rPr>
      </w:pPr>
      <w:r w:rsidRPr="00B82B2C">
        <w:rPr>
          <w:rFonts w:ascii="Museo Sans 300" w:hAnsi="Museo Sans 300"/>
          <w:b/>
          <w:sz w:val="22"/>
          <w:szCs w:val="22"/>
        </w:rPr>
        <w:t>Art. 3.-</w:t>
      </w:r>
      <w:r w:rsidRPr="00B82B2C">
        <w:rPr>
          <w:rFonts w:ascii="Museo Sans 300" w:hAnsi="Museo Sans 300"/>
          <w:sz w:val="22"/>
          <w:szCs w:val="22"/>
        </w:rPr>
        <w:t xml:space="preserve"> Las entidades deben gestionar los diferentes factores generadores de riesgo operacional, siendo éstos los siguientes:</w:t>
      </w:r>
      <w:r w:rsidR="00ED2785" w:rsidRPr="00B82B2C">
        <w:rPr>
          <w:rFonts w:ascii="Museo Sans 300" w:hAnsi="Museo Sans 300"/>
          <w:sz w:val="22"/>
          <w:szCs w:val="22"/>
        </w:rPr>
        <w:t xml:space="preserve"> </w:t>
      </w:r>
    </w:p>
    <w:p w14:paraId="77E3A34D" w14:textId="5C5A39EB" w:rsidR="00C31CFE" w:rsidRPr="00B82B2C" w:rsidRDefault="00C31CFE" w:rsidP="00B82B2C">
      <w:pPr>
        <w:pStyle w:val="Textoindependiente22"/>
        <w:numPr>
          <w:ilvl w:val="0"/>
          <w:numId w:val="9"/>
        </w:numPr>
        <w:tabs>
          <w:tab w:val="left" w:pos="709"/>
        </w:tabs>
        <w:spacing w:before="120"/>
        <w:ind w:left="425" w:hanging="425"/>
        <w:jc w:val="both"/>
        <w:rPr>
          <w:rFonts w:ascii="Museo Sans 300" w:hAnsi="Museo Sans 300"/>
          <w:szCs w:val="22"/>
        </w:rPr>
      </w:pPr>
      <w:r w:rsidRPr="00B82B2C">
        <w:rPr>
          <w:rFonts w:ascii="Museo Sans 300" w:hAnsi="Museo Sans 300"/>
          <w:b/>
          <w:szCs w:val="22"/>
          <w:lang w:val="es-ES"/>
        </w:rPr>
        <w:t xml:space="preserve">Procesos: </w:t>
      </w:r>
      <w:r w:rsidRPr="00B82B2C">
        <w:rPr>
          <w:rFonts w:ascii="Museo Sans 300" w:hAnsi="Museo Sans 300"/>
          <w:szCs w:val="22"/>
        </w:rPr>
        <w:t>Con el objeto de garantizar la optimización de los recursos y la estandarización de las actividades, las entidades deben contar con procesos documentados, definidos y actualizados permanentemente, que pueden ser agrupados en procesos estratégicos y</w:t>
      </w:r>
      <w:r w:rsidR="00ED2785" w:rsidRPr="00B82B2C">
        <w:rPr>
          <w:rFonts w:ascii="Museo Sans 300" w:hAnsi="Museo Sans 300"/>
          <w:szCs w:val="22"/>
        </w:rPr>
        <w:t xml:space="preserve"> </w:t>
      </w:r>
      <w:r w:rsidRPr="00B82B2C">
        <w:rPr>
          <w:rFonts w:ascii="Museo Sans 300" w:hAnsi="Museo Sans 300"/>
          <w:szCs w:val="22"/>
        </w:rPr>
        <w:t>operativos.</w:t>
      </w:r>
    </w:p>
    <w:p w14:paraId="66B97F70" w14:textId="77777777" w:rsidR="00C31CFE" w:rsidRPr="00B82B2C" w:rsidRDefault="00C31CFE" w:rsidP="00357877">
      <w:pPr>
        <w:pStyle w:val="Textoindependiente22"/>
        <w:ind w:left="425"/>
        <w:jc w:val="both"/>
        <w:rPr>
          <w:rFonts w:ascii="Museo Sans 300" w:hAnsi="Museo Sans 300"/>
          <w:szCs w:val="22"/>
        </w:rPr>
      </w:pPr>
      <w:r w:rsidRPr="00B82B2C">
        <w:rPr>
          <w:rFonts w:ascii="Museo Sans 300" w:hAnsi="Museo Sans 300"/>
          <w:szCs w:val="22"/>
        </w:rPr>
        <w:t>Las entidades deben gestionar apropiadamente los riesgos asociados a dichos procesos, con énfasis en las fallas o debilidades que presenten, dado que éstas pueden tener como consecuencia el desarrollo deficiente de las operaciones.</w:t>
      </w:r>
    </w:p>
    <w:p w14:paraId="3A6EEEA4" w14:textId="77777777" w:rsidR="00C31CFE" w:rsidRPr="00B82B2C" w:rsidRDefault="00C31CFE" w:rsidP="00357877">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Personas: </w:t>
      </w:r>
      <w:r w:rsidRPr="00B82B2C">
        <w:rPr>
          <w:rFonts w:ascii="Museo Sans 300" w:hAnsi="Museo Sans 300"/>
          <w:szCs w:val="22"/>
          <w:lang w:val="es-ES"/>
        </w:rPr>
        <w:t xml:space="preserve">Las entidades deben establecer políticas, procesos y procedimientos que procuren una adecuada planificación y administración del capital humano, que incluyan el proceso de contratación, permanencia y desvinculación del personal. </w:t>
      </w:r>
    </w:p>
    <w:p w14:paraId="5E1158C9" w14:textId="77777777" w:rsidR="00C31CFE" w:rsidRPr="00B82B2C" w:rsidRDefault="00C31CFE" w:rsidP="00357877">
      <w:pPr>
        <w:pStyle w:val="Textoindependiente22"/>
        <w:ind w:left="425"/>
        <w:jc w:val="both"/>
        <w:rPr>
          <w:rFonts w:ascii="Museo Sans 300" w:hAnsi="Museo Sans 300"/>
          <w:szCs w:val="22"/>
          <w:lang w:val="es-ES"/>
        </w:rPr>
      </w:pPr>
      <w:r w:rsidRPr="00B82B2C">
        <w:rPr>
          <w:rFonts w:ascii="Museo Sans 300" w:hAnsi="Museo Sans 300"/>
          <w:szCs w:val="22"/>
          <w:lang w:val="es-ES"/>
        </w:rPr>
        <w:t xml:space="preserve">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w:t>
      </w:r>
    </w:p>
    <w:p w14:paraId="2C35B956" w14:textId="459DA489" w:rsidR="00C31CFE" w:rsidRPr="00B82B2C" w:rsidRDefault="00C31CFE" w:rsidP="00357877">
      <w:pPr>
        <w:ind w:left="425"/>
        <w:jc w:val="both"/>
        <w:rPr>
          <w:rFonts w:ascii="Museo Sans 300" w:hAnsi="Museo Sans 300"/>
          <w:sz w:val="22"/>
          <w:szCs w:val="22"/>
        </w:rPr>
      </w:pPr>
      <w:r w:rsidRPr="00B82B2C">
        <w:rPr>
          <w:rFonts w:ascii="Museo Sans 300" w:hAnsi="Museo Sans 300"/>
          <w:sz w:val="22"/>
          <w:szCs w:val="22"/>
        </w:rPr>
        <w:t>La vinculación directa es aquélla que está basada en un contrato interno de trabajo, de acuerdo a la legislación laboral respectiva. La vinculación indirecta está referida a aquellas personas que tienen una relación jurídica con la entidad para la prestación de determinados servicios, diferente de aquélla que se origina de un contrato interno de trabajo.</w:t>
      </w:r>
      <w:r w:rsidR="00ED2785" w:rsidRPr="00B82B2C">
        <w:rPr>
          <w:rFonts w:ascii="Museo Sans 300" w:hAnsi="Museo Sans 300"/>
          <w:sz w:val="22"/>
          <w:szCs w:val="22"/>
        </w:rPr>
        <w:t xml:space="preserve"> </w:t>
      </w:r>
    </w:p>
    <w:p w14:paraId="2AED704E" w14:textId="53E2B80E" w:rsidR="00C31CFE" w:rsidRPr="00B82B2C" w:rsidRDefault="00C31CFE" w:rsidP="00357877">
      <w:pPr>
        <w:numPr>
          <w:ilvl w:val="0"/>
          <w:numId w:val="9"/>
        </w:numPr>
        <w:ind w:left="425" w:hanging="425"/>
        <w:jc w:val="both"/>
        <w:rPr>
          <w:rFonts w:ascii="Museo Sans 300" w:hAnsi="Museo Sans 300"/>
          <w:sz w:val="22"/>
          <w:szCs w:val="22"/>
        </w:rPr>
      </w:pPr>
      <w:r w:rsidRPr="00B82B2C">
        <w:rPr>
          <w:rFonts w:ascii="Museo Sans 300" w:hAnsi="Museo Sans 300"/>
          <w:b/>
          <w:sz w:val="22"/>
          <w:szCs w:val="22"/>
        </w:rPr>
        <w:t xml:space="preserve">Tecnología de información: </w:t>
      </w:r>
      <w:r w:rsidRPr="00B82B2C">
        <w:rPr>
          <w:rFonts w:ascii="Museo Sans 300" w:hAnsi="Museo Sans 300"/>
          <w:sz w:val="22"/>
          <w:szCs w:val="22"/>
        </w:rPr>
        <w:t>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adecuada inversión en tecnología.</w:t>
      </w:r>
      <w:r w:rsidR="00ED2785" w:rsidRPr="00B82B2C">
        <w:rPr>
          <w:rFonts w:ascii="Museo Sans 300" w:hAnsi="Museo Sans 300"/>
          <w:sz w:val="22"/>
          <w:szCs w:val="22"/>
        </w:rPr>
        <w:t xml:space="preserve"> </w:t>
      </w:r>
    </w:p>
    <w:p w14:paraId="246C067E" w14:textId="7FB99AB7" w:rsidR="00C31CFE" w:rsidRDefault="00C31CFE" w:rsidP="00ED2785">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Acontecimientos externos: </w:t>
      </w:r>
      <w:r w:rsidRPr="00B82B2C">
        <w:rPr>
          <w:rFonts w:ascii="Museo Sans 300" w:hAnsi="Museo Sans 300"/>
          <w:szCs w:val="22"/>
          <w:lang w:val="es-ES"/>
        </w:rPr>
        <w:t>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0E7148CF" w14:textId="77777777" w:rsidR="00B82B2C" w:rsidRPr="00B82B2C" w:rsidRDefault="00B82B2C" w:rsidP="00B82B2C">
      <w:pPr>
        <w:pStyle w:val="Textoindependiente22"/>
        <w:ind w:left="425"/>
        <w:jc w:val="both"/>
        <w:rPr>
          <w:rFonts w:ascii="Museo Sans 300" w:hAnsi="Museo Sans 300"/>
          <w:szCs w:val="22"/>
          <w:lang w:val="es-ES"/>
        </w:rPr>
      </w:pPr>
    </w:p>
    <w:p w14:paraId="7A8A2D4C" w14:textId="77777777" w:rsidR="00C31CFE" w:rsidRPr="00B82B2C" w:rsidRDefault="00C31CFE" w:rsidP="00C31CFE">
      <w:pPr>
        <w:pStyle w:val="Textoindependiente22"/>
        <w:jc w:val="both"/>
        <w:rPr>
          <w:rFonts w:ascii="Museo Sans 300" w:hAnsi="Museo Sans 300"/>
          <w:b/>
          <w:szCs w:val="22"/>
          <w:lang w:val="es-ES"/>
        </w:rPr>
      </w:pPr>
      <w:r w:rsidRPr="00B82B2C">
        <w:rPr>
          <w:rFonts w:ascii="Museo Sans 300" w:hAnsi="Museo Sans 300"/>
          <w:b/>
          <w:szCs w:val="22"/>
          <w:lang w:val="es-ES"/>
        </w:rPr>
        <w:t>Eventos de riesgo operacional</w:t>
      </w:r>
    </w:p>
    <w:p w14:paraId="21F8AA62" w14:textId="0D095E03" w:rsidR="00C31CFE" w:rsidRPr="00B82B2C" w:rsidRDefault="00C31CFE" w:rsidP="00ED2785">
      <w:pPr>
        <w:pStyle w:val="Textoindependiente22"/>
        <w:spacing w:after="120"/>
        <w:jc w:val="both"/>
        <w:rPr>
          <w:rFonts w:ascii="Museo Sans 300" w:hAnsi="Museo Sans 300"/>
          <w:szCs w:val="22"/>
          <w:lang w:val="es-ES"/>
        </w:rPr>
      </w:pPr>
      <w:r w:rsidRPr="00B82B2C">
        <w:rPr>
          <w:rFonts w:ascii="Museo Sans 300" w:hAnsi="Museo Sans 300"/>
          <w:b/>
          <w:szCs w:val="22"/>
          <w:lang w:val="es-ES"/>
        </w:rPr>
        <w:t>Art. 4.-</w:t>
      </w:r>
      <w:r w:rsidRPr="00B82B2C">
        <w:rPr>
          <w:rFonts w:ascii="Museo Sans 300" w:hAnsi="Museo Sans 300"/>
          <w:szCs w:val="22"/>
          <w:lang w:val="es-ES"/>
        </w:rPr>
        <w:t xml:space="preserve"> Los eventos de riesgo operacional son aquellas situaciones que afectan el normal desarrollo de las operaciones de la entidad, los cuales incluyen los incidentes ocurridos y eventos potenciales que pudieren generar pérdidas económicas y pueden o no afectar el estado de resultados, siendo estos los siguientes: </w:t>
      </w:r>
    </w:p>
    <w:p w14:paraId="1D0F7AF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Fraude interno; </w:t>
      </w:r>
    </w:p>
    <w:p w14:paraId="75ECC3A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Fraude externo;</w:t>
      </w:r>
    </w:p>
    <w:p w14:paraId="171B7FF1"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Relaciones laborales y seguridad en el puesto de trabajo; </w:t>
      </w:r>
    </w:p>
    <w:p w14:paraId="15080E1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Clientes, productos y prácticas de negocio; </w:t>
      </w:r>
    </w:p>
    <w:p w14:paraId="7111D53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Daños en activos materiales; </w:t>
      </w:r>
    </w:p>
    <w:p w14:paraId="542D4352"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Interrupción del negocio y fallas en los sistemas, y </w:t>
      </w:r>
    </w:p>
    <w:p w14:paraId="677C7E5F"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Ejecución, entrega y gestión de procesos. </w:t>
      </w:r>
    </w:p>
    <w:p w14:paraId="11B9A4AD" w14:textId="77777777" w:rsidR="00D12929" w:rsidRPr="00B82B2C" w:rsidRDefault="00D12929" w:rsidP="00ED2785">
      <w:pPr>
        <w:pStyle w:val="Textoindependiente"/>
        <w:ind w:left="425" w:hanging="425"/>
        <w:jc w:val="center"/>
        <w:rPr>
          <w:rFonts w:ascii="Museo Sans 300" w:hAnsi="Museo Sans 300"/>
          <w:b/>
          <w:sz w:val="22"/>
          <w:szCs w:val="22"/>
        </w:rPr>
      </w:pPr>
    </w:p>
    <w:p w14:paraId="29F960D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III</w:t>
      </w:r>
    </w:p>
    <w:p w14:paraId="5F0412E2" w14:textId="303F026F"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GESTION DEL RIESGO OPERACIONAL</w:t>
      </w:r>
      <w:r w:rsidR="00ED2785" w:rsidRPr="00B82B2C">
        <w:rPr>
          <w:rFonts w:ascii="Museo Sans 300" w:hAnsi="Museo Sans 300"/>
          <w:b/>
          <w:sz w:val="22"/>
          <w:szCs w:val="22"/>
        </w:rPr>
        <w:t xml:space="preserve"> </w:t>
      </w:r>
    </w:p>
    <w:p w14:paraId="3A554397" w14:textId="77777777" w:rsidR="00C31CFE" w:rsidRPr="00B82B2C" w:rsidRDefault="00C31CFE" w:rsidP="00C31CFE">
      <w:pPr>
        <w:pStyle w:val="Textoindependiente"/>
        <w:rPr>
          <w:rFonts w:ascii="Museo Sans 300" w:hAnsi="Museo Sans 300"/>
          <w:sz w:val="22"/>
          <w:szCs w:val="22"/>
        </w:rPr>
      </w:pPr>
    </w:p>
    <w:p w14:paraId="740EC960"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Sistema de organización</w:t>
      </w:r>
    </w:p>
    <w:p w14:paraId="765059B0" w14:textId="5B5A6CA0"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5.-</w:t>
      </w:r>
      <w:r w:rsidRPr="00B82B2C">
        <w:rPr>
          <w:rFonts w:ascii="Museo Sans 300" w:hAnsi="Museo Sans 300"/>
          <w:sz w:val="22"/>
          <w:szCs w:val="22"/>
        </w:rPr>
        <w:t xml:space="preserve"> Las entidades deben establecer una estructura organizacional o funcional adecuada a su modelo de negocios y apropiadamente segregada, que delimite claramente funciones y responsabilidades, así como los niveles de dependencia e interrelación que les corresponden a cada una de las áreas involucradas en la realización de actividades relativas al riesgo operacional.</w:t>
      </w:r>
    </w:p>
    <w:p w14:paraId="038DB1D9" w14:textId="77777777" w:rsidR="00C31CFE" w:rsidRPr="00B82B2C" w:rsidRDefault="00C31CFE" w:rsidP="00C31CFE">
      <w:pPr>
        <w:jc w:val="both"/>
        <w:rPr>
          <w:rFonts w:ascii="Museo Sans 300" w:hAnsi="Museo Sans 300"/>
          <w:sz w:val="22"/>
          <w:szCs w:val="22"/>
        </w:rPr>
      </w:pPr>
    </w:p>
    <w:p w14:paraId="6DEC7D83" w14:textId="370610CA" w:rsidR="00C31CFE" w:rsidRPr="00B82B2C" w:rsidRDefault="00C31CFE" w:rsidP="00C31CFE">
      <w:pPr>
        <w:pStyle w:val="Textoindependiente"/>
        <w:rPr>
          <w:rFonts w:ascii="Museo Sans 300" w:hAnsi="Museo Sans 300"/>
          <w:b/>
          <w:sz w:val="22"/>
          <w:szCs w:val="22"/>
        </w:rPr>
      </w:pPr>
      <w:r w:rsidRPr="00B82B2C">
        <w:rPr>
          <w:rFonts w:ascii="Museo Sans 300" w:hAnsi="Museo Sans 300"/>
          <w:sz w:val="22"/>
          <w:szCs w:val="22"/>
          <w:lang w:val="es-ES_tradnl"/>
        </w:rPr>
        <w:t>Todos estos aspectos deben estar contemplados en el manual respectivo, aprobado por la Junta Directiva de la entidad.</w:t>
      </w:r>
    </w:p>
    <w:p w14:paraId="249806D3" w14:textId="77777777" w:rsidR="00C31CFE" w:rsidRPr="00B82B2C" w:rsidRDefault="00C31CFE" w:rsidP="00C31CFE">
      <w:pPr>
        <w:pStyle w:val="Textoindependiente"/>
        <w:rPr>
          <w:rFonts w:ascii="Museo Sans 300" w:hAnsi="Museo Sans 300"/>
          <w:color w:val="000080"/>
          <w:sz w:val="22"/>
          <w:szCs w:val="22"/>
          <w:lang w:val="es-ES_tradnl"/>
        </w:rPr>
      </w:pPr>
    </w:p>
    <w:p w14:paraId="774A866B"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Junta Directiva</w:t>
      </w:r>
      <w:r w:rsidRPr="00B82B2C">
        <w:rPr>
          <w:rFonts w:ascii="Museo Sans 300" w:hAnsi="Museo Sans 300"/>
          <w:sz w:val="22"/>
          <w:szCs w:val="22"/>
        </w:rPr>
        <w:t xml:space="preserve"> </w:t>
      </w:r>
    </w:p>
    <w:p w14:paraId="0113B8CD"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 xml:space="preserve">Art. 6.- </w:t>
      </w:r>
      <w:r w:rsidRPr="00B82B2C">
        <w:rPr>
          <w:rFonts w:ascii="Museo Sans 300" w:hAnsi="Museo Sans 300"/>
          <w:sz w:val="22"/>
          <w:szCs w:val="22"/>
        </w:rPr>
        <w:t>La Junta Directiva de la entidad es el Órgano directamente responsable de la gestión del riesgo operacional, por lo que debe:</w:t>
      </w:r>
    </w:p>
    <w:p w14:paraId="1AFE9506" w14:textId="028DFB48"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Aprobar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la entidad para la gestión del riesgo operacional y asegurarse que la Alta Gerencia</w:t>
      </w:r>
      <w:r w:rsidR="00ED2785" w:rsidRPr="00B82B2C">
        <w:rPr>
          <w:rFonts w:ascii="Museo Sans 300" w:hAnsi="Museo Sans 300"/>
          <w:sz w:val="22"/>
          <w:szCs w:val="22"/>
        </w:rPr>
        <w:t xml:space="preserve"> </w:t>
      </w:r>
      <w:r w:rsidRPr="00B82B2C">
        <w:rPr>
          <w:rFonts w:ascii="Museo Sans 300" w:hAnsi="Museo Sans 300"/>
          <w:sz w:val="22"/>
          <w:szCs w:val="22"/>
        </w:rPr>
        <w:t>los implemente efectivamente;</w:t>
      </w:r>
      <w:r w:rsidR="00E83918" w:rsidRPr="00B82B2C">
        <w:rPr>
          <w:rFonts w:ascii="Museo Sans 300" w:hAnsi="Museo Sans 300"/>
          <w:sz w:val="22"/>
          <w:szCs w:val="22"/>
        </w:rPr>
        <w:t xml:space="preserve"> (3)</w:t>
      </w:r>
    </w:p>
    <w:p w14:paraId="33A7BAF5" w14:textId="0BFCB9ED"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Asignar y aprobar los recursos necesarios para implementar y mantener en funcionamiento la gestión del riesgo operacional en forma efectiva y eficiente</w:t>
      </w:r>
      <w:r w:rsidR="00022EBA">
        <w:rPr>
          <w:rFonts w:ascii="Museo Sans 300" w:hAnsi="Museo Sans 300"/>
          <w:sz w:val="22"/>
          <w:szCs w:val="22"/>
        </w:rPr>
        <w:t>;</w:t>
      </w:r>
    </w:p>
    <w:p w14:paraId="44BC1030" w14:textId="43FB7924" w:rsidR="00C31CFE"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Asegurarse de que Auditoría Interna verifique la existencia y el cumplimiento del esquema de gestión del riesgo operacional</w:t>
      </w:r>
      <w:r w:rsidR="00134838">
        <w:rPr>
          <w:rFonts w:ascii="Museo Sans 300" w:hAnsi="Museo Sans 300"/>
          <w:sz w:val="22"/>
          <w:szCs w:val="22"/>
        </w:rPr>
        <w:t>; y</w:t>
      </w:r>
    </w:p>
    <w:p w14:paraId="21632409" w14:textId="6E834873" w:rsidR="00134838" w:rsidRPr="00B82B2C" w:rsidRDefault="00134838" w:rsidP="00ED2785">
      <w:pPr>
        <w:numPr>
          <w:ilvl w:val="0"/>
          <w:numId w:val="3"/>
        </w:numPr>
        <w:ind w:left="425" w:hanging="425"/>
        <w:jc w:val="both"/>
        <w:rPr>
          <w:rFonts w:ascii="Museo Sans 300" w:hAnsi="Museo Sans 300"/>
          <w:sz w:val="22"/>
          <w:szCs w:val="22"/>
        </w:rPr>
      </w:pPr>
      <w:r w:rsidRPr="00134838">
        <w:rPr>
          <w:rFonts w:ascii="Museo Sans 300" w:hAnsi="Museo Sans 300"/>
          <w:sz w:val="22"/>
          <w:szCs w:val="22"/>
        </w:rPr>
        <w:t>Designar a un responsable de la comunicación de la ocurrencia de eventos de riesgo operacional, según lo requerido en el segundo inciso del artículo 20 de las presentes Normas</w:t>
      </w:r>
      <w:r w:rsidR="00A42A84">
        <w:rPr>
          <w:rFonts w:ascii="Museo Sans 300" w:hAnsi="Museo Sans 300"/>
          <w:sz w:val="22"/>
          <w:szCs w:val="22"/>
        </w:rPr>
        <w:t>. (4)</w:t>
      </w:r>
    </w:p>
    <w:p w14:paraId="29F37BD8" w14:textId="77777777" w:rsidR="00ED2785" w:rsidRPr="00B82B2C" w:rsidRDefault="00ED2785" w:rsidP="00C31CFE">
      <w:pPr>
        <w:pStyle w:val="Textoindependiente"/>
        <w:ind w:left="425" w:hanging="425"/>
        <w:rPr>
          <w:rFonts w:ascii="Museo Sans 300" w:hAnsi="Museo Sans 300"/>
          <w:b/>
          <w:sz w:val="22"/>
          <w:szCs w:val="22"/>
        </w:rPr>
      </w:pPr>
    </w:p>
    <w:p w14:paraId="04802E2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Comité de Riesgos</w:t>
      </w:r>
    </w:p>
    <w:p w14:paraId="418B08E1" w14:textId="344DAD5C"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7.- </w:t>
      </w:r>
      <w:r w:rsidRPr="00B82B2C">
        <w:rPr>
          <w:rFonts w:ascii="Museo Sans 300" w:hAnsi="Museo Sans 300"/>
          <w:sz w:val="22"/>
          <w:szCs w:val="22"/>
        </w:rPr>
        <w:t xml:space="preserve">El Comité de Riesgos es el encargado de velar por una sana gestión del riesgo operacional de la entidad, por lo que debe: </w:t>
      </w:r>
    </w:p>
    <w:p w14:paraId="0DE07F46" w14:textId="7FBDC8E3" w:rsidR="00C31CFE" w:rsidRPr="00B82B2C" w:rsidRDefault="00C31CFE" w:rsidP="00985AAD">
      <w:pPr>
        <w:pStyle w:val="Prrafodelista"/>
        <w:widowControl w:val="0"/>
        <w:numPr>
          <w:ilvl w:val="0"/>
          <w:numId w:val="7"/>
        </w:numPr>
        <w:tabs>
          <w:tab w:val="clear" w:pos="1854"/>
          <w:tab w:val="num" w:pos="709"/>
        </w:tabs>
        <w:ind w:left="425" w:hanging="425"/>
        <w:jc w:val="both"/>
        <w:rPr>
          <w:rFonts w:ascii="Museo Sans 300" w:hAnsi="Museo Sans 300"/>
          <w:sz w:val="22"/>
          <w:szCs w:val="22"/>
        </w:rPr>
      </w:pPr>
      <w:bookmarkStart w:id="1" w:name="_Hlk36640234"/>
      <w:r w:rsidRPr="00B82B2C">
        <w:rPr>
          <w:rFonts w:ascii="Museo Sans 300" w:hAnsi="Museo Sans 300"/>
          <w:sz w:val="22"/>
          <w:szCs w:val="22"/>
        </w:rPr>
        <w:t>Evaluar, revisar y proponer para aprobación de la Junta Directiva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gestión del riesgo operacional;</w:t>
      </w:r>
      <w:r w:rsidR="00E83918" w:rsidRPr="00B82B2C">
        <w:rPr>
          <w:rFonts w:ascii="Museo Sans 300" w:hAnsi="Museo Sans 300"/>
          <w:sz w:val="22"/>
          <w:szCs w:val="22"/>
        </w:rPr>
        <w:t xml:space="preserve"> (3)</w:t>
      </w:r>
    </w:p>
    <w:bookmarkEnd w:id="1"/>
    <w:p w14:paraId="787F6A9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Supervisar que la gestión del riesgo operacional sea efectiva y que los eventos de riesgos sean consistentemente identificados, evaluados, mitigados y monitoreados;</w:t>
      </w:r>
    </w:p>
    <w:p w14:paraId="4B29B5C4"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 xml:space="preserve">Proponer los mecanismos para la implementación de las acciones correctivas requeridas en caso de que existan desviaciones con respecto al nivel de tolerancia al riesgo operacional; </w:t>
      </w:r>
    </w:p>
    <w:p w14:paraId="1A2F0AF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Aprobar las metodologías de gestión del riesgo operacional; y</w:t>
      </w:r>
    </w:p>
    <w:p w14:paraId="19C4EC71"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Apoyar la labor de la Unidad de Gestión de Riesgos en la implementación de la gestión de riesgo operacional.</w:t>
      </w:r>
    </w:p>
    <w:p w14:paraId="0606EE5E" w14:textId="77777777" w:rsidR="00022EBA" w:rsidRPr="00B82B2C" w:rsidRDefault="00022EBA" w:rsidP="00C31CFE">
      <w:pPr>
        <w:pStyle w:val="Textoindependiente"/>
        <w:rPr>
          <w:rFonts w:ascii="Museo Sans 300" w:hAnsi="Museo Sans 300"/>
          <w:sz w:val="22"/>
          <w:szCs w:val="22"/>
        </w:rPr>
      </w:pPr>
    </w:p>
    <w:p w14:paraId="10E083A5" w14:textId="77777777" w:rsidR="00C31CFE" w:rsidRPr="00B82B2C" w:rsidRDefault="00C31CFE" w:rsidP="00C31CFE">
      <w:pPr>
        <w:pStyle w:val="Textoindependiente"/>
        <w:rPr>
          <w:rFonts w:ascii="Museo Sans 300" w:hAnsi="Museo Sans 300"/>
          <w:sz w:val="22"/>
          <w:szCs w:val="22"/>
        </w:rPr>
      </w:pPr>
      <w:bookmarkStart w:id="2" w:name="_Hlk36643164"/>
      <w:r w:rsidRPr="00B82B2C">
        <w:rPr>
          <w:rFonts w:ascii="Museo Sans 300" w:hAnsi="Museo Sans 300"/>
          <w:b/>
          <w:sz w:val="22"/>
          <w:szCs w:val="22"/>
        </w:rPr>
        <w:t>Alta Gerencia</w:t>
      </w:r>
    </w:p>
    <w:p w14:paraId="10270013" w14:textId="0DCA574A" w:rsidR="00C31CFE" w:rsidRPr="00B82B2C" w:rsidRDefault="00C31CFE" w:rsidP="00ED2785">
      <w:pPr>
        <w:pStyle w:val="Textoindependiente"/>
        <w:rPr>
          <w:rFonts w:ascii="Museo Sans 300" w:hAnsi="Museo Sans 300"/>
          <w:b/>
          <w:sz w:val="22"/>
          <w:szCs w:val="22"/>
        </w:rPr>
      </w:pPr>
      <w:r w:rsidRPr="00B82B2C">
        <w:rPr>
          <w:rFonts w:ascii="Museo Sans 300" w:hAnsi="Museo Sans 300"/>
          <w:b/>
          <w:sz w:val="22"/>
          <w:szCs w:val="22"/>
        </w:rPr>
        <w:t>Art. 8.-</w:t>
      </w:r>
      <w:r w:rsidRPr="00B82B2C">
        <w:rPr>
          <w:rFonts w:ascii="Museo Sans 300" w:hAnsi="Museo Sans 300"/>
          <w:sz w:val="22"/>
          <w:szCs w:val="22"/>
        </w:rPr>
        <w:t xml:space="preserve"> La Alta Gerencia es</w:t>
      </w:r>
      <w:r w:rsidR="00ED2785" w:rsidRPr="00B82B2C">
        <w:rPr>
          <w:rFonts w:ascii="Museo Sans 300" w:hAnsi="Museo Sans 300"/>
          <w:sz w:val="22"/>
          <w:szCs w:val="22"/>
        </w:rPr>
        <w:t xml:space="preserve"> </w:t>
      </w:r>
      <w:r w:rsidRPr="00B82B2C">
        <w:rPr>
          <w:rFonts w:ascii="Museo Sans 300" w:hAnsi="Museo Sans 300"/>
          <w:sz w:val="22"/>
          <w:szCs w:val="22"/>
        </w:rPr>
        <w:t>la responsable de la implementación de la gestión del riesgo operacional, de las estrategias, políticas</w:t>
      </w:r>
      <w:r w:rsidR="00AF70A1" w:rsidRPr="00B82B2C">
        <w:rPr>
          <w:rFonts w:ascii="Museo Sans 300" w:hAnsi="Museo Sans 300"/>
          <w:sz w:val="22"/>
          <w:szCs w:val="22"/>
        </w:rPr>
        <w:t xml:space="preserve"> y </w:t>
      </w:r>
      <w:r w:rsidRPr="00B82B2C">
        <w:rPr>
          <w:rFonts w:ascii="Museo Sans 300" w:hAnsi="Museo Sans 300"/>
          <w:sz w:val="22"/>
          <w:szCs w:val="22"/>
        </w:rPr>
        <w:t>manuales, autorizados</w:t>
      </w:r>
      <w:r w:rsidR="00ED2785" w:rsidRPr="00B82B2C">
        <w:rPr>
          <w:rFonts w:ascii="Museo Sans 300" w:hAnsi="Museo Sans 300"/>
          <w:sz w:val="22"/>
          <w:szCs w:val="22"/>
        </w:rPr>
        <w:t xml:space="preserve"> </w:t>
      </w:r>
      <w:r w:rsidRPr="00B82B2C">
        <w:rPr>
          <w:rFonts w:ascii="Museo Sans 300" w:hAnsi="Museo Sans 300"/>
          <w:sz w:val="22"/>
          <w:szCs w:val="22"/>
        </w:rPr>
        <w:t>por la Junta Directiva</w:t>
      </w:r>
      <w:r w:rsidR="00ED2785" w:rsidRPr="00B82B2C">
        <w:rPr>
          <w:rFonts w:ascii="Museo Sans 300" w:hAnsi="Museo Sans 300"/>
          <w:sz w:val="22"/>
          <w:szCs w:val="22"/>
        </w:rPr>
        <w:t>.</w:t>
      </w:r>
      <w:bookmarkEnd w:id="2"/>
      <w:r w:rsidR="00ED2785" w:rsidRPr="00B82B2C">
        <w:rPr>
          <w:rFonts w:ascii="Museo Sans 300" w:hAnsi="Museo Sans 300"/>
          <w:sz w:val="22"/>
          <w:szCs w:val="22"/>
        </w:rPr>
        <w:t xml:space="preserve"> </w:t>
      </w:r>
      <w:r w:rsidR="00AF70A1" w:rsidRPr="00B82B2C">
        <w:rPr>
          <w:rFonts w:ascii="Museo Sans 300" w:hAnsi="Museo Sans 300"/>
          <w:sz w:val="22"/>
          <w:szCs w:val="22"/>
        </w:rPr>
        <w:t>(3)</w:t>
      </w:r>
    </w:p>
    <w:p w14:paraId="433A960B" w14:textId="7995D3EA" w:rsidR="00C31CFE" w:rsidRPr="00B82B2C" w:rsidRDefault="00C31CFE" w:rsidP="00C31CFE">
      <w:pPr>
        <w:pStyle w:val="Textoindependiente"/>
        <w:rPr>
          <w:rFonts w:ascii="Museo Sans 300" w:hAnsi="Museo Sans 300"/>
          <w:b/>
          <w:sz w:val="22"/>
          <w:szCs w:val="22"/>
        </w:rPr>
      </w:pPr>
    </w:p>
    <w:p w14:paraId="399B063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Unidad de Riesgos</w:t>
      </w:r>
    </w:p>
    <w:p w14:paraId="0B4ABDEF" w14:textId="63D956D3"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9.- </w:t>
      </w:r>
      <w:r w:rsidRPr="00B82B2C">
        <w:rPr>
          <w:rFonts w:ascii="Museo Sans 300" w:hAnsi="Museo Sans 300"/>
          <w:sz w:val="22"/>
          <w:szCs w:val="22"/>
        </w:rPr>
        <w:t xml:space="preserve">La Unidad de Riesgos es la encargada de </w:t>
      </w:r>
      <w:r w:rsidRPr="00B82B2C">
        <w:rPr>
          <w:rFonts w:ascii="Museo Sans 300" w:hAnsi="Museo Sans 300"/>
          <w:sz w:val="22"/>
          <w:szCs w:val="22"/>
          <w:lang w:val="es-MX"/>
        </w:rPr>
        <w:t>implementar</w:t>
      </w:r>
      <w:r w:rsidRPr="00B82B2C">
        <w:rPr>
          <w:rFonts w:ascii="Museo Sans 300" w:hAnsi="Museo Sans 300" w:cs="Arial"/>
          <w:sz w:val="22"/>
          <w:szCs w:val="22"/>
          <w:lang w:val="es-MX"/>
        </w:rPr>
        <w:t xml:space="preserve"> </w:t>
      </w:r>
      <w:r w:rsidRPr="00B82B2C">
        <w:rPr>
          <w:rFonts w:ascii="Museo Sans 300" w:hAnsi="Museo Sans 300"/>
          <w:sz w:val="22"/>
          <w:szCs w:val="22"/>
        </w:rPr>
        <w:t xml:space="preserve">la metodología de gestión de riesgo operacional, por lo que deberá: </w:t>
      </w:r>
    </w:p>
    <w:p w14:paraId="3D48777D" w14:textId="2BAF3336" w:rsidR="00C31CFE" w:rsidRPr="00B82B2C" w:rsidRDefault="00C31CFE" w:rsidP="00ED2785">
      <w:pPr>
        <w:numPr>
          <w:ilvl w:val="0"/>
          <w:numId w:val="8"/>
        </w:numPr>
        <w:ind w:left="425" w:hanging="425"/>
        <w:jc w:val="both"/>
        <w:rPr>
          <w:rFonts w:ascii="Museo Sans 300" w:hAnsi="Museo Sans 300"/>
          <w:sz w:val="22"/>
          <w:szCs w:val="22"/>
          <w:lang w:val="es-MX"/>
        </w:rPr>
      </w:pPr>
      <w:bookmarkStart w:id="3" w:name="_Hlk36640428"/>
      <w:r w:rsidRPr="00B82B2C">
        <w:rPr>
          <w:rFonts w:ascii="Museo Sans 300" w:hAnsi="Museo Sans 300"/>
          <w:sz w:val="22"/>
          <w:szCs w:val="22"/>
          <w:lang w:val="es-MX"/>
        </w:rPr>
        <w:t>Diseñar y someter a la aprobación de la Junta Directiva, a través del Comité de Riesgos, las estrategias, políticas</w:t>
      </w:r>
      <w:r w:rsidR="00E83918" w:rsidRPr="00B82B2C">
        <w:rPr>
          <w:rFonts w:ascii="Museo Sans 300" w:hAnsi="Museo Sans 300"/>
          <w:sz w:val="22"/>
          <w:szCs w:val="22"/>
          <w:lang w:val="es-MX"/>
        </w:rPr>
        <w:t xml:space="preserve"> y </w:t>
      </w:r>
      <w:r w:rsidRPr="00B82B2C">
        <w:rPr>
          <w:rFonts w:ascii="Museo Sans 300" w:hAnsi="Museo Sans 300"/>
          <w:sz w:val="22"/>
          <w:szCs w:val="22"/>
          <w:lang w:val="es-MX"/>
        </w:rPr>
        <w:t>manuales para la gestión del riesgo operacional;</w:t>
      </w:r>
      <w:r w:rsidR="00E83918" w:rsidRPr="00B82B2C">
        <w:rPr>
          <w:rFonts w:ascii="Museo Sans 300" w:hAnsi="Museo Sans 300"/>
          <w:sz w:val="22"/>
          <w:szCs w:val="22"/>
          <w:lang w:val="es-MX"/>
        </w:rPr>
        <w:t xml:space="preserve"> </w:t>
      </w:r>
      <w:r w:rsidR="00E83918" w:rsidRPr="00B82B2C">
        <w:rPr>
          <w:rFonts w:ascii="Museo Sans 300" w:hAnsi="Museo Sans 300"/>
          <w:sz w:val="22"/>
          <w:szCs w:val="22"/>
        </w:rPr>
        <w:t>(3)</w:t>
      </w:r>
    </w:p>
    <w:bookmarkEnd w:id="3"/>
    <w:p w14:paraId="201CDDBD"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Diseñar y someter a la aprobación del Comité de Riesgos la metodología para la gestión del riesgo operacional;</w:t>
      </w:r>
    </w:p>
    <w:p w14:paraId="0E7361A6"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Apoyar y asistir a las demás unidades de gestión para la implementación de la metodología del riesgo operacional;</w:t>
      </w:r>
    </w:p>
    <w:p w14:paraId="7B75C371" w14:textId="79756899" w:rsidR="00C31CFE" w:rsidRPr="00B82B2C" w:rsidRDefault="00C31CFE" w:rsidP="00ED2785">
      <w:pPr>
        <w:pStyle w:val="Prrafodelista"/>
        <w:numPr>
          <w:ilvl w:val="0"/>
          <w:numId w:val="8"/>
        </w:numPr>
        <w:ind w:left="425" w:hanging="425"/>
        <w:jc w:val="both"/>
        <w:rPr>
          <w:rFonts w:ascii="Museo Sans 300" w:hAnsi="Museo Sans 300"/>
          <w:sz w:val="22"/>
          <w:szCs w:val="22"/>
        </w:rPr>
      </w:pPr>
      <w:r w:rsidRPr="00B82B2C">
        <w:rPr>
          <w:rFonts w:ascii="Museo Sans 300" w:hAnsi="Museo Sans 300"/>
          <w:sz w:val="22"/>
          <w:szCs w:val="22"/>
        </w:rPr>
        <w:t>Elaborar una opinión sobre el riesgo de nuevos productos o servicios, previo a su lanzamiento; así como también ante cambios importantes en el ambiente operacional</w:t>
      </w:r>
      <w:r w:rsidR="00ED2785" w:rsidRPr="00B82B2C">
        <w:rPr>
          <w:rFonts w:ascii="Museo Sans 300" w:hAnsi="Museo Sans 300"/>
          <w:color w:val="FF0000"/>
          <w:sz w:val="22"/>
          <w:szCs w:val="22"/>
        </w:rPr>
        <w:t xml:space="preserve"> </w:t>
      </w:r>
      <w:r w:rsidRPr="00B82B2C">
        <w:rPr>
          <w:rFonts w:ascii="Museo Sans 300" w:hAnsi="Museo Sans 300"/>
          <w:sz w:val="22"/>
          <w:szCs w:val="22"/>
        </w:rPr>
        <w:t>o informático</w:t>
      </w:r>
      <w:r w:rsidR="00022EBA">
        <w:rPr>
          <w:rFonts w:ascii="Museo Sans 300" w:hAnsi="Museo Sans 300"/>
          <w:sz w:val="22"/>
          <w:szCs w:val="22"/>
        </w:rPr>
        <w:t>;</w:t>
      </w:r>
      <w:r w:rsidRPr="00B82B2C">
        <w:rPr>
          <w:rFonts w:ascii="Museo Sans 300" w:hAnsi="Museo Sans 300"/>
          <w:sz w:val="22"/>
          <w:szCs w:val="22"/>
        </w:rPr>
        <w:t xml:space="preserve"> y</w:t>
      </w:r>
    </w:p>
    <w:p w14:paraId="6FD7B158"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eastAsiaTheme="minorHAnsi" w:hAnsi="Museo Sans 300"/>
          <w:sz w:val="22"/>
          <w:szCs w:val="22"/>
          <w:lang w:val="es-HN" w:eastAsia="en-US"/>
        </w:rPr>
        <w:t xml:space="preserve">Reportar </w:t>
      </w:r>
      <w:r w:rsidRPr="00B82B2C">
        <w:rPr>
          <w:rFonts w:ascii="Museo Sans 300" w:hAnsi="Museo Sans 300"/>
          <w:sz w:val="22"/>
          <w:szCs w:val="22"/>
          <w:lang w:val="es-MX"/>
        </w:rPr>
        <w:t>oportunamente</w:t>
      </w:r>
      <w:r w:rsidRPr="00B82B2C">
        <w:rPr>
          <w:rFonts w:ascii="Museo Sans 300" w:eastAsiaTheme="minorHAnsi" w:hAnsi="Museo Sans 300"/>
          <w:sz w:val="22"/>
          <w:szCs w:val="22"/>
          <w:lang w:val="es-HN" w:eastAsia="en-US"/>
        </w:rPr>
        <w:t xml:space="preserve"> y de forma completa y detallada las fallas en los diferentes factores de riesgo operacional a la Junta Directiva a través del Comité de Riesgos.</w:t>
      </w:r>
    </w:p>
    <w:p w14:paraId="1F0EC658" w14:textId="77777777" w:rsidR="00BE4254" w:rsidRPr="00B82B2C" w:rsidRDefault="00BE4254" w:rsidP="00C31CFE">
      <w:pPr>
        <w:pStyle w:val="Textoindependiente"/>
        <w:ind w:left="425" w:hanging="425"/>
        <w:rPr>
          <w:rFonts w:ascii="Museo Sans 300" w:hAnsi="Museo Sans 300"/>
          <w:b/>
          <w:sz w:val="22"/>
          <w:szCs w:val="22"/>
        </w:rPr>
      </w:pPr>
    </w:p>
    <w:p w14:paraId="745ECB7C"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Auditoría Interna</w:t>
      </w:r>
    </w:p>
    <w:p w14:paraId="73B15A2A" w14:textId="2E172AF5" w:rsidR="00C31CFE" w:rsidRDefault="00C31CFE" w:rsidP="00C31CFE">
      <w:pPr>
        <w:autoSpaceDE w:val="0"/>
        <w:autoSpaceDN w:val="0"/>
        <w:adjustRightInd w:val="0"/>
        <w:jc w:val="both"/>
        <w:rPr>
          <w:rFonts w:ascii="Museo Sans 300" w:hAnsi="Museo Sans 300"/>
          <w:sz w:val="22"/>
          <w:szCs w:val="22"/>
          <w:lang w:val="es-MX"/>
        </w:rPr>
      </w:pPr>
      <w:r w:rsidRPr="00B82B2C">
        <w:rPr>
          <w:rFonts w:ascii="Museo Sans 300" w:hAnsi="Museo Sans 300"/>
          <w:b/>
          <w:sz w:val="22"/>
          <w:szCs w:val="22"/>
          <w:lang w:val="es-MX"/>
        </w:rPr>
        <w:t>Art. 10.-</w:t>
      </w:r>
      <w:r w:rsidRPr="00B82B2C">
        <w:rPr>
          <w:rFonts w:ascii="Museo Sans 300" w:hAnsi="Museo Sans 300"/>
          <w:sz w:val="22"/>
          <w:szCs w:val="22"/>
          <w:lang w:val="es-MX"/>
        </w:rPr>
        <w:t xml:space="preserve"> La Auditoría Interna debe evaluar el cumplimiento de los procedimientos utilizados para la gestión del riesgo operacional y dar seguimiento al cumplimiento del plan de trabajo de la Unidad de Riesgo, lo que involucra todo lo dispuesto en las presentes Normas.</w:t>
      </w:r>
    </w:p>
    <w:p w14:paraId="49D7C2E2" w14:textId="77777777" w:rsidR="005E7A77" w:rsidRPr="00B82B2C" w:rsidRDefault="005E7A77" w:rsidP="00C31CFE">
      <w:pPr>
        <w:autoSpaceDE w:val="0"/>
        <w:autoSpaceDN w:val="0"/>
        <w:adjustRightInd w:val="0"/>
        <w:jc w:val="both"/>
        <w:rPr>
          <w:rFonts w:ascii="Museo Sans 300" w:eastAsiaTheme="minorHAnsi" w:hAnsi="Museo Sans 300" w:cs="Arial"/>
          <w:sz w:val="22"/>
          <w:szCs w:val="22"/>
          <w:lang w:val="es-HN" w:eastAsia="en-US"/>
        </w:rPr>
      </w:pPr>
    </w:p>
    <w:p w14:paraId="3AC3604E"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Etapas de la gestión </w:t>
      </w:r>
    </w:p>
    <w:p w14:paraId="74525498" w14:textId="42635FB6"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11</w:t>
      </w:r>
      <w:r w:rsidRPr="00B82B2C">
        <w:rPr>
          <w:rFonts w:ascii="Museo Sans 300" w:hAnsi="Museo Sans 300"/>
          <w:sz w:val="22"/>
          <w:szCs w:val="22"/>
        </w:rPr>
        <w:t xml:space="preserve">- Para la gestión del riesgo operacional las entidades deben contar con un proceso </w:t>
      </w:r>
      <w:r w:rsidR="00E7382F" w:rsidRPr="00B82B2C">
        <w:rPr>
          <w:rFonts w:ascii="Museo Sans 300" w:hAnsi="Museo Sans 300"/>
          <w:sz w:val="22"/>
          <w:szCs w:val="22"/>
        </w:rPr>
        <w:t>continuo</w:t>
      </w:r>
      <w:r w:rsidRPr="00B82B2C">
        <w:rPr>
          <w:rFonts w:ascii="Museo Sans 300" w:hAnsi="Museo Sans 300"/>
          <w:sz w:val="22"/>
          <w:szCs w:val="22"/>
        </w:rPr>
        <w:t xml:space="preserve"> y documentado para: </w:t>
      </w:r>
    </w:p>
    <w:p w14:paraId="0C4902D9"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Identificación: </w:t>
      </w:r>
      <w:r w:rsidRPr="00B82B2C">
        <w:rPr>
          <w:rFonts w:ascii="Museo Sans 300" w:hAnsi="Museo Sans 300"/>
          <w:sz w:val="22"/>
          <w:szCs w:val="22"/>
        </w:rPr>
        <w:t xml:space="preserve">Las entidades deben establecer un proceso de identificación de todos sus eventos de riesgos operacionales agrupándolos de acuerdo a lo establecido en el Anexo No. 1, de tal forma que les permita establecer su mapa de riesgo operacional. </w:t>
      </w:r>
    </w:p>
    <w:p w14:paraId="3C0FA1F2" w14:textId="05EF6AB0"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Asimismo, en el caso de los bancos, bancos cooperativos y sociedades de ahorro y crédito, es conveniente que la identificación de los eventos puedan agruparse, adicionalmente, de acuerdo a las líneas de negocio que la entidad mantiene, tal como se amplía en el Anexo No. 2, y para las sociedades de seguro, tal como se detalla en el Anexo No. 3.</w:t>
      </w:r>
    </w:p>
    <w:p w14:paraId="196E78E6"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Medición: </w:t>
      </w:r>
      <w:r w:rsidRPr="00B82B2C">
        <w:rPr>
          <w:rFonts w:ascii="Museo Sans 300" w:hAnsi="Museo Sans 300"/>
          <w:sz w:val="22"/>
          <w:szCs w:val="22"/>
        </w:rPr>
        <w:t>Las entidades deben estimar o cuantificar el riesgo operacional considerando la probabilidad de ocurrencia y el impacto económico en los resultados de la entidad. Esta cuantificación es esencial para la entidad porque en función a ellas se establecen las medidas de control y mitigación que buscan minimizar pérdidas por este riesgo.</w:t>
      </w:r>
    </w:p>
    <w:p w14:paraId="09C17D43" w14:textId="68374459"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Las metodologías y herramientas para estimar o cuantificar el riesgo operacional deben estar de conformidad con el tamaño, naturaleza de los niveles de riesgos asumidos por la entidad y volumen de sus operaciones.</w:t>
      </w:r>
    </w:p>
    <w:p w14:paraId="19E73820"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Control y mitigación: </w:t>
      </w:r>
      <w:r w:rsidRPr="00B82B2C">
        <w:rPr>
          <w:rFonts w:ascii="Museo Sans 300" w:hAnsi="Museo Sans 300"/>
          <w:sz w:val="22"/>
          <w:szCs w:val="22"/>
        </w:rPr>
        <w:t>Se refiere a las acciones o mecanismos de cobertura y control implementados por la entidad con la finalidad de prevenir o reducir los efectos negativos en caso de materializarse los eventos adversos de riesgo operacional.</w:t>
      </w:r>
    </w:p>
    <w:p w14:paraId="5B28FDA0" w14:textId="13515B2E" w:rsidR="00C31CFE" w:rsidRPr="00B82B2C" w:rsidRDefault="00C31CFE" w:rsidP="00357877">
      <w:pPr>
        <w:pStyle w:val="Textoindependiente"/>
        <w:ind w:left="425"/>
        <w:rPr>
          <w:rFonts w:ascii="Museo Sans 300" w:hAnsi="Museo Sans 300"/>
          <w:sz w:val="22"/>
          <w:szCs w:val="22"/>
        </w:rPr>
      </w:pPr>
      <w:r w:rsidRPr="00B82B2C">
        <w:rPr>
          <w:rFonts w:ascii="Museo Sans 300" w:hAnsi="Museo Sans 300"/>
          <w:sz w:val="22"/>
          <w:szCs w:val="22"/>
        </w:rPr>
        <w:t>Debe establecerse un plan de acción para implementar</w:t>
      </w:r>
      <w:r w:rsidR="00ED2785" w:rsidRPr="00B82B2C">
        <w:rPr>
          <w:rFonts w:ascii="Museo Sans 300" w:hAnsi="Museo Sans 300"/>
          <w:sz w:val="22"/>
          <w:szCs w:val="22"/>
        </w:rPr>
        <w:t xml:space="preserve"> </w:t>
      </w:r>
      <w:r w:rsidRPr="00B82B2C">
        <w:rPr>
          <w:rFonts w:ascii="Museo Sans 300" w:hAnsi="Museo Sans 300"/>
          <w:sz w:val="22"/>
          <w:szCs w:val="22"/>
        </w:rPr>
        <w:t>medidas que busquen mitigar los eventos de riesgo identificados. Este plan debe detallar las acciones a implementar, el plazo estimado de ejecución y los responsables directos de dicha ejecución.</w:t>
      </w:r>
    </w:p>
    <w:p w14:paraId="0B03DD11"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Monitoreo y comunicación: </w:t>
      </w:r>
      <w:r w:rsidRPr="00B82B2C">
        <w:rPr>
          <w:rFonts w:ascii="Museo Sans 300" w:hAnsi="Museo Sans 300"/>
          <w:sz w:val="22"/>
          <w:szCs w:val="22"/>
        </w:rPr>
        <w:t xml:space="preserve">Las entidades deben dar seguimiento sistemático y oportuno a los eventos de riesgo operacional, así como a los resultados de las acciones adoptadas. </w:t>
      </w:r>
    </w:p>
    <w:p w14:paraId="1518ED68" w14:textId="5633B8CB"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El seguimiento deberá asegurar una</w:t>
      </w:r>
      <w:r w:rsidR="00ED2785" w:rsidRPr="00B82B2C">
        <w:rPr>
          <w:rFonts w:ascii="Museo Sans 300" w:hAnsi="Museo Sans 300"/>
          <w:sz w:val="22"/>
          <w:szCs w:val="22"/>
        </w:rPr>
        <w:t xml:space="preserve"> </w:t>
      </w:r>
      <w:r w:rsidR="00C31CFE" w:rsidRPr="00B82B2C">
        <w:rPr>
          <w:rFonts w:ascii="Museo Sans 300" w:hAnsi="Museo Sans 300"/>
          <w:sz w:val="22"/>
          <w:szCs w:val="22"/>
        </w:rPr>
        <w:t>revisión periódica y la generación de información suficiente para apoyar los procesos de toma de decisiones.</w:t>
      </w:r>
    </w:p>
    <w:p w14:paraId="78585C09" w14:textId="77777777" w:rsidR="00C31CFE" w:rsidRPr="00B82B2C" w:rsidRDefault="00C31CFE" w:rsidP="00C31CFE">
      <w:pPr>
        <w:tabs>
          <w:tab w:val="left" w:pos="720"/>
        </w:tabs>
        <w:ind w:left="425" w:hanging="425"/>
        <w:jc w:val="both"/>
        <w:rPr>
          <w:rFonts w:ascii="Museo Sans 300" w:hAnsi="Museo Sans 300"/>
          <w:sz w:val="22"/>
          <w:szCs w:val="22"/>
        </w:rPr>
      </w:pPr>
    </w:p>
    <w:p w14:paraId="70CFBA61" w14:textId="77777777" w:rsidR="00C31CFE" w:rsidRPr="00B82B2C" w:rsidRDefault="00C31CFE" w:rsidP="00ED2785">
      <w:pPr>
        <w:spacing w:after="120"/>
        <w:ind w:left="425" w:firstLine="1"/>
        <w:jc w:val="both"/>
        <w:rPr>
          <w:rFonts w:ascii="Museo Sans 300" w:hAnsi="Museo Sans 300"/>
          <w:sz w:val="22"/>
          <w:szCs w:val="22"/>
        </w:rPr>
      </w:pPr>
      <w:r w:rsidRPr="00B82B2C">
        <w:rPr>
          <w:rFonts w:ascii="Museo Sans 300" w:hAnsi="Museo Sans 300"/>
          <w:sz w:val="22"/>
          <w:szCs w:val="22"/>
        </w:rPr>
        <w:t>Las entidades deben realizar un monitoreo permanente de su mapa de riesgos y exposición a pérdidas por riesgo operacional, debiendo cumplir como mínimo con los siguientes aspectos:</w:t>
      </w:r>
    </w:p>
    <w:p w14:paraId="3F559601"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Desarrollar procesos de seguimiento efectivo y permanente que permitan la rápida detección y corrección de las deficiencias;</w:t>
      </w:r>
    </w:p>
    <w:p w14:paraId="51688ACA"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Establecer indicadores que evidencien potenciales riesgos operacionales;</w:t>
      </w:r>
    </w:p>
    <w:p w14:paraId="32A14CD6"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 xml:space="preserve">Asegurar que los controles internos establecidos se encuentren funcionando en forma efectiva y eficiente; y </w:t>
      </w:r>
    </w:p>
    <w:p w14:paraId="710D8555" w14:textId="34446FB4"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Asegurar que los riesgos residuales se encuentren bajo el nivel de tolerancia establecido por cada entidad.</w:t>
      </w:r>
      <w:r w:rsidR="00ED2785" w:rsidRPr="00B82B2C">
        <w:rPr>
          <w:rFonts w:ascii="Museo Sans 300" w:hAnsi="Museo Sans 300"/>
          <w:sz w:val="22"/>
          <w:szCs w:val="22"/>
        </w:rPr>
        <w:t xml:space="preserve"> </w:t>
      </w:r>
    </w:p>
    <w:p w14:paraId="2EC0F4AF" w14:textId="77777777" w:rsidR="00C31CFE" w:rsidRPr="00B82B2C" w:rsidRDefault="00C31CFE" w:rsidP="00C31CFE">
      <w:pPr>
        <w:jc w:val="center"/>
        <w:rPr>
          <w:rFonts w:ascii="Museo Sans 300" w:hAnsi="Museo Sans 300"/>
          <w:sz w:val="22"/>
          <w:szCs w:val="22"/>
        </w:rPr>
      </w:pPr>
    </w:p>
    <w:p w14:paraId="3B779925" w14:textId="1D433BA9" w:rsidR="00C31CFE" w:rsidRDefault="00C31CFE" w:rsidP="00ED2785">
      <w:pPr>
        <w:tabs>
          <w:tab w:val="left" w:pos="284"/>
        </w:tabs>
        <w:ind w:left="425" w:firstLine="1"/>
        <w:jc w:val="both"/>
        <w:rPr>
          <w:rFonts w:ascii="Museo Sans 300" w:hAnsi="Museo Sans 300"/>
          <w:sz w:val="22"/>
          <w:szCs w:val="22"/>
          <w:lang w:val="es-MX"/>
        </w:rPr>
      </w:pPr>
      <w:r w:rsidRPr="00B82B2C">
        <w:rPr>
          <w:rFonts w:ascii="Museo Sans 300" w:hAnsi="Museo Sans 300"/>
          <w:sz w:val="22"/>
          <w:szCs w:val="22"/>
          <w:lang w:val="es-MX"/>
        </w:rPr>
        <w:t xml:space="preserve">La entidad debe contar con sistemas de información gerencial y bases de datos estadísticas que posibiliten la generación de información oportuna, confiable, consistente y homogénea para los reportes periódicos a la Junta Directiva, Comité de Riesgos y/o Alta Gerencia, así como a otros interesados responsables de la toma de decisiones en la gestión del riesgo operacional. </w:t>
      </w:r>
    </w:p>
    <w:p w14:paraId="375482E9" w14:textId="77777777" w:rsidR="00A42A84" w:rsidRPr="00B82B2C" w:rsidRDefault="00A42A84" w:rsidP="00ED2785">
      <w:pPr>
        <w:tabs>
          <w:tab w:val="left" w:pos="284"/>
        </w:tabs>
        <w:ind w:left="425" w:firstLine="1"/>
        <w:jc w:val="both"/>
        <w:rPr>
          <w:rFonts w:ascii="Museo Sans 300" w:hAnsi="Museo Sans 300"/>
          <w:sz w:val="22"/>
          <w:szCs w:val="22"/>
          <w:lang w:val="es-MX"/>
        </w:rPr>
      </w:pPr>
    </w:p>
    <w:p w14:paraId="4C33B546"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Políticas</w:t>
      </w:r>
    </w:p>
    <w:p w14:paraId="76BE0ED3" w14:textId="77777777" w:rsidR="00C31CFE" w:rsidRPr="00B82B2C" w:rsidRDefault="00C31CFE" w:rsidP="00ED2785">
      <w:pPr>
        <w:jc w:val="both"/>
        <w:rPr>
          <w:rFonts w:ascii="Museo Sans 300" w:hAnsi="Museo Sans 300"/>
          <w:sz w:val="22"/>
          <w:szCs w:val="22"/>
          <w:lang w:val="es-MX"/>
        </w:rPr>
      </w:pPr>
      <w:r w:rsidRPr="00B82B2C">
        <w:rPr>
          <w:rFonts w:ascii="Museo Sans 300" w:hAnsi="Museo Sans 300"/>
          <w:b/>
          <w:sz w:val="22"/>
          <w:szCs w:val="22"/>
          <w:lang w:val="es-MX"/>
        </w:rPr>
        <w:t>Art. 12.-</w:t>
      </w:r>
      <w:r w:rsidRPr="00B82B2C">
        <w:rPr>
          <w:rFonts w:ascii="Museo Sans 300" w:hAnsi="Museo Sans 300"/>
          <w:sz w:val="22"/>
          <w:szCs w:val="22"/>
          <w:lang w:val="es-MX"/>
        </w:rPr>
        <w:t xml:space="preserve"> Las entidades deben contar con políticas para definir el marco de gestión del riesgo operacional, que les permita reducir su vulnerabilidad y pérdidas por dicho riesgo e impulsar a nivel de toda la organización la cultura de prevención y control de este riesgo, asegurando el cumplimiento de las normas internas y externas relacionadas al mismo. </w:t>
      </w:r>
    </w:p>
    <w:p w14:paraId="744BB108" w14:textId="77777777" w:rsidR="00C31CFE" w:rsidRPr="00B82B2C" w:rsidRDefault="00C31CFE" w:rsidP="00C31CFE">
      <w:pPr>
        <w:pStyle w:val="Textoindependiente"/>
        <w:ind w:firstLine="708"/>
        <w:rPr>
          <w:rFonts w:ascii="Museo Sans 300" w:hAnsi="Museo Sans 300"/>
          <w:b/>
          <w:sz w:val="22"/>
          <w:szCs w:val="22"/>
        </w:rPr>
      </w:pPr>
    </w:p>
    <w:p w14:paraId="16D36DD4" w14:textId="5CFA34FB"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políticas de gestión del riesgo operacional deben considerar, entre otros aspectos, la categorización de eventos de pérdida, las funciones y responsabilidades en la gestión del riesgo operacional, criterios de identificación, medición,</w:t>
      </w:r>
      <w:r w:rsidR="00ED2785" w:rsidRPr="00B82B2C">
        <w:rPr>
          <w:rFonts w:ascii="Museo Sans 300" w:hAnsi="Museo Sans 300"/>
          <w:sz w:val="22"/>
          <w:szCs w:val="22"/>
        </w:rPr>
        <w:t xml:space="preserve"> </w:t>
      </w:r>
      <w:r w:rsidRPr="00B82B2C">
        <w:rPr>
          <w:rFonts w:ascii="Museo Sans 300" w:hAnsi="Museo Sans 300"/>
          <w:sz w:val="22"/>
          <w:szCs w:val="22"/>
        </w:rPr>
        <w:t>control, mitigación y sistemas de información para la gestión del riesgo operacional</w:t>
      </w:r>
    </w:p>
    <w:p w14:paraId="5315B92B" w14:textId="77777777" w:rsidR="00093257" w:rsidRPr="00B82B2C" w:rsidRDefault="00093257" w:rsidP="00C31CFE">
      <w:pPr>
        <w:pStyle w:val="Textoindependiente"/>
        <w:rPr>
          <w:rFonts w:ascii="Museo Sans 300" w:hAnsi="Museo Sans 300"/>
          <w:sz w:val="22"/>
          <w:szCs w:val="22"/>
        </w:rPr>
      </w:pPr>
    </w:p>
    <w:p w14:paraId="6D42C168"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Manual de gestión de riesgo operacional</w:t>
      </w:r>
    </w:p>
    <w:p w14:paraId="35029490" w14:textId="77777777"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13.-</w:t>
      </w:r>
      <w:r w:rsidRPr="00B82B2C">
        <w:rPr>
          <w:rFonts w:ascii="Museo Sans 300" w:hAnsi="Museo Sans 300"/>
          <w:sz w:val="22"/>
          <w:szCs w:val="22"/>
        </w:rPr>
        <w:t xml:space="preserve"> Las entidades deben contar con un manual de gestión de riesgo operacional que agrupe las políticas de gestión de este riesgo, las funciones y responsabilidades de las áreas involucradas, la metodología, los procesos asociados y la periodicidad con la que se debe informar a la Junta Directiva y a la Alta Gerencia sobre la exposición al riesgo operacional.</w:t>
      </w:r>
    </w:p>
    <w:p w14:paraId="3F0A33CD" w14:textId="77777777" w:rsidR="00C31CFE" w:rsidRPr="00B82B2C" w:rsidRDefault="00C31CFE" w:rsidP="00C31CFE">
      <w:pPr>
        <w:pStyle w:val="Textoindependiente"/>
        <w:rPr>
          <w:rFonts w:ascii="Museo Sans 300" w:hAnsi="Museo Sans 300"/>
          <w:sz w:val="22"/>
          <w:szCs w:val="22"/>
        </w:rPr>
      </w:pPr>
    </w:p>
    <w:p w14:paraId="0402D21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IV</w:t>
      </w:r>
    </w:p>
    <w:p w14:paraId="7B4292D2" w14:textId="6A2D9C3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DISPOSICIONES GENERALES </w:t>
      </w:r>
    </w:p>
    <w:p w14:paraId="440773A8" w14:textId="77777777" w:rsidR="00C31CFE" w:rsidRPr="00B82B2C" w:rsidRDefault="00C31CFE" w:rsidP="00C31CFE">
      <w:pPr>
        <w:pStyle w:val="Textoindependiente"/>
        <w:jc w:val="center"/>
        <w:rPr>
          <w:rFonts w:ascii="Museo Sans 300" w:hAnsi="Museo Sans 300"/>
          <w:b/>
          <w:sz w:val="22"/>
          <w:szCs w:val="22"/>
        </w:rPr>
      </w:pPr>
    </w:p>
    <w:p w14:paraId="6CECC720"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Prestación de servicios por terceros </w:t>
      </w:r>
    </w:p>
    <w:p w14:paraId="52A00152" w14:textId="77777777" w:rsidR="00C31CFE" w:rsidRPr="00B82B2C" w:rsidRDefault="00C31CFE" w:rsidP="00ED2785">
      <w:pPr>
        <w:pStyle w:val="Textoindependiente"/>
        <w:rPr>
          <w:rFonts w:ascii="Museo Sans 300" w:hAnsi="Museo Sans 300"/>
          <w:sz w:val="22"/>
          <w:szCs w:val="22"/>
        </w:rPr>
      </w:pPr>
      <w:r w:rsidRPr="00B82B2C">
        <w:rPr>
          <w:rFonts w:ascii="Museo Sans 300" w:hAnsi="Museo Sans 300"/>
          <w:b/>
          <w:sz w:val="22"/>
          <w:szCs w:val="22"/>
        </w:rPr>
        <w:t>Art. 14.-</w:t>
      </w:r>
      <w:r w:rsidRPr="00B82B2C">
        <w:rPr>
          <w:rFonts w:ascii="Museo Sans 300" w:hAnsi="Museo Sans 300"/>
          <w:sz w:val="22"/>
          <w:szCs w:val="22"/>
        </w:rPr>
        <w:t xml:space="preserve"> Las entidades deben establecer políticas y procedimientos apropiados para evaluar, administrar y monitorear los servicios críticos brindados por terceros, es decir aquellos que puedan interrumpir el normal desarrollo de las operaciones, definidos en las políticas de cada entidad. </w:t>
      </w:r>
    </w:p>
    <w:p w14:paraId="5F5F99CD"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 </w:t>
      </w:r>
    </w:p>
    <w:p w14:paraId="719C46B4" w14:textId="4821C303" w:rsidR="00C31CFE" w:rsidRPr="00B82B2C" w:rsidRDefault="00C31CFE" w:rsidP="00ED2785">
      <w:pPr>
        <w:pStyle w:val="Textoindependiente"/>
        <w:rPr>
          <w:rFonts w:ascii="Museo Sans 300" w:hAnsi="Museo Sans 300"/>
          <w:sz w:val="22"/>
          <w:szCs w:val="22"/>
        </w:rPr>
      </w:pPr>
      <w:r w:rsidRPr="00B82B2C">
        <w:rPr>
          <w:rFonts w:ascii="Museo Sans 300" w:hAnsi="Museo Sans 300"/>
          <w:sz w:val="22"/>
          <w:szCs w:val="22"/>
        </w:rPr>
        <w:t>La prestación de servicios debe formalizarse mediante contratos firmados, que incluya el alcance del servicio y defina claramente las responsabilidades del proveedor y de la entidad. Asimismo, deben incluir una cláusula que obligue al proveedor a documentar los servicios brindados y le garantice el establecimiento de planes de contingencia y de continuidad del servicio brindado. Además, deben incluirse cláusulas que</w:t>
      </w:r>
      <w:r w:rsidR="00ED2785" w:rsidRPr="00B82B2C">
        <w:rPr>
          <w:rFonts w:ascii="Museo Sans 300" w:hAnsi="Museo Sans 300"/>
          <w:sz w:val="22"/>
          <w:szCs w:val="22"/>
        </w:rPr>
        <w:t xml:space="preserve"> </w:t>
      </w:r>
      <w:r w:rsidRPr="00B82B2C">
        <w:rPr>
          <w:rFonts w:ascii="Museo Sans 300" w:hAnsi="Museo Sans 300"/>
          <w:sz w:val="22"/>
          <w:szCs w:val="22"/>
        </w:rPr>
        <w:t>faciliten una adecuada revisión de la respectiva prestación de servicios por parte de las</w:t>
      </w:r>
      <w:r w:rsidR="00ED2785" w:rsidRPr="00B82B2C">
        <w:rPr>
          <w:rFonts w:ascii="Museo Sans 300" w:hAnsi="Museo Sans 300"/>
          <w:sz w:val="22"/>
          <w:szCs w:val="22"/>
        </w:rPr>
        <w:t xml:space="preserve"> </w:t>
      </w:r>
      <w:r w:rsidRPr="00B82B2C">
        <w:rPr>
          <w:rFonts w:ascii="Museo Sans 300" w:hAnsi="Museo Sans 300"/>
          <w:sz w:val="22"/>
          <w:szCs w:val="22"/>
        </w:rPr>
        <w:t>mismas entidades o eventualmente de la Superintendencia y de otros organismos supervisores.</w:t>
      </w:r>
    </w:p>
    <w:p w14:paraId="19CAA4FF" w14:textId="65524E1E"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Independientemente que determinados servicios sean realizados por terceras partes, las entidades sujetas a estas Normas son las responsables de asegurar el cumplimiento de las disposiciones que le son aplicables. </w:t>
      </w:r>
    </w:p>
    <w:p w14:paraId="65BD913A" w14:textId="77777777" w:rsidR="00B93156" w:rsidRPr="00B82B2C" w:rsidRDefault="00B93156" w:rsidP="00C31CFE">
      <w:pPr>
        <w:pStyle w:val="Textoindependiente"/>
        <w:rPr>
          <w:rFonts w:ascii="Museo Sans 300" w:hAnsi="Museo Sans 300"/>
          <w:b/>
          <w:sz w:val="22"/>
          <w:szCs w:val="22"/>
        </w:rPr>
      </w:pPr>
    </w:p>
    <w:p w14:paraId="0E288083" w14:textId="218BC9CA"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entidades deben contar con un control centralizado de todos los servicios prestados por terceros que como mínimo debe contener el nombre del proveedor, el tipo de servicio, el monto del contrato, contraparte dentro de la entidad y su vigencia. Dicho control debe estar a disposición de la Superintendencia en el momento que ésta lo requiera.</w:t>
      </w:r>
    </w:p>
    <w:p w14:paraId="42D6EC12" w14:textId="77777777" w:rsidR="00C31CFE" w:rsidRPr="00B82B2C" w:rsidRDefault="00C31CFE" w:rsidP="00C31CFE">
      <w:pPr>
        <w:pStyle w:val="Textoindependiente"/>
        <w:rPr>
          <w:rFonts w:ascii="Museo Sans 300" w:hAnsi="Museo Sans 300"/>
          <w:b/>
          <w:sz w:val="22"/>
          <w:szCs w:val="22"/>
        </w:rPr>
      </w:pPr>
    </w:p>
    <w:p w14:paraId="4A2B3725" w14:textId="77777777" w:rsidR="00C31CFE" w:rsidRPr="00B82B2C" w:rsidRDefault="00C31CFE" w:rsidP="00C31CFE">
      <w:pPr>
        <w:autoSpaceDE w:val="0"/>
        <w:autoSpaceDN w:val="0"/>
        <w:adjustRightInd w:val="0"/>
        <w:rPr>
          <w:rFonts w:ascii="Museo Sans 300" w:hAnsi="Museo Sans 300"/>
          <w:b/>
          <w:bCs/>
          <w:sz w:val="22"/>
          <w:szCs w:val="22"/>
          <w:lang w:val="es-SV" w:eastAsia="es-SV"/>
        </w:rPr>
      </w:pPr>
      <w:r w:rsidRPr="00B82B2C">
        <w:rPr>
          <w:rFonts w:ascii="Museo Sans 300" w:hAnsi="Museo Sans 300"/>
          <w:b/>
          <w:bCs/>
          <w:sz w:val="22"/>
          <w:szCs w:val="22"/>
          <w:lang w:val="es-SV" w:eastAsia="es-SV"/>
        </w:rPr>
        <w:t xml:space="preserve">Riesgo legal </w:t>
      </w:r>
    </w:p>
    <w:p w14:paraId="76EF60A7" w14:textId="48DCB065" w:rsidR="00C31CFE" w:rsidRPr="00B82B2C" w:rsidRDefault="00C31CFE" w:rsidP="00ED2785">
      <w:pPr>
        <w:autoSpaceDE w:val="0"/>
        <w:autoSpaceDN w:val="0"/>
        <w:adjustRightInd w:val="0"/>
        <w:jc w:val="both"/>
        <w:rPr>
          <w:rFonts w:ascii="Museo Sans 300" w:hAnsi="Museo Sans 300"/>
          <w:sz w:val="22"/>
          <w:szCs w:val="22"/>
        </w:rPr>
      </w:pPr>
      <w:r w:rsidRPr="00B82B2C">
        <w:rPr>
          <w:rFonts w:ascii="Museo Sans 300" w:hAnsi="Museo Sans 300"/>
          <w:b/>
          <w:bCs/>
          <w:sz w:val="22"/>
          <w:szCs w:val="22"/>
          <w:lang w:val="es-SV" w:eastAsia="es-SV"/>
        </w:rPr>
        <w:t xml:space="preserve">Art. 15.- </w:t>
      </w:r>
      <w:r w:rsidRPr="00B82B2C">
        <w:rPr>
          <w:rFonts w:ascii="Museo Sans 300" w:hAnsi="Museo Sans 300"/>
          <w:bCs/>
          <w:sz w:val="22"/>
          <w:szCs w:val="22"/>
          <w:lang w:val="es-SV" w:eastAsia="es-SV"/>
        </w:rPr>
        <w:t>Además</w:t>
      </w:r>
      <w:r w:rsidRPr="00B82B2C">
        <w:rPr>
          <w:rFonts w:ascii="Museo Sans 300" w:hAnsi="Museo Sans 300"/>
          <w:b/>
          <w:bCs/>
          <w:sz w:val="22"/>
          <w:szCs w:val="22"/>
          <w:lang w:val="es-SV" w:eastAsia="es-SV"/>
        </w:rPr>
        <w:t xml:space="preserve"> </w:t>
      </w:r>
      <w:r w:rsidRPr="00B82B2C">
        <w:rPr>
          <w:rFonts w:ascii="Museo Sans 300" w:hAnsi="Museo Sans 300"/>
          <w:bCs/>
          <w:sz w:val="22"/>
          <w:szCs w:val="22"/>
          <w:lang w:val="es-SV" w:eastAsia="es-SV"/>
        </w:rPr>
        <w:t>de lo establecido en estas Normas, para el caso del riesgo legal, las</w:t>
      </w:r>
      <w:r w:rsidR="00ED2785" w:rsidRPr="00B82B2C">
        <w:rPr>
          <w:rFonts w:ascii="Museo Sans 300" w:hAnsi="Museo Sans 300"/>
          <w:sz w:val="22"/>
          <w:szCs w:val="22"/>
          <w:lang w:val="es-SV" w:eastAsia="es-SV"/>
        </w:rPr>
        <w:t xml:space="preserve"> </w:t>
      </w:r>
      <w:r w:rsidRPr="00B82B2C">
        <w:rPr>
          <w:rFonts w:ascii="Museo Sans 300" w:hAnsi="Museo Sans 300"/>
          <w:sz w:val="22"/>
          <w:szCs w:val="22"/>
          <w:lang w:val="es-SV" w:eastAsia="es-SV"/>
        </w:rPr>
        <w:t xml:space="preserve">entidades deben establecer como mínimo políticas y controles específicos, de manera que, previo a la celebración de contratos, actos jurídicos u operaciones que realizan, se analice la validez jurídica y se procure la adecuada verificación legal. </w:t>
      </w:r>
      <w:r w:rsidRPr="00B82B2C">
        <w:rPr>
          <w:rFonts w:ascii="Museo Sans 300" w:hAnsi="Museo Sans 300"/>
          <w:sz w:val="22"/>
          <w:szCs w:val="22"/>
        </w:rPr>
        <w:t>Asimismo, dichas políticas y procedimientos deben contener aspectos relativos a la conservación ordenada, completa, íntegra y oportuna de la información y documentación que soporta</w:t>
      </w:r>
      <w:r w:rsidR="00ED2785" w:rsidRPr="00B82B2C">
        <w:rPr>
          <w:rFonts w:ascii="Museo Sans 300" w:hAnsi="Museo Sans 300"/>
          <w:sz w:val="22"/>
          <w:szCs w:val="22"/>
        </w:rPr>
        <w:t xml:space="preserve"> </w:t>
      </w:r>
      <w:r w:rsidRPr="00B82B2C">
        <w:rPr>
          <w:rFonts w:ascii="Museo Sans 300" w:hAnsi="Museo Sans 300"/>
          <w:sz w:val="22"/>
          <w:szCs w:val="22"/>
        </w:rPr>
        <w:t>l</w:t>
      </w:r>
      <w:r w:rsidR="00ED2785" w:rsidRPr="00B82B2C">
        <w:rPr>
          <w:rFonts w:ascii="Museo Sans 300" w:hAnsi="Museo Sans 300"/>
          <w:sz w:val="22"/>
          <w:szCs w:val="22"/>
        </w:rPr>
        <w:t>as operaciones de la entidad.</w:t>
      </w:r>
    </w:p>
    <w:p w14:paraId="18EB9D2B" w14:textId="77777777" w:rsidR="00093257" w:rsidRPr="00B82B2C" w:rsidRDefault="00093257" w:rsidP="00C31CFE">
      <w:pPr>
        <w:tabs>
          <w:tab w:val="left" w:pos="900"/>
        </w:tabs>
        <w:jc w:val="both"/>
        <w:rPr>
          <w:rFonts w:ascii="Museo Sans 300" w:hAnsi="Museo Sans 300"/>
          <w:b/>
          <w:sz w:val="22"/>
          <w:szCs w:val="22"/>
        </w:rPr>
      </w:pPr>
    </w:p>
    <w:p w14:paraId="69D2E8B8"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 xml:space="preserve">Plan de continuidad del negocio y de seguridad de la información </w:t>
      </w:r>
    </w:p>
    <w:p w14:paraId="5B36BB33"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Art. 16.-</w:t>
      </w:r>
      <w:r w:rsidRPr="00B82B2C">
        <w:rPr>
          <w:rFonts w:ascii="Museo Sans 300" w:hAnsi="Museo Sans 300"/>
          <w:sz w:val="22"/>
          <w:szCs w:val="22"/>
        </w:rPr>
        <w:t xml:space="preserve"> Las entidades deben implementar un sistema de gestión de continuidad del negocio en caso de interrupciones que incluya planes de contingencia, análisis de impacto en el negocio, plan de recuperación de desastres y planes de gestión del incidente, que aseguren la operatividad normal del negocio ante la ocurrencia de eventos adversos.</w:t>
      </w:r>
    </w:p>
    <w:p w14:paraId="5DB883FE" w14:textId="77777777" w:rsidR="00B82B2C" w:rsidRPr="00B82B2C" w:rsidRDefault="00B82B2C" w:rsidP="00B82B2C">
      <w:pPr>
        <w:tabs>
          <w:tab w:val="left" w:pos="900"/>
        </w:tabs>
        <w:jc w:val="both"/>
        <w:rPr>
          <w:rFonts w:ascii="Museo Sans 300" w:hAnsi="Museo Sans 300"/>
          <w:sz w:val="22"/>
          <w:szCs w:val="22"/>
        </w:rPr>
      </w:pPr>
    </w:p>
    <w:p w14:paraId="0AAC99C4" w14:textId="77777777" w:rsidR="00B82B2C" w:rsidRPr="00B82B2C" w:rsidRDefault="00B82B2C" w:rsidP="00B82B2C">
      <w:pPr>
        <w:tabs>
          <w:tab w:val="left" w:pos="900"/>
        </w:tabs>
        <w:spacing w:after="120"/>
        <w:jc w:val="both"/>
        <w:rPr>
          <w:rFonts w:ascii="Museo Sans 300" w:hAnsi="Museo Sans 300"/>
          <w:sz w:val="22"/>
          <w:szCs w:val="22"/>
        </w:rPr>
      </w:pPr>
      <w:r w:rsidRPr="00B82B2C">
        <w:rPr>
          <w:rFonts w:ascii="Museo Sans 300" w:hAnsi="Museo Sans 300"/>
          <w:sz w:val="22"/>
          <w:szCs w:val="22"/>
        </w:rPr>
        <w:t>Los planes de continuidad del negocio deben considerar como mínimo lo siguiente:</w:t>
      </w:r>
    </w:p>
    <w:p w14:paraId="1A93BCA9"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identificación de eventos que ponen en riesgo la continuidad del negocio, las actividades a realizar para superarlos, las alternativas de operación y el retorno a las actividades normales;</w:t>
      </w:r>
    </w:p>
    <w:p w14:paraId="30B96BAC"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definición de los roles y responsables de implementarlos;</w:t>
      </w:r>
    </w:p>
    <w:p w14:paraId="54647BE0"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realización de las pruebas necesarias para confirmar su eficacia y eficiencia, al menos una vez al año; y</w:t>
      </w:r>
    </w:p>
    <w:p w14:paraId="2DF12AC6"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divulgación del plan a todos los miembros de la entidad.</w:t>
      </w:r>
    </w:p>
    <w:p w14:paraId="1802C513" w14:textId="77777777" w:rsidR="00B82B2C" w:rsidRPr="00B82B2C" w:rsidRDefault="00B82B2C" w:rsidP="00B82B2C">
      <w:pPr>
        <w:ind w:left="360"/>
        <w:jc w:val="both"/>
        <w:rPr>
          <w:rFonts w:ascii="Museo Sans 300" w:hAnsi="Museo Sans 300"/>
          <w:sz w:val="22"/>
          <w:szCs w:val="22"/>
        </w:rPr>
      </w:pPr>
    </w:p>
    <w:p w14:paraId="3D4F26E5" w14:textId="77777777" w:rsidR="00B82B2C" w:rsidRPr="00B82B2C" w:rsidRDefault="00B82B2C" w:rsidP="00B82B2C">
      <w:pPr>
        <w:pStyle w:val="Textoindependiente21"/>
        <w:jc w:val="both"/>
        <w:rPr>
          <w:rFonts w:ascii="Museo Sans 300" w:hAnsi="Museo Sans 300"/>
          <w:szCs w:val="22"/>
          <w:lang w:val="es-ES"/>
        </w:rPr>
      </w:pPr>
      <w:r w:rsidRPr="00B82B2C">
        <w:rPr>
          <w:rFonts w:ascii="Museo Sans 300" w:hAnsi="Museo Sans 300"/>
          <w:szCs w:val="22"/>
          <w:lang w:val="es-ES"/>
        </w:rPr>
        <w:t>Asimismo, las entidades deben contar con un sistema de gestión de seguridad de la información que les garantice su disponibilidad, integridad y confidencialidad.</w:t>
      </w:r>
    </w:p>
    <w:p w14:paraId="48E54722" w14:textId="77777777" w:rsidR="00C31CFE" w:rsidRPr="00B82B2C" w:rsidRDefault="00C31CFE" w:rsidP="00C31CFE">
      <w:pPr>
        <w:pStyle w:val="Textoindependiente"/>
        <w:rPr>
          <w:rFonts w:ascii="Museo Sans 300" w:hAnsi="Museo Sans 300"/>
          <w:b/>
          <w:sz w:val="22"/>
          <w:szCs w:val="22"/>
        </w:rPr>
      </w:pPr>
    </w:p>
    <w:p w14:paraId="1EE6C5A9"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Metodologías para la gestión del riesgo operacional</w:t>
      </w:r>
    </w:p>
    <w:p w14:paraId="1639A3DD" w14:textId="5FA20900"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17.-</w:t>
      </w:r>
      <w:r w:rsidRPr="00B82B2C">
        <w:rPr>
          <w:rFonts w:ascii="Museo Sans 300" w:hAnsi="Museo Sans 300"/>
          <w:sz w:val="22"/>
          <w:szCs w:val="22"/>
        </w:rPr>
        <w:t xml:space="preserve"> Las entidades deben definir la metodología que utilizarán para gestionar el riesgo operacional,</w:t>
      </w:r>
      <w:r w:rsidR="00101C12" w:rsidRPr="00B82B2C">
        <w:rPr>
          <w:rFonts w:ascii="Museo Sans 300" w:hAnsi="Museo Sans 300"/>
          <w:sz w:val="22"/>
          <w:szCs w:val="22"/>
        </w:rPr>
        <w:t xml:space="preserve"> </w:t>
      </w:r>
      <w:r w:rsidRPr="00B82B2C">
        <w:rPr>
          <w:rFonts w:ascii="Museo Sans 300" w:hAnsi="Museo Sans 300"/>
          <w:sz w:val="22"/>
          <w:szCs w:val="22"/>
        </w:rPr>
        <w:t xml:space="preserve">la que debe estar adecuadamente documentada e implementada en toda la entidad en forma consistente, para lo cual deben asignar los recursos suficientes para su aplicación. </w:t>
      </w:r>
    </w:p>
    <w:p w14:paraId="648F9C7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w:t>
      </w:r>
    </w:p>
    <w:p w14:paraId="74728B65" w14:textId="61FE316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REQUERIMIENTO DE </w:t>
      </w:r>
      <w:r w:rsidR="00F73B45" w:rsidRPr="00B82B2C">
        <w:rPr>
          <w:rFonts w:ascii="Museo Sans 300" w:hAnsi="Museo Sans 300"/>
          <w:b/>
          <w:sz w:val="22"/>
          <w:szCs w:val="22"/>
        </w:rPr>
        <w:t>INFORMACIÓ</w:t>
      </w:r>
      <w:r w:rsidRPr="00B82B2C">
        <w:rPr>
          <w:rFonts w:ascii="Museo Sans 300" w:hAnsi="Museo Sans 300"/>
          <w:b/>
          <w:sz w:val="22"/>
          <w:szCs w:val="22"/>
        </w:rPr>
        <w:t>N</w:t>
      </w:r>
    </w:p>
    <w:p w14:paraId="6B6D2F5F" w14:textId="5BF53575" w:rsidR="00B93156" w:rsidRPr="00B82B2C" w:rsidRDefault="00B93156" w:rsidP="00C31CFE">
      <w:pPr>
        <w:pStyle w:val="Textoindependiente"/>
        <w:jc w:val="center"/>
        <w:rPr>
          <w:rFonts w:ascii="Museo Sans 300" w:hAnsi="Museo Sans 300"/>
          <w:sz w:val="22"/>
          <w:szCs w:val="22"/>
        </w:rPr>
      </w:pPr>
    </w:p>
    <w:p w14:paraId="695A9FCB"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Bases de datos</w:t>
      </w:r>
    </w:p>
    <w:p w14:paraId="54B1238F" w14:textId="5A6936F2"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Art. 18.-</w:t>
      </w:r>
      <w:r w:rsidRPr="00B82B2C">
        <w:rPr>
          <w:rFonts w:ascii="Museo Sans 300" w:hAnsi="Museo Sans 300"/>
          <w:sz w:val="22"/>
          <w:szCs w:val="22"/>
        </w:rPr>
        <w:t xml:space="preserve"> Las entidades deben conformar una base de datos centralizada que permita registrar, ordenar, clasificar y disponer de información sobre los eventos de riesgo operacional. Éstos deben ser clasificados por factores, determinando la frecuencia del evento y el efecto producido, debiendo contener como mínimo los campos que se detallan en el Anexo No. 4 y remitirlo por medios electrónicos o de la forma que la Superintendencia lo determine.</w:t>
      </w:r>
    </w:p>
    <w:p w14:paraId="2AAE059C" w14:textId="77777777" w:rsidR="00C31CFE" w:rsidRPr="00B82B2C" w:rsidRDefault="00C31CFE" w:rsidP="00C31CFE">
      <w:pPr>
        <w:pStyle w:val="Textoindependiente"/>
        <w:ind w:firstLine="708"/>
        <w:rPr>
          <w:rFonts w:ascii="Museo Sans 300" w:hAnsi="Museo Sans 300"/>
          <w:sz w:val="22"/>
          <w:szCs w:val="22"/>
          <w:lang w:val="es-SV" w:eastAsia="es-SV"/>
        </w:rPr>
      </w:pPr>
    </w:p>
    <w:p w14:paraId="7119F149"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Informe anual</w:t>
      </w:r>
    </w:p>
    <w:p w14:paraId="0B4A5F87"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19.</w:t>
      </w:r>
      <w:r w:rsidRPr="00B82B2C">
        <w:rPr>
          <w:rFonts w:ascii="Museo Sans 300" w:hAnsi="Museo Sans 300"/>
          <w:sz w:val="22"/>
          <w:szCs w:val="22"/>
        </w:rPr>
        <w:t>- Las entidades deben presentar a la Superintendencia, dentro de los primeros ciento veinte (120) días calendario siguientes al cierre de cada ejercicio anual, un informe relativo a las acciones realizadas para el control y la evaluación del riesgo operacional que enfrenta la entidad, por procesos y/o unidad de negocios y de apoyo. El informe deberá contener como mínimo lo siguiente:</w:t>
      </w:r>
    </w:p>
    <w:p w14:paraId="03512632"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La definición de la estrategia utilizada para la gestión del riesgo operacional;</w:t>
      </w:r>
    </w:p>
    <w:p w14:paraId="5B32F67F"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El detalle de la metodología empleada para la gestión del riesgo operacional;</w:t>
      </w:r>
    </w:p>
    <w:p w14:paraId="4D275808"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 xml:space="preserve">Identificación y evaluación de los riesgos operacionales de eventos críticos ocurridos durante el año, por proceso y/o unidad de negocio y de apoyo; y el detalle de las medidas adoptadas para administrarlos; </w:t>
      </w:r>
    </w:p>
    <w:p w14:paraId="7968F8FA" w14:textId="0C9CA998"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Detalle de los ejecutivos responsables de las actividades de control de riesgo de los eventos críticos ocurridos durante el año; y</w:t>
      </w:r>
      <w:r w:rsidR="00ED2785" w:rsidRPr="00B82B2C">
        <w:rPr>
          <w:rFonts w:ascii="Museo Sans 300" w:hAnsi="Museo Sans 300"/>
          <w:sz w:val="22"/>
          <w:szCs w:val="22"/>
        </w:rPr>
        <w:t xml:space="preserve"> </w:t>
      </w:r>
    </w:p>
    <w:p w14:paraId="4B24995D" w14:textId="61FAE0B0"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Plan de Actividades a desarrollar por la Unidad de Riesgos, relacionado con la gestión del riesgo operacional.</w:t>
      </w:r>
      <w:r w:rsidR="00ED2785" w:rsidRPr="00B82B2C">
        <w:rPr>
          <w:rFonts w:ascii="Museo Sans 300" w:hAnsi="Museo Sans 300"/>
          <w:sz w:val="22"/>
          <w:szCs w:val="22"/>
        </w:rPr>
        <w:t xml:space="preserve"> </w:t>
      </w:r>
    </w:p>
    <w:p w14:paraId="561C5914" w14:textId="77777777" w:rsidR="00C31CFE" w:rsidRPr="00B82B2C" w:rsidRDefault="00C31CFE" w:rsidP="00C31CFE">
      <w:pPr>
        <w:pStyle w:val="Textoindependiente"/>
        <w:rPr>
          <w:rFonts w:ascii="Museo Sans 300" w:hAnsi="Museo Sans 300"/>
          <w:sz w:val="22"/>
          <w:szCs w:val="22"/>
        </w:rPr>
      </w:pPr>
    </w:p>
    <w:p w14:paraId="18923B5F"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Remisión de base de datos</w:t>
      </w:r>
    </w:p>
    <w:p w14:paraId="3CFC5C97" w14:textId="63C605BC" w:rsidR="00C31CFE" w:rsidRDefault="00C31CFE" w:rsidP="00C31CFE">
      <w:pPr>
        <w:pStyle w:val="Textoindependiente"/>
        <w:rPr>
          <w:rFonts w:ascii="Museo Sans 300" w:hAnsi="Museo Sans 300"/>
          <w:sz w:val="22"/>
          <w:szCs w:val="22"/>
          <w:lang w:val="es-SV"/>
        </w:rPr>
      </w:pPr>
      <w:r w:rsidRPr="00B82B2C">
        <w:rPr>
          <w:rFonts w:ascii="Museo Sans 300" w:hAnsi="Museo Sans 300"/>
          <w:b/>
          <w:sz w:val="22"/>
          <w:szCs w:val="22"/>
        </w:rPr>
        <w:t>Art. 20.-</w:t>
      </w:r>
      <w:r w:rsidRPr="00B82B2C">
        <w:rPr>
          <w:rFonts w:ascii="Museo Sans 300" w:hAnsi="Museo Sans 300"/>
          <w:sz w:val="22"/>
          <w:szCs w:val="22"/>
        </w:rPr>
        <w:t xml:space="preserve"> </w:t>
      </w:r>
      <w:bookmarkStart w:id="4" w:name="_Hlk95149736"/>
      <w:r w:rsidRPr="00B82B2C">
        <w:rPr>
          <w:rFonts w:ascii="Museo Sans 300" w:hAnsi="Museo Sans 300"/>
          <w:sz w:val="22"/>
          <w:szCs w:val="22"/>
        </w:rPr>
        <w:t>Las</w:t>
      </w:r>
      <w:r w:rsidRPr="00B82B2C">
        <w:rPr>
          <w:rFonts w:ascii="Museo Sans 300" w:hAnsi="Museo Sans 300"/>
          <w:sz w:val="22"/>
          <w:szCs w:val="22"/>
          <w:lang w:val="es-SV"/>
        </w:rPr>
        <w:t xml:space="preserve"> entidades deben enviar a la Superintendencia, de forma anual y a más tardar el treinta y uno de enero de cada año, los eventos contenidos en las “Bases de datos” a que hacen mención las presentes Normas, iniciando con la base de datos del año dos mil trece, remitiéndolo por medios electrónicos o de la forma que la Superintendencia lo determine.</w:t>
      </w:r>
      <w:bookmarkEnd w:id="4"/>
      <w:r w:rsidRPr="00B82B2C">
        <w:rPr>
          <w:rFonts w:ascii="Museo Sans 300" w:hAnsi="Museo Sans 300"/>
          <w:sz w:val="22"/>
          <w:szCs w:val="22"/>
          <w:lang w:val="es-SV"/>
        </w:rPr>
        <w:t xml:space="preserve"> (1)</w:t>
      </w:r>
    </w:p>
    <w:p w14:paraId="3ED6FC3A" w14:textId="26718A33" w:rsidR="00A93E54" w:rsidRDefault="00A93E54" w:rsidP="00C31CFE">
      <w:pPr>
        <w:pStyle w:val="Textoindependiente"/>
        <w:rPr>
          <w:rFonts w:ascii="Museo Sans 300" w:hAnsi="Museo Sans 300"/>
          <w:sz w:val="22"/>
          <w:szCs w:val="22"/>
          <w:lang w:val="es-SV"/>
        </w:rPr>
      </w:pPr>
    </w:p>
    <w:p w14:paraId="0F30522E" w14:textId="2A807E5E" w:rsidR="00A42A84" w:rsidRDefault="00A42A84" w:rsidP="00A42A84">
      <w:pPr>
        <w:tabs>
          <w:tab w:val="left" w:pos="-720"/>
          <w:tab w:val="left" w:pos="1155"/>
        </w:tabs>
        <w:suppressAutoHyphens/>
        <w:jc w:val="both"/>
        <w:rPr>
          <w:rFonts w:ascii="Museo Sans 300" w:hAnsi="Museo Sans 300"/>
          <w:iCs/>
          <w:color w:val="000000" w:themeColor="text1"/>
          <w:sz w:val="22"/>
          <w:szCs w:val="22"/>
        </w:rPr>
      </w:pPr>
      <w:r w:rsidRPr="00A42A84">
        <w:rPr>
          <w:rFonts w:ascii="Museo Sans 300" w:hAnsi="Museo Sans 300"/>
          <w:iCs/>
          <w:color w:val="000000" w:themeColor="text1"/>
          <w:sz w:val="22"/>
          <w:szCs w:val="22"/>
        </w:rPr>
        <w:t>En adición a lo dispuesto en el primer inciso del presente artículo, las entidades deberán reportar a la Superintendencia, en el momento de ocurrencia cualquier evento de riesgo operacional materializado que sea ocasionado por fallas de las personas o errores operativos en los procesos en el que se afecte de forma masiva cualquier producto financiero que la entidad ofrece. (4)</w:t>
      </w:r>
    </w:p>
    <w:p w14:paraId="033374BE" w14:textId="68124868" w:rsidR="00A42A84" w:rsidRDefault="00A42A84" w:rsidP="00A42A84">
      <w:pPr>
        <w:tabs>
          <w:tab w:val="left" w:pos="-720"/>
          <w:tab w:val="left" w:pos="1155"/>
        </w:tabs>
        <w:suppressAutoHyphens/>
        <w:jc w:val="both"/>
        <w:rPr>
          <w:rFonts w:ascii="Museo Sans 300" w:hAnsi="Museo Sans 300"/>
          <w:iCs/>
          <w:color w:val="000000" w:themeColor="text1"/>
          <w:sz w:val="22"/>
          <w:szCs w:val="22"/>
        </w:rPr>
      </w:pPr>
    </w:p>
    <w:p w14:paraId="21E86283" w14:textId="456B0D85" w:rsidR="00A42A84" w:rsidRPr="00A42A84" w:rsidRDefault="00A42A84" w:rsidP="00A42A84">
      <w:pPr>
        <w:tabs>
          <w:tab w:val="left" w:pos="-720"/>
          <w:tab w:val="left" w:pos="1155"/>
        </w:tabs>
        <w:suppressAutoHyphens/>
        <w:spacing w:after="120"/>
        <w:jc w:val="both"/>
        <w:rPr>
          <w:rFonts w:ascii="Museo Sans 300" w:hAnsi="Museo Sans 300" w:cstheme="minorHAnsi"/>
          <w:sz w:val="22"/>
          <w:szCs w:val="22"/>
        </w:rPr>
      </w:pPr>
      <w:r w:rsidRPr="00A42A84">
        <w:rPr>
          <w:rFonts w:ascii="Museo Sans 300" w:hAnsi="Museo Sans 300" w:cstheme="minorHAnsi"/>
          <w:sz w:val="22"/>
          <w:szCs w:val="22"/>
        </w:rPr>
        <w:t xml:space="preserve">El informe de los eventos materializados lo realizará cada entidad por el medio que tenga disponible haciendo una breve descripción de éste, que incluya la información general que tenga a su disposición sobre la posible causa e impacto y acciones ejecutadas. Posteriormente la entidad, diez días calendario después de haber reportado el referido evento, deberá remitir completa la </w:t>
      </w:r>
      <w:r w:rsidR="00BE4254">
        <w:rPr>
          <w:rFonts w:ascii="Museo Sans 300" w:hAnsi="Museo Sans 300" w:cstheme="minorHAnsi"/>
          <w:sz w:val="22"/>
          <w:szCs w:val="22"/>
        </w:rPr>
        <w:t xml:space="preserve">información y </w:t>
      </w:r>
      <w:r w:rsidRPr="00A42A84">
        <w:rPr>
          <w:rFonts w:ascii="Museo Sans 300" w:hAnsi="Museo Sans 300" w:cstheme="minorHAnsi"/>
          <w:sz w:val="22"/>
          <w:szCs w:val="22"/>
        </w:rPr>
        <w:t>documentación siguiente:</w:t>
      </w:r>
      <w:r>
        <w:rPr>
          <w:rFonts w:ascii="Museo Sans 300" w:hAnsi="Museo Sans 300" w:cstheme="minorHAnsi"/>
          <w:sz w:val="22"/>
          <w:szCs w:val="22"/>
        </w:rPr>
        <w:t xml:space="preserve"> (4)</w:t>
      </w:r>
    </w:p>
    <w:p w14:paraId="6B1812E1" w14:textId="25C45DA7"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Fecha y hora de inicio de ocurrencia;</w:t>
      </w:r>
      <w:r w:rsidR="009013BB">
        <w:rPr>
          <w:rFonts w:ascii="Museo Sans 300" w:hAnsi="Museo Sans 300" w:cstheme="minorHAnsi"/>
          <w:sz w:val="22"/>
          <w:szCs w:val="22"/>
        </w:rPr>
        <w:t xml:space="preserve"> (4)</w:t>
      </w:r>
    </w:p>
    <w:p w14:paraId="15993308" w14:textId="17665C6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Fecha y hora de fin de ocurrencia, si hubiere terminado el evento;</w:t>
      </w:r>
      <w:r w:rsidR="009013BB">
        <w:rPr>
          <w:rFonts w:ascii="Museo Sans 300" w:hAnsi="Museo Sans 300" w:cstheme="minorHAnsi"/>
          <w:sz w:val="22"/>
          <w:szCs w:val="22"/>
        </w:rPr>
        <w:t xml:space="preserve"> (4)</w:t>
      </w:r>
    </w:p>
    <w:p w14:paraId="314785F6" w14:textId="71846050"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Descripción del evento;</w:t>
      </w:r>
      <w:r w:rsidR="009013BB">
        <w:rPr>
          <w:rFonts w:ascii="Museo Sans 300" w:hAnsi="Museo Sans 300" w:cstheme="minorHAnsi"/>
          <w:sz w:val="22"/>
          <w:szCs w:val="22"/>
        </w:rPr>
        <w:t xml:space="preserve"> (4)</w:t>
      </w:r>
    </w:p>
    <w:p w14:paraId="1FEAEFDB" w14:textId="44AF4A3C"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Causas de las fallas;</w:t>
      </w:r>
      <w:r w:rsidR="009013BB">
        <w:rPr>
          <w:rFonts w:ascii="Museo Sans 300" w:hAnsi="Museo Sans 300" w:cstheme="minorHAnsi"/>
          <w:sz w:val="22"/>
          <w:szCs w:val="22"/>
        </w:rPr>
        <w:t xml:space="preserve"> (4)</w:t>
      </w:r>
    </w:p>
    <w:p w14:paraId="130074F6" w14:textId="067C4A6C"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Diagnóstico técnico;</w:t>
      </w:r>
      <w:r w:rsidR="009013BB">
        <w:rPr>
          <w:rFonts w:ascii="Museo Sans 300" w:hAnsi="Museo Sans 300" w:cstheme="minorHAnsi"/>
          <w:sz w:val="22"/>
          <w:szCs w:val="22"/>
        </w:rPr>
        <w:t xml:space="preserve"> (4)</w:t>
      </w:r>
    </w:p>
    <w:p w14:paraId="23FAFABD" w14:textId="3EF5E877"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Canales afectados;</w:t>
      </w:r>
      <w:r w:rsidR="009013BB">
        <w:rPr>
          <w:rFonts w:ascii="Museo Sans 300" w:hAnsi="Museo Sans 300" w:cstheme="minorHAnsi"/>
          <w:sz w:val="22"/>
          <w:szCs w:val="22"/>
        </w:rPr>
        <w:t xml:space="preserve"> (4)</w:t>
      </w:r>
    </w:p>
    <w:p w14:paraId="6E71EA0B" w14:textId="1E2983E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Impacto ocasionado; y</w:t>
      </w:r>
      <w:r w:rsidR="009013BB">
        <w:rPr>
          <w:rFonts w:ascii="Museo Sans 300" w:hAnsi="Museo Sans 300" w:cstheme="minorHAnsi"/>
          <w:sz w:val="22"/>
          <w:szCs w:val="22"/>
        </w:rPr>
        <w:t xml:space="preserve"> (4)</w:t>
      </w:r>
    </w:p>
    <w:p w14:paraId="5C67A4F6" w14:textId="1461D64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Acciones correctivas ejecutadas y/o plan de acción a implementar por esa entidad para solventar las causas que originaron el o los eventos, así como para prevenirlos en el futuro.</w:t>
      </w:r>
      <w:r w:rsidR="00EB3579">
        <w:rPr>
          <w:rFonts w:ascii="Museo Sans 300" w:hAnsi="Museo Sans 300" w:cstheme="minorHAnsi"/>
          <w:sz w:val="22"/>
          <w:szCs w:val="22"/>
        </w:rPr>
        <w:t xml:space="preserve"> </w:t>
      </w:r>
      <w:r>
        <w:rPr>
          <w:rFonts w:ascii="Museo Sans 300" w:hAnsi="Museo Sans 300" w:cstheme="minorHAnsi"/>
          <w:sz w:val="22"/>
          <w:szCs w:val="22"/>
        </w:rPr>
        <w:t>(4)</w:t>
      </w:r>
    </w:p>
    <w:p w14:paraId="596666FB" w14:textId="77777777" w:rsidR="00022EBA" w:rsidRPr="00B82B2C" w:rsidRDefault="00022EBA" w:rsidP="00C31CFE">
      <w:pPr>
        <w:pStyle w:val="Textoindependiente"/>
        <w:rPr>
          <w:rFonts w:ascii="Museo Sans 300" w:hAnsi="Museo Sans 300"/>
          <w:b/>
          <w:bCs/>
          <w:sz w:val="22"/>
          <w:szCs w:val="22"/>
          <w:lang w:val="es-SV"/>
        </w:rPr>
      </w:pPr>
    </w:p>
    <w:p w14:paraId="1111AE05" w14:textId="77777777" w:rsidR="00C31CFE" w:rsidRPr="00B82B2C" w:rsidRDefault="00C31CFE" w:rsidP="00C31CFE">
      <w:pPr>
        <w:pStyle w:val="Textoindependiente"/>
        <w:rPr>
          <w:rFonts w:ascii="Museo Sans 300" w:hAnsi="Museo Sans 300"/>
          <w:b/>
          <w:bCs/>
          <w:sz w:val="22"/>
          <w:szCs w:val="22"/>
          <w:lang w:val="es-HN"/>
        </w:rPr>
      </w:pPr>
      <w:r w:rsidRPr="00B82B2C">
        <w:rPr>
          <w:rFonts w:ascii="Museo Sans 300" w:hAnsi="Museo Sans 300"/>
          <w:b/>
          <w:bCs/>
          <w:sz w:val="22"/>
          <w:szCs w:val="22"/>
          <w:lang w:val="es-HN"/>
        </w:rPr>
        <w:t>Remisión de Manual de Gestión de Riesgo Operacional</w:t>
      </w:r>
    </w:p>
    <w:p w14:paraId="6E4DB80D" w14:textId="41C54E99" w:rsidR="00C31CFE" w:rsidRDefault="00C31CFE" w:rsidP="00ED2785">
      <w:pPr>
        <w:pStyle w:val="Textoindependiente"/>
        <w:rPr>
          <w:rFonts w:ascii="Museo Sans 300" w:hAnsi="Museo Sans 300"/>
          <w:bCs/>
          <w:sz w:val="22"/>
          <w:szCs w:val="22"/>
        </w:rPr>
      </w:pPr>
      <w:r w:rsidRPr="00B82B2C">
        <w:rPr>
          <w:rFonts w:ascii="Museo Sans 300" w:hAnsi="Museo Sans 300"/>
          <w:b/>
          <w:bCs/>
          <w:sz w:val="22"/>
          <w:szCs w:val="22"/>
        </w:rPr>
        <w:t>Art. 21.-</w:t>
      </w:r>
      <w:r w:rsidRPr="00B82B2C">
        <w:rPr>
          <w:rFonts w:ascii="Museo Sans 300" w:hAnsi="Museo Sans 300"/>
          <w:bCs/>
          <w:sz w:val="22"/>
          <w:szCs w:val="22"/>
        </w:rPr>
        <w:t xml:space="preserve"> Las entidades deberán remitir en forma electrónica a la Superintendencia, a más tardar el uno de agosto de dos mil doce, el Manual de Gestión de Riesgo Operacional a que hacen mención las presentes Normas; asimismo, deberán remitir el Manual cada vez que realicen cambios al mismo.</w:t>
      </w:r>
    </w:p>
    <w:p w14:paraId="496516C1" w14:textId="4626B56B" w:rsidR="00B82B2C" w:rsidRDefault="00B82B2C" w:rsidP="00ED2785">
      <w:pPr>
        <w:pStyle w:val="Textoindependiente"/>
        <w:rPr>
          <w:rFonts w:ascii="Museo Sans 300" w:hAnsi="Museo Sans 300"/>
          <w:bCs/>
          <w:sz w:val="22"/>
          <w:szCs w:val="22"/>
        </w:rPr>
      </w:pPr>
    </w:p>
    <w:p w14:paraId="68EF544B"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VI</w:t>
      </w:r>
    </w:p>
    <w:p w14:paraId="4081B9E2" w14:textId="77777777" w:rsidR="00C31CFE" w:rsidRPr="00B82B2C" w:rsidRDefault="00C31CFE" w:rsidP="00C31CFE">
      <w:pPr>
        <w:pStyle w:val="Textoindependiente"/>
        <w:ind w:left="1416" w:firstLine="708"/>
        <w:rPr>
          <w:rFonts w:ascii="Museo Sans 300" w:hAnsi="Museo Sans 300"/>
          <w:sz w:val="22"/>
          <w:szCs w:val="22"/>
        </w:rPr>
      </w:pPr>
      <w:r w:rsidRPr="00B82B2C">
        <w:rPr>
          <w:rFonts w:ascii="Museo Sans 300" w:hAnsi="Museo Sans 300"/>
          <w:b/>
          <w:sz w:val="22"/>
          <w:szCs w:val="22"/>
        </w:rPr>
        <w:t>DISPOSICIONES TRANSITORIAS Y VIGENCIA</w:t>
      </w:r>
    </w:p>
    <w:p w14:paraId="4BC4D783" w14:textId="77777777" w:rsidR="00C31CFE" w:rsidRPr="00B82B2C" w:rsidRDefault="00C31CFE" w:rsidP="00C31CFE">
      <w:pPr>
        <w:pStyle w:val="Textoindependiente"/>
        <w:rPr>
          <w:rFonts w:ascii="Museo Sans 300" w:hAnsi="Museo Sans 300"/>
          <w:sz w:val="22"/>
          <w:szCs w:val="22"/>
        </w:rPr>
      </w:pPr>
    </w:p>
    <w:p w14:paraId="598C9035"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Transitorio</w:t>
      </w:r>
    </w:p>
    <w:p w14:paraId="0085365F" w14:textId="1170F412" w:rsidR="00C31CFE" w:rsidRDefault="00C31CFE" w:rsidP="00C31CFE">
      <w:pPr>
        <w:jc w:val="both"/>
        <w:rPr>
          <w:rFonts w:ascii="Museo Sans 300" w:hAnsi="Museo Sans 300"/>
          <w:sz w:val="22"/>
          <w:szCs w:val="22"/>
        </w:rPr>
      </w:pPr>
      <w:r w:rsidRPr="00B82B2C">
        <w:rPr>
          <w:rFonts w:ascii="Museo Sans 300" w:hAnsi="Museo Sans 300"/>
          <w:b/>
          <w:sz w:val="22"/>
          <w:szCs w:val="22"/>
        </w:rPr>
        <w:t xml:space="preserve">Art. 22.- </w:t>
      </w:r>
      <w:r w:rsidRPr="00B82B2C">
        <w:rPr>
          <w:rFonts w:ascii="Museo Sans 300" w:hAnsi="Museo Sans 300"/>
          <w:sz w:val="22"/>
          <w:szCs w:val="22"/>
        </w:rPr>
        <w:t>Para cumplir con las disposiciones de estas Normas, las entidades deben presentar a la Superintendencia un Plan de Actividades, dentro de los seis meses siguientes a su vigencia. Una vez presentado, las entidades deben iniciar y completar su ejecución dentro de un plazo máximo de seis meses, contados a partir de la presentación del mismo.</w:t>
      </w:r>
    </w:p>
    <w:p w14:paraId="35501A80" w14:textId="5D1570AC" w:rsidR="00233DD0" w:rsidRDefault="00233DD0" w:rsidP="00C31CFE">
      <w:pPr>
        <w:jc w:val="both"/>
        <w:rPr>
          <w:rFonts w:ascii="Museo Sans 300" w:hAnsi="Museo Sans 300"/>
          <w:sz w:val="22"/>
          <w:szCs w:val="22"/>
        </w:rPr>
      </w:pPr>
    </w:p>
    <w:p w14:paraId="015B33BB" w14:textId="77777777" w:rsidR="00233DD0" w:rsidRPr="00233DD0" w:rsidRDefault="00233DD0" w:rsidP="00233DD0">
      <w:pPr>
        <w:contextualSpacing/>
        <w:jc w:val="both"/>
        <w:rPr>
          <w:rFonts w:ascii="Museo Sans 300" w:hAnsi="Museo Sans 300"/>
          <w:b/>
          <w:sz w:val="22"/>
          <w:szCs w:val="22"/>
        </w:rPr>
      </w:pPr>
      <w:r w:rsidRPr="00233DD0">
        <w:rPr>
          <w:rFonts w:ascii="Museo Sans 300" w:hAnsi="Museo Sans 300"/>
          <w:b/>
          <w:sz w:val="22"/>
          <w:szCs w:val="22"/>
        </w:rPr>
        <w:t>Sistemas de información gerencial (4)</w:t>
      </w:r>
    </w:p>
    <w:p w14:paraId="22DC4D00" w14:textId="11014487" w:rsidR="00233DD0" w:rsidRDefault="00233DD0" w:rsidP="00233DD0">
      <w:pPr>
        <w:jc w:val="both"/>
        <w:rPr>
          <w:rFonts w:ascii="Museo Sans 300" w:hAnsi="Museo Sans 300"/>
          <w:sz w:val="22"/>
          <w:szCs w:val="22"/>
        </w:rPr>
      </w:pPr>
      <w:r w:rsidRPr="00233DD0">
        <w:rPr>
          <w:rFonts w:ascii="Museo Sans 300" w:hAnsi="Museo Sans 300"/>
          <w:b/>
          <w:bCs/>
          <w:sz w:val="22"/>
          <w:szCs w:val="22"/>
        </w:rPr>
        <w:t xml:space="preserve">Art. 22-A.- </w:t>
      </w:r>
      <w:r w:rsidRPr="00233DD0">
        <w:rPr>
          <w:rFonts w:ascii="Museo Sans 300" w:hAnsi="Museo Sans 300"/>
          <w:sz w:val="22"/>
          <w:szCs w:val="22"/>
        </w:rPr>
        <w:t>Las entidades listadas en los literales j), k), l)</w:t>
      </w:r>
      <w:r w:rsidR="00093257">
        <w:rPr>
          <w:rFonts w:ascii="Museo Sans 300" w:hAnsi="Museo Sans 300"/>
          <w:sz w:val="22"/>
          <w:szCs w:val="22"/>
        </w:rPr>
        <w:t xml:space="preserve"> y m)</w:t>
      </w:r>
      <w:r w:rsidRPr="00233DD0">
        <w:rPr>
          <w:rFonts w:ascii="Museo Sans 300" w:hAnsi="Museo Sans 300"/>
          <w:sz w:val="22"/>
          <w:szCs w:val="22"/>
        </w:rPr>
        <w:t xml:space="preserve"> del artículo 2 de las presentes Normas, deberán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(4)</w:t>
      </w:r>
    </w:p>
    <w:p w14:paraId="4679476F" w14:textId="35B65075" w:rsidR="00233DD0" w:rsidRDefault="00233DD0" w:rsidP="00233DD0">
      <w:pPr>
        <w:jc w:val="both"/>
        <w:rPr>
          <w:rFonts w:ascii="Museo Sans 300" w:hAnsi="Museo Sans 300"/>
          <w:sz w:val="22"/>
          <w:szCs w:val="22"/>
        </w:rPr>
      </w:pPr>
    </w:p>
    <w:p w14:paraId="02EA4891" w14:textId="0DB340B3" w:rsidR="00233DD0" w:rsidRPr="00233DD0" w:rsidRDefault="00233DD0" w:rsidP="00233DD0">
      <w:pPr>
        <w:jc w:val="both"/>
        <w:rPr>
          <w:rFonts w:ascii="Museo Sans 300" w:eastAsiaTheme="minorEastAsia" w:hAnsi="Museo Sans 300" w:cstheme="minorBidi"/>
          <w:bCs/>
          <w:kern w:val="24"/>
          <w:sz w:val="22"/>
          <w:szCs w:val="22"/>
          <w:lang w:val="es-ES" w:eastAsia="es-SV"/>
        </w:rPr>
      </w:pPr>
      <w:r w:rsidRPr="00233DD0">
        <w:rPr>
          <w:rFonts w:ascii="Museo Sans 300" w:hAnsi="Museo Sans 300"/>
          <w:sz w:val="22"/>
          <w:szCs w:val="22"/>
        </w:rPr>
        <w:t>Las entidades deben enviar a la Superintendencia, de forma anual y a más tardar el treinta y uno de enero de cada año, los eventos contenidos en las “Bases de Datos de Registro de Eventos” del Anexo No. 4 de las presentes Normas, iniciando con la base de datos del año dos mil veint</w:t>
      </w:r>
      <w:r w:rsidR="00054D2B">
        <w:rPr>
          <w:rFonts w:ascii="Museo Sans 300" w:hAnsi="Museo Sans 300"/>
          <w:sz w:val="22"/>
          <w:szCs w:val="22"/>
        </w:rPr>
        <w:t>icuatro</w:t>
      </w:r>
      <w:r w:rsidRPr="00233DD0">
        <w:rPr>
          <w:rFonts w:ascii="Museo Sans 300" w:hAnsi="Museo Sans 300"/>
          <w:sz w:val="22"/>
          <w:szCs w:val="22"/>
        </w:rPr>
        <w:t xml:space="preserve">, remitiéndolo por medios electrónicos o de la forma que la Superintendencia lo determine. </w:t>
      </w:r>
      <w:r w:rsidRPr="00233DD0">
        <w:rPr>
          <w:rFonts w:ascii="Museo Sans 300" w:eastAsiaTheme="minorEastAsia" w:hAnsi="Museo Sans 300" w:cstheme="minorBidi"/>
          <w:bCs/>
          <w:kern w:val="24"/>
          <w:sz w:val="22"/>
          <w:szCs w:val="22"/>
          <w:lang w:val="es-ES" w:eastAsia="es-SV"/>
        </w:rPr>
        <w:t>Asimismo, las entidades deberán remitir los eventos de riesgo operacional al día hábil siguiente de haber ocurrido; remitiéndolo por los medios electrónicos o de la forma que la Superintendencia determine. (4)</w:t>
      </w:r>
    </w:p>
    <w:p w14:paraId="2E3957E5" w14:textId="77777777" w:rsidR="00233DD0" w:rsidRPr="00233DD0" w:rsidRDefault="00233DD0" w:rsidP="00233DD0">
      <w:pPr>
        <w:jc w:val="both"/>
        <w:rPr>
          <w:rFonts w:ascii="Museo Sans 300" w:hAnsi="Museo Sans 300"/>
          <w:sz w:val="22"/>
          <w:szCs w:val="22"/>
        </w:rPr>
      </w:pPr>
    </w:p>
    <w:p w14:paraId="1BE4F952" w14:textId="77777777" w:rsidR="000940F5" w:rsidRPr="000940F5" w:rsidRDefault="000940F5" w:rsidP="000940F5">
      <w:pPr>
        <w:jc w:val="both"/>
        <w:rPr>
          <w:rFonts w:ascii="Museo Sans 300" w:eastAsiaTheme="minorEastAsia" w:hAnsi="Museo Sans 300" w:cstheme="minorBidi"/>
          <w:b/>
          <w:kern w:val="24"/>
          <w:sz w:val="22"/>
          <w:szCs w:val="22"/>
          <w:lang w:val="es-ES" w:eastAsia="es-SV"/>
        </w:rPr>
      </w:pPr>
      <w:r w:rsidRPr="000940F5">
        <w:rPr>
          <w:rFonts w:ascii="Museo Sans 300" w:eastAsiaTheme="minorEastAsia" w:hAnsi="Museo Sans 300" w:cstheme="minorBidi"/>
          <w:b/>
          <w:kern w:val="24"/>
          <w:sz w:val="22"/>
          <w:szCs w:val="22"/>
          <w:lang w:val="es-ES" w:eastAsia="es-SV"/>
        </w:rPr>
        <w:t>Plan de adecuación (4)</w:t>
      </w:r>
    </w:p>
    <w:p w14:paraId="3A3D8B37" w14:textId="7E5A5C94" w:rsidR="000940F5" w:rsidRPr="000940F5" w:rsidRDefault="000940F5" w:rsidP="000940F5">
      <w:pPr>
        <w:jc w:val="both"/>
        <w:rPr>
          <w:rFonts w:ascii="Museo Sans 300" w:hAnsi="Museo Sans 300"/>
          <w:sz w:val="22"/>
          <w:szCs w:val="22"/>
        </w:rPr>
      </w:pPr>
      <w:r w:rsidRPr="000940F5">
        <w:rPr>
          <w:rFonts w:ascii="Museo Sans 300" w:hAnsi="Museo Sans 300"/>
          <w:b/>
          <w:bCs/>
          <w:sz w:val="22"/>
          <w:szCs w:val="22"/>
        </w:rPr>
        <w:t xml:space="preserve">Art. 22-B.- </w:t>
      </w:r>
      <w:r w:rsidRPr="000940F5">
        <w:rPr>
          <w:rFonts w:ascii="Museo Sans 300" w:hAnsi="Museo Sans 300"/>
          <w:sz w:val="22"/>
          <w:szCs w:val="22"/>
        </w:rPr>
        <w:t>Las entidades listadas en los literales j), k), l)</w:t>
      </w:r>
      <w:r w:rsidR="00093257">
        <w:rPr>
          <w:rFonts w:ascii="Museo Sans 300" w:hAnsi="Museo Sans 300"/>
          <w:sz w:val="22"/>
          <w:szCs w:val="22"/>
        </w:rPr>
        <w:t xml:space="preserve"> y m)</w:t>
      </w:r>
      <w:r w:rsidRPr="000940F5">
        <w:rPr>
          <w:rFonts w:ascii="Museo Sans 300" w:hAnsi="Museo Sans 300"/>
          <w:sz w:val="22"/>
          <w:szCs w:val="22"/>
        </w:rPr>
        <w:t xml:space="preserve"> del artículo 2 de las presentes Normas, a partir de la vigencia de la misma, tendrán un plazo máximo de seis meses para presentar a la Superintendencia un Plan de Adecuación, para cumplir con las disposiciones establecidas en las presentes Normas. Una vez presentado, las entidades deberán iniciar y completar su ejecución en un plazo de seis meses, contados a partir de la presentación del mismo. (4)</w:t>
      </w:r>
    </w:p>
    <w:p w14:paraId="6612A14F" w14:textId="00F59EC2" w:rsidR="000940F5" w:rsidRDefault="000940F5" w:rsidP="000940F5">
      <w:pPr>
        <w:jc w:val="both"/>
        <w:rPr>
          <w:rFonts w:ascii="Museo Sans 300" w:hAnsi="Museo Sans 300"/>
          <w:sz w:val="22"/>
          <w:szCs w:val="22"/>
        </w:rPr>
      </w:pPr>
    </w:p>
    <w:p w14:paraId="73C335DA" w14:textId="77777777" w:rsidR="000940F5" w:rsidRPr="000940F5" w:rsidRDefault="000940F5" w:rsidP="000940F5">
      <w:pPr>
        <w:jc w:val="both"/>
        <w:rPr>
          <w:rFonts w:ascii="Museo Sans 300" w:hAnsi="Museo Sans 300"/>
          <w:b/>
          <w:bCs/>
          <w:sz w:val="22"/>
          <w:szCs w:val="22"/>
        </w:rPr>
      </w:pPr>
      <w:r w:rsidRPr="000940F5">
        <w:rPr>
          <w:rFonts w:ascii="Museo Sans 300" w:hAnsi="Museo Sans 300"/>
          <w:b/>
          <w:bCs/>
          <w:sz w:val="22"/>
          <w:szCs w:val="22"/>
        </w:rPr>
        <w:t>Sanciones (4)</w:t>
      </w:r>
    </w:p>
    <w:p w14:paraId="22F5EA74" w14:textId="77777777" w:rsidR="000940F5" w:rsidRPr="000940F5" w:rsidRDefault="000940F5" w:rsidP="000940F5">
      <w:pPr>
        <w:jc w:val="both"/>
        <w:rPr>
          <w:rFonts w:ascii="Museo Sans 300" w:hAnsi="Museo Sans 300"/>
          <w:sz w:val="22"/>
          <w:szCs w:val="22"/>
        </w:rPr>
      </w:pPr>
      <w:r w:rsidRPr="000940F5">
        <w:rPr>
          <w:rFonts w:ascii="Museo Sans 300" w:hAnsi="Museo Sans 300"/>
          <w:b/>
          <w:bCs/>
          <w:sz w:val="22"/>
          <w:szCs w:val="22"/>
        </w:rPr>
        <w:t>Art. 22-C.-</w:t>
      </w:r>
      <w:r w:rsidRPr="000940F5">
        <w:rPr>
          <w:rFonts w:ascii="Museo Sans 300" w:hAnsi="Museo Sans 300"/>
          <w:sz w:val="22"/>
          <w:szCs w:val="22"/>
        </w:rPr>
        <w:t xml:space="preserve"> Los incumplimientos a las disposiciones contenidas en las presentes Normas, serán sancionados de conformidad con lo previsto en la Ley de Supervisión y Regulación del Sistema Financiero. (4)</w:t>
      </w:r>
    </w:p>
    <w:p w14:paraId="4F301A2A" w14:textId="77777777" w:rsidR="000940F5" w:rsidRPr="000940F5" w:rsidRDefault="000940F5" w:rsidP="000940F5">
      <w:pPr>
        <w:rPr>
          <w:rFonts w:ascii="Museo Sans 300" w:hAnsi="Museo Sans 300"/>
          <w:sz w:val="22"/>
          <w:szCs w:val="22"/>
        </w:rPr>
      </w:pPr>
    </w:p>
    <w:p w14:paraId="036895AD" w14:textId="77777777" w:rsidR="000940F5" w:rsidRPr="000940F5" w:rsidRDefault="000940F5" w:rsidP="000940F5">
      <w:pPr>
        <w:rPr>
          <w:rFonts w:ascii="Museo Sans 300" w:hAnsi="Museo Sans 300"/>
          <w:b/>
          <w:sz w:val="22"/>
          <w:szCs w:val="22"/>
        </w:rPr>
      </w:pPr>
      <w:r w:rsidRPr="000940F5">
        <w:rPr>
          <w:rFonts w:ascii="Museo Sans 300" w:hAnsi="Museo Sans 300"/>
          <w:b/>
          <w:sz w:val="22"/>
          <w:szCs w:val="22"/>
        </w:rPr>
        <w:t>Aspectos no previstos (4).</w:t>
      </w:r>
    </w:p>
    <w:p w14:paraId="5E42CE36" w14:textId="77777777" w:rsidR="000940F5" w:rsidRPr="000940F5" w:rsidRDefault="000940F5" w:rsidP="000940F5">
      <w:pPr>
        <w:pStyle w:val="Ttulo2"/>
        <w:spacing w:line="240" w:lineRule="auto"/>
        <w:rPr>
          <w:rFonts w:ascii="Museo Sans 300" w:hAnsi="Museo Sans 300"/>
          <w:b w:val="0"/>
          <w:sz w:val="22"/>
          <w:szCs w:val="22"/>
        </w:rPr>
      </w:pPr>
      <w:r w:rsidRPr="000940F5">
        <w:rPr>
          <w:rFonts w:ascii="Museo Sans 300" w:hAnsi="Museo Sans 300"/>
          <w:sz w:val="22"/>
          <w:szCs w:val="22"/>
        </w:rPr>
        <w:t xml:space="preserve">Art. 23.- </w:t>
      </w:r>
      <w:r w:rsidRPr="000940F5">
        <w:rPr>
          <w:rFonts w:ascii="Museo Sans 300" w:hAnsi="Museo Sans 300"/>
          <w:b w:val="0"/>
          <w:sz w:val="22"/>
          <w:szCs w:val="22"/>
        </w:rPr>
        <w:t>Los aspectos no previstos en materia de regulación en las presentes Normas, serán resueltos por el Banco Central por medio de su Comité de Normas. (4)</w:t>
      </w:r>
    </w:p>
    <w:p w14:paraId="17ACD516" w14:textId="77777777" w:rsidR="00B96A9B" w:rsidRDefault="00B96A9B" w:rsidP="00C31CFE">
      <w:pPr>
        <w:jc w:val="both"/>
        <w:rPr>
          <w:rFonts w:ascii="Museo Sans 300" w:hAnsi="Museo Sans 300"/>
          <w:sz w:val="22"/>
          <w:szCs w:val="22"/>
        </w:rPr>
      </w:pPr>
    </w:p>
    <w:p w14:paraId="2B6CBA65" w14:textId="77777777" w:rsidR="00C31CFE" w:rsidRPr="00B82B2C" w:rsidRDefault="00C31CFE" w:rsidP="00ED2785">
      <w:pPr>
        <w:rPr>
          <w:rFonts w:ascii="Museo Sans 300" w:hAnsi="Museo Sans 300"/>
          <w:b/>
          <w:sz w:val="22"/>
          <w:szCs w:val="22"/>
        </w:rPr>
      </w:pPr>
      <w:r w:rsidRPr="00B82B2C">
        <w:rPr>
          <w:rFonts w:ascii="Museo Sans 300" w:hAnsi="Museo Sans 300"/>
          <w:b/>
          <w:sz w:val="22"/>
          <w:szCs w:val="22"/>
        </w:rPr>
        <w:t>Vigencia</w:t>
      </w:r>
    </w:p>
    <w:p w14:paraId="053791C2" w14:textId="47F59A19"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24.</w:t>
      </w:r>
      <w:r w:rsidRPr="00B82B2C">
        <w:rPr>
          <w:rFonts w:ascii="Museo Sans 300" w:hAnsi="Museo Sans 300"/>
          <w:sz w:val="22"/>
          <w:szCs w:val="22"/>
        </w:rPr>
        <w:t>- Las presentes Normas entrarán en vigencia a partir del uno de agosto de dos mil once.</w:t>
      </w:r>
    </w:p>
    <w:p w14:paraId="50A6545A" w14:textId="77777777" w:rsidR="00E54D0E" w:rsidRPr="00B82B2C" w:rsidRDefault="00E54D0E" w:rsidP="00B93156">
      <w:pPr>
        <w:rPr>
          <w:rFonts w:ascii="Museo Sans 300" w:hAnsi="Museo Sans 300"/>
          <w:b/>
          <w:sz w:val="22"/>
          <w:szCs w:val="22"/>
        </w:rPr>
      </w:pPr>
    </w:p>
    <w:p w14:paraId="32948BA3" w14:textId="77777777" w:rsidR="00B82B2C" w:rsidRPr="00B82B2C" w:rsidRDefault="00B82B2C" w:rsidP="00B93156">
      <w:pPr>
        <w:rPr>
          <w:rFonts w:ascii="Museo Sans 300" w:hAnsi="Museo Sans 300"/>
          <w:b/>
          <w:sz w:val="22"/>
          <w:szCs w:val="22"/>
        </w:rPr>
      </w:pPr>
    </w:p>
    <w:p w14:paraId="73C2D78B" w14:textId="14D3DA46" w:rsidR="00ED2785" w:rsidRPr="00B82B2C" w:rsidRDefault="00ED2785" w:rsidP="00203C1C">
      <w:pPr>
        <w:spacing w:after="120"/>
        <w:jc w:val="both"/>
        <w:rPr>
          <w:rFonts w:ascii="Museo Sans 300" w:hAnsi="Museo Sans 300"/>
          <w:b/>
          <w:sz w:val="22"/>
          <w:szCs w:val="22"/>
        </w:rPr>
      </w:pPr>
      <w:r w:rsidRPr="00B82B2C">
        <w:rPr>
          <w:rFonts w:ascii="Museo Sans 300" w:hAnsi="Museo Sans 300"/>
          <w:b/>
          <w:sz w:val="22"/>
          <w:szCs w:val="22"/>
        </w:rPr>
        <w:t>MODIFICACIONES:</w:t>
      </w:r>
    </w:p>
    <w:p w14:paraId="77F9A6F3" w14:textId="6F157EB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(1)</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CN-02/2012 de fecha 3 de febrero de 2012, con vigencia a partir del día 9 de marzo de dos mil doce.</w:t>
      </w:r>
    </w:p>
    <w:p w14:paraId="3F86BCFA" w14:textId="33DDE10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(2)</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CN-05/2012 de fecha 27 de abril de 2012, con vigencia a partir del día 14 de mayo de dos mil doce.</w:t>
      </w:r>
    </w:p>
    <w:p w14:paraId="1B02884E" w14:textId="008D3BEE" w:rsidR="005909FA" w:rsidRPr="00E4532C" w:rsidRDefault="005909FA" w:rsidP="005909FA">
      <w:pPr>
        <w:pStyle w:val="Prrafodelista"/>
        <w:keepLines/>
        <w:numPr>
          <w:ilvl w:val="0"/>
          <w:numId w:val="14"/>
        </w:numPr>
        <w:ind w:left="426" w:hanging="426"/>
        <w:contextualSpacing/>
        <w:jc w:val="both"/>
        <w:rPr>
          <w:rFonts w:ascii="Museo Sans 300" w:hAnsi="Museo Sans 300"/>
          <w:b/>
          <w:bCs/>
          <w:sz w:val="22"/>
          <w:szCs w:val="22"/>
        </w:rPr>
      </w:pPr>
      <w:r w:rsidRPr="00902379">
        <w:rPr>
          <w:rFonts w:ascii="Museo Sans 300" w:hAnsi="Museo Sans 300"/>
          <w:b/>
          <w:bCs/>
          <w:sz w:val="22"/>
          <w:szCs w:val="22"/>
        </w:rPr>
        <w:t xml:space="preserve">Modificaciones </w:t>
      </w:r>
      <w:r w:rsidR="00693E18" w:rsidRPr="00902379">
        <w:rPr>
          <w:rFonts w:ascii="Museo Sans 300" w:hAnsi="Museo Sans 300"/>
          <w:b/>
          <w:bCs/>
          <w:sz w:val="22"/>
          <w:szCs w:val="22"/>
        </w:rPr>
        <w:t xml:space="preserve">a los artículos 6, 7, 8 y 9 </w:t>
      </w:r>
      <w:r w:rsidRPr="00902379">
        <w:rPr>
          <w:rFonts w:ascii="Museo Sans 300" w:hAnsi="Museo Sans 300" w:cs="Arial"/>
          <w:b/>
          <w:bCs/>
          <w:sz w:val="22"/>
          <w:szCs w:val="22"/>
        </w:rPr>
        <w:t>aprobadas por el Comité de Normas del Banco Central de Reserva de El Salvador en Sesión No. CN</w:t>
      </w:r>
      <w:r w:rsidR="00B82B2C" w:rsidRPr="00902379">
        <w:rPr>
          <w:rFonts w:ascii="Museo Sans 300" w:hAnsi="Museo Sans 300" w:cs="Arial"/>
          <w:b/>
          <w:bCs/>
          <w:sz w:val="22"/>
          <w:szCs w:val="22"/>
        </w:rPr>
        <w:t>-1</w:t>
      </w:r>
      <w:r w:rsidR="00940C2E" w:rsidRPr="00902379">
        <w:rPr>
          <w:rFonts w:ascii="Museo Sans 300" w:hAnsi="Museo Sans 300" w:cs="Arial"/>
          <w:b/>
          <w:bCs/>
          <w:sz w:val="22"/>
          <w:szCs w:val="22"/>
        </w:rPr>
        <w:t>7</w:t>
      </w:r>
      <w:r w:rsidRPr="00902379">
        <w:rPr>
          <w:rFonts w:ascii="Museo Sans 300" w:hAnsi="Museo Sans 300" w:cs="Arial"/>
          <w:b/>
          <w:bCs/>
          <w:sz w:val="22"/>
          <w:szCs w:val="22"/>
        </w:rPr>
        <w:t xml:space="preserve">/2020 de fecha </w:t>
      </w:r>
      <w:r w:rsidR="00940C2E" w:rsidRPr="00902379">
        <w:rPr>
          <w:rFonts w:ascii="Museo Sans 300" w:hAnsi="Museo Sans 300" w:cs="Arial"/>
          <w:b/>
          <w:bCs/>
          <w:sz w:val="22"/>
          <w:szCs w:val="22"/>
        </w:rPr>
        <w:t>21</w:t>
      </w:r>
      <w:r w:rsidR="00B82B2C" w:rsidRPr="00902379">
        <w:rPr>
          <w:rFonts w:ascii="Museo Sans 300" w:hAnsi="Museo Sans 300" w:cs="Arial"/>
          <w:b/>
          <w:bCs/>
          <w:sz w:val="22"/>
          <w:szCs w:val="22"/>
        </w:rPr>
        <w:t xml:space="preserve"> </w:t>
      </w:r>
      <w:r w:rsidRPr="00902379">
        <w:rPr>
          <w:rFonts w:ascii="Museo Sans 300" w:hAnsi="Museo Sans 300" w:cs="Arial"/>
          <w:b/>
          <w:bCs/>
          <w:sz w:val="22"/>
          <w:szCs w:val="22"/>
        </w:rPr>
        <w:t xml:space="preserve">de </w:t>
      </w:r>
      <w:r w:rsidR="00B82B2C" w:rsidRPr="00902379">
        <w:rPr>
          <w:rFonts w:ascii="Museo Sans 300" w:hAnsi="Museo Sans 300" w:cs="Arial"/>
          <w:b/>
          <w:bCs/>
          <w:sz w:val="22"/>
          <w:szCs w:val="22"/>
        </w:rPr>
        <w:t>octubre</w:t>
      </w:r>
      <w:r w:rsidRPr="00902379">
        <w:rPr>
          <w:rFonts w:ascii="Museo Sans 300" w:hAnsi="Museo Sans 300" w:cs="Arial"/>
          <w:b/>
          <w:bCs/>
          <w:sz w:val="22"/>
          <w:szCs w:val="22"/>
        </w:rPr>
        <w:t xml:space="preserve"> de dos mil veinte, con vigencia a partir del </w:t>
      </w:r>
      <w:r w:rsidR="00902379" w:rsidRPr="00902379">
        <w:rPr>
          <w:rFonts w:ascii="Museo Sans 300" w:hAnsi="Museo Sans 300" w:cs="Arial"/>
          <w:b/>
          <w:bCs/>
          <w:sz w:val="22"/>
          <w:szCs w:val="22"/>
        </w:rPr>
        <w:t>5</w:t>
      </w:r>
      <w:r w:rsidRPr="00902379">
        <w:rPr>
          <w:rFonts w:ascii="Museo Sans 300" w:hAnsi="Museo Sans 300" w:cs="Arial"/>
          <w:b/>
          <w:bCs/>
          <w:sz w:val="22"/>
          <w:szCs w:val="22"/>
        </w:rPr>
        <w:t xml:space="preserve"> de </w:t>
      </w:r>
      <w:r w:rsidR="00902379" w:rsidRPr="00902379">
        <w:rPr>
          <w:rFonts w:ascii="Museo Sans 300" w:hAnsi="Museo Sans 300" w:cs="Arial"/>
          <w:b/>
          <w:bCs/>
          <w:sz w:val="22"/>
          <w:szCs w:val="22"/>
        </w:rPr>
        <w:t>noviembre</w:t>
      </w:r>
      <w:r w:rsidRPr="00902379">
        <w:rPr>
          <w:rFonts w:ascii="Museo Sans 300" w:hAnsi="Museo Sans 300" w:cs="Arial"/>
          <w:b/>
          <w:bCs/>
          <w:sz w:val="22"/>
          <w:szCs w:val="22"/>
        </w:rPr>
        <w:t xml:space="preserve"> de dos mil veinte</w:t>
      </w:r>
      <w:r w:rsidRPr="00902379">
        <w:rPr>
          <w:rFonts w:ascii="Museo Sans 300" w:hAnsi="Museo Sans 300"/>
          <w:b/>
          <w:bCs/>
          <w:sz w:val="22"/>
          <w:szCs w:val="22"/>
        </w:rPr>
        <w:t xml:space="preserve">. Con el objeto de guardar consistencia con nueva normativa aprobada por </w:t>
      </w:r>
      <w:r w:rsidRPr="00E4532C">
        <w:rPr>
          <w:rFonts w:ascii="Museo Sans 300" w:hAnsi="Museo Sans 300"/>
          <w:b/>
          <w:bCs/>
          <w:sz w:val="22"/>
          <w:szCs w:val="22"/>
        </w:rPr>
        <w:t>el Comité de Normas.</w:t>
      </w:r>
    </w:p>
    <w:p w14:paraId="17DE83A9" w14:textId="78AEA357" w:rsidR="007A23F2" w:rsidRPr="00E4532C" w:rsidRDefault="000940F5" w:rsidP="000940F5">
      <w:pPr>
        <w:pStyle w:val="Prrafodelista"/>
        <w:keepLines/>
        <w:numPr>
          <w:ilvl w:val="0"/>
          <w:numId w:val="14"/>
        </w:numPr>
        <w:ind w:left="426" w:hanging="426"/>
        <w:contextualSpacing/>
        <w:jc w:val="both"/>
        <w:rPr>
          <w:rFonts w:ascii="Museo Sans 300" w:hAnsi="Museo Sans 300"/>
          <w:b/>
          <w:bCs/>
          <w:sz w:val="22"/>
          <w:szCs w:val="22"/>
        </w:rPr>
        <w:sectPr w:rsidR="007A23F2" w:rsidRPr="00E4532C">
          <w:headerReference w:type="default" r:id="rId12"/>
          <w:footerReference w:type="default" r:id="rId13"/>
          <w:pgSz w:w="12240" w:h="15840"/>
          <w:pgMar w:top="1417" w:right="1701" w:bottom="1417" w:left="1701" w:header="708" w:footer="708" w:gutter="0"/>
          <w:cols w:space="708"/>
          <w:docGrid w:linePitch="360"/>
        </w:sectPr>
      </w:pPr>
      <w:r w:rsidRPr="00E4532C">
        <w:rPr>
          <w:rFonts w:ascii="Museo Sans 300" w:hAnsi="Museo Sans 300"/>
          <w:b/>
          <w:bCs/>
          <w:sz w:val="22"/>
          <w:szCs w:val="22"/>
        </w:rPr>
        <w:t xml:space="preserve">Modificaciones a los artículos </w:t>
      </w:r>
      <w:r w:rsidR="0068381B">
        <w:rPr>
          <w:rFonts w:ascii="Museo Sans 300" w:hAnsi="Museo Sans 300"/>
          <w:b/>
          <w:bCs/>
          <w:sz w:val="22"/>
          <w:szCs w:val="22"/>
        </w:rPr>
        <w:t xml:space="preserve">1, </w:t>
      </w:r>
      <w:r w:rsidR="00BC6667" w:rsidRPr="00E4532C">
        <w:rPr>
          <w:rFonts w:ascii="Museo Sans 300" w:hAnsi="Museo Sans 300"/>
          <w:b/>
          <w:bCs/>
          <w:sz w:val="22"/>
          <w:szCs w:val="22"/>
        </w:rPr>
        <w:t>2</w:t>
      </w:r>
      <w:r w:rsidR="002C3325" w:rsidRPr="00E4532C">
        <w:rPr>
          <w:rFonts w:ascii="Museo Sans 300" w:hAnsi="Museo Sans 300"/>
          <w:b/>
          <w:bCs/>
          <w:sz w:val="22"/>
          <w:szCs w:val="22"/>
        </w:rPr>
        <w:t>,</w:t>
      </w:r>
      <w:r w:rsidR="00093257">
        <w:rPr>
          <w:rFonts w:ascii="Museo Sans 300" w:hAnsi="Museo Sans 300"/>
          <w:b/>
          <w:bCs/>
          <w:sz w:val="22"/>
          <w:szCs w:val="22"/>
        </w:rPr>
        <w:t xml:space="preserve"> </w:t>
      </w:r>
      <w:r w:rsidR="002C3325" w:rsidRPr="00E4532C">
        <w:rPr>
          <w:rFonts w:ascii="Museo Sans 300" w:hAnsi="Museo Sans 300"/>
          <w:b/>
          <w:bCs/>
          <w:sz w:val="22"/>
          <w:szCs w:val="22"/>
        </w:rPr>
        <w:t>6, 20</w:t>
      </w:r>
      <w:r w:rsidR="0068381B">
        <w:rPr>
          <w:rFonts w:ascii="Museo Sans 300" w:hAnsi="Museo Sans 300"/>
          <w:b/>
          <w:bCs/>
          <w:sz w:val="22"/>
          <w:szCs w:val="22"/>
        </w:rPr>
        <w:t>,</w:t>
      </w:r>
      <w:r w:rsidRPr="00E4532C">
        <w:rPr>
          <w:rFonts w:ascii="Museo Sans 300" w:hAnsi="Museo Sans 300"/>
          <w:b/>
          <w:bCs/>
          <w:sz w:val="22"/>
          <w:szCs w:val="22"/>
        </w:rPr>
        <w:t xml:space="preserve"> 23</w:t>
      </w:r>
      <w:r w:rsidR="0068381B">
        <w:rPr>
          <w:rFonts w:ascii="Museo Sans 300" w:hAnsi="Museo Sans 300"/>
          <w:b/>
          <w:bCs/>
          <w:sz w:val="22"/>
          <w:szCs w:val="22"/>
        </w:rPr>
        <w:t xml:space="preserve"> y glosario de términos</w:t>
      </w:r>
      <w:r w:rsidRPr="00E4532C">
        <w:rPr>
          <w:rFonts w:ascii="Museo Sans 300" w:hAnsi="Museo Sans 300"/>
          <w:b/>
          <w:bCs/>
          <w:sz w:val="22"/>
          <w:szCs w:val="22"/>
        </w:rPr>
        <w:t xml:space="preserve"> y adicionando los artículos 22-A, </w:t>
      </w:r>
      <w:r w:rsidR="00E4532C" w:rsidRPr="00E4532C">
        <w:rPr>
          <w:rFonts w:ascii="Museo Sans 300" w:hAnsi="Museo Sans 300"/>
          <w:b/>
          <w:bCs/>
          <w:sz w:val="22"/>
          <w:szCs w:val="22"/>
        </w:rPr>
        <w:t xml:space="preserve"> </w:t>
      </w:r>
      <w:r w:rsidRPr="00E4532C">
        <w:rPr>
          <w:rFonts w:ascii="Museo Sans 300" w:hAnsi="Museo Sans 300"/>
          <w:b/>
          <w:bCs/>
          <w:sz w:val="22"/>
          <w:szCs w:val="22"/>
        </w:rPr>
        <w:t xml:space="preserve">22-B,  </w:t>
      </w:r>
      <w:r w:rsidR="002C3325" w:rsidRPr="00E4532C">
        <w:rPr>
          <w:rFonts w:ascii="Museo Sans 300" w:hAnsi="Museo Sans 300"/>
          <w:b/>
          <w:bCs/>
          <w:sz w:val="22"/>
          <w:szCs w:val="22"/>
        </w:rPr>
        <w:t>y</w:t>
      </w:r>
      <w:r w:rsidRPr="00E4532C">
        <w:rPr>
          <w:rFonts w:ascii="Museo Sans 300" w:hAnsi="Museo Sans 300"/>
          <w:b/>
          <w:bCs/>
          <w:sz w:val="22"/>
          <w:szCs w:val="22"/>
        </w:rPr>
        <w:t xml:space="preserve"> 22-C, </w:t>
      </w:r>
      <w:r w:rsidRPr="00E4532C">
        <w:rPr>
          <w:rFonts w:ascii="Museo Sans 300" w:hAnsi="Museo Sans 300" w:cs="Arial"/>
          <w:b/>
          <w:bCs/>
          <w:sz w:val="22"/>
          <w:szCs w:val="22"/>
        </w:rPr>
        <w:t xml:space="preserve">aprobadas por el Comité de Normas del Banco Central de Reserva de El Salvador en Sesión No. CN-02/2022 de fecha </w:t>
      </w:r>
      <w:r w:rsidR="00C53BD8">
        <w:rPr>
          <w:rFonts w:ascii="Museo Sans 300" w:hAnsi="Museo Sans 300" w:cs="Arial"/>
          <w:b/>
          <w:bCs/>
          <w:sz w:val="22"/>
          <w:szCs w:val="22"/>
        </w:rPr>
        <w:t>2</w:t>
      </w:r>
      <w:r w:rsidR="000D0C16">
        <w:rPr>
          <w:rFonts w:ascii="Museo Sans 300" w:hAnsi="Museo Sans 300" w:cs="Arial"/>
          <w:b/>
          <w:bCs/>
          <w:sz w:val="22"/>
          <w:szCs w:val="22"/>
        </w:rPr>
        <w:t>1</w:t>
      </w:r>
      <w:r w:rsidRPr="00E4532C">
        <w:rPr>
          <w:rFonts w:ascii="Museo Sans 300" w:hAnsi="Museo Sans 300" w:cs="Arial"/>
          <w:b/>
          <w:bCs/>
          <w:sz w:val="22"/>
          <w:szCs w:val="22"/>
        </w:rPr>
        <w:t xml:space="preserve"> de febrero de dos mil veintidós, con vigencia a partir del </w:t>
      </w:r>
      <w:r w:rsidR="000D0C16">
        <w:rPr>
          <w:rFonts w:ascii="Museo Sans 300" w:hAnsi="Museo Sans 300" w:cs="Arial"/>
          <w:b/>
          <w:bCs/>
          <w:sz w:val="22"/>
          <w:szCs w:val="22"/>
        </w:rPr>
        <w:t>8</w:t>
      </w:r>
      <w:r w:rsidRPr="00E4532C">
        <w:rPr>
          <w:rFonts w:ascii="Museo Sans 300" w:hAnsi="Museo Sans 300" w:cs="Arial"/>
          <w:b/>
          <w:bCs/>
          <w:sz w:val="22"/>
          <w:szCs w:val="22"/>
        </w:rPr>
        <w:t xml:space="preserve"> de </w:t>
      </w:r>
      <w:r w:rsidR="00C53BD8">
        <w:rPr>
          <w:rFonts w:ascii="Museo Sans 300" w:hAnsi="Museo Sans 300" w:cs="Arial"/>
          <w:b/>
          <w:bCs/>
          <w:sz w:val="22"/>
          <w:szCs w:val="22"/>
        </w:rPr>
        <w:t>marzo</w:t>
      </w:r>
      <w:r w:rsidRPr="00E4532C">
        <w:rPr>
          <w:rFonts w:ascii="Museo Sans 300" w:hAnsi="Museo Sans 300" w:cs="Arial"/>
          <w:b/>
          <w:bCs/>
          <w:sz w:val="22"/>
          <w:szCs w:val="22"/>
        </w:rPr>
        <w:t xml:space="preserve"> de dos mil veintidós</w:t>
      </w:r>
      <w:r w:rsidRPr="00E4532C">
        <w:rPr>
          <w:rFonts w:ascii="Museo Sans 300" w:hAnsi="Museo Sans 300"/>
          <w:b/>
          <w:bCs/>
          <w:sz w:val="22"/>
          <w:szCs w:val="22"/>
        </w:rPr>
        <w:t xml:space="preserve">. </w:t>
      </w:r>
    </w:p>
    <w:p w14:paraId="42A4DB3B" w14:textId="5615BC91" w:rsidR="00637863" w:rsidRPr="00B82B2C" w:rsidRDefault="00637863"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w:t>
      </w:r>
      <w:r w:rsidR="0014677C">
        <w:rPr>
          <w:rFonts w:ascii="Museo Sans 300" w:hAnsi="Museo Sans 300"/>
          <w:b/>
          <w:sz w:val="22"/>
          <w:szCs w:val="22"/>
        </w:rPr>
        <w:t>o</w:t>
      </w:r>
      <w:r w:rsidR="00883BD6" w:rsidRPr="00B82B2C">
        <w:rPr>
          <w:rFonts w:ascii="Museo Sans 300" w:hAnsi="Museo Sans 300"/>
          <w:b/>
          <w:sz w:val="22"/>
          <w:szCs w:val="22"/>
        </w:rPr>
        <w:t>.</w:t>
      </w:r>
      <w:r w:rsidRPr="00B82B2C">
        <w:rPr>
          <w:rFonts w:ascii="Museo Sans 300" w:hAnsi="Museo Sans 300"/>
          <w:b/>
          <w:sz w:val="22"/>
          <w:szCs w:val="22"/>
        </w:rPr>
        <w:t xml:space="preserve"> 1</w:t>
      </w:r>
    </w:p>
    <w:p w14:paraId="497B2CB7" w14:textId="77777777" w:rsidR="00637863" w:rsidRPr="00B82B2C" w:rsidRDefault="00637863" w:rsidP="00637863">
      <w:pPr>
        <w:jc w:val="center"/>
        <w:rPr>
          <w:rFonts w:ascii="Museo Sans 300" w:hAnsi="Museo Sans 300"/>
          <w:b/>
          <w:sz w:val="22"/>
          <w:szCs w:val="22"/>
        </w:rPr>
      </w:pPr>
    </w:p>
    <w:p w14:paraId="156F50DC"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TIPOS DE EVENTOS POR RIESGO OPERACIONAL</w:t>
      </w:r>
    </w:p>
    <w:p w14:paraId="255E57FC" w14:textId="77777777" w:rsidR="00D96F2E" w:rsidRPr="00B82B2C" w:rsidRDefault="00D96F2E" w:rsidP="00637863">
      <w:pPr>
        <w:jc w:val="center"/>
        <w:rPr>
          <w:rFonts w:ascii="Museo Sans 300" w:hAnsi="Museo Sans 300"/>
          <w:b/>
          <w:sz w:val="22"/>
          <w:szCs w:val="22"/>
        </w:rPr>
      </w:pPr>
    </w:p>
    <w:tbl>
      <w:tblPr>
        <w:tblW w:w="0" w:type="auto"/>
        <w:tblInd w:w="55" w:type="dxa"/>
        <w:tblCellMar>
          <w:left w:w="70" w:type="dxa"/>
          <w:right w:w="70" w:type="dxa"/>
        </w:tblCellMar>
        <w:tblLook w:val="04A0" w:firstRow="1" w:lastRow="0" w:firstColumn="1" w:lastColumn="0" w:noHBand="0" w:noVBand="1"/>
      </w:tblPr>
      <w:tblGrid>
        <w:gridCol w:w="1459"/>
        <w:gridCol w:w="2850"/>
        <w:gridCol w:w="1698"/>
        <w:gridCol w:w="2756"/>
      </w:tblGrid>
      <w:tr w:rsidR="00D96F2E" w:rsidRPr="00B82B2C" w14:paraId="7D696A5A" w14:textId="77777777" w:rsidTr="00E55232">
        <w:trPr>
          <w:trHeight w:val="330"/>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4318CB3F"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1923459B" w14:textId="293A1232"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1FDA8"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Definición</w:t>
            </w:r>
          </w:p>
        </w:tc>
        <w:tc>
          <w:tcPr>
            <w:tcW w:w="0" w:type="auto"/>
            <w:tcBorders>
              <w:top w:val="single" w:sz="8" w:space="0" w:color="auto"/>
              <w:left w:val="nil"/>
              <w:bottom w:val="nil"/>
              <w:right w:val="single" w:sz="8" w:space="0" w:color="auto"/>
            </w:tcBorders>
            <w:shd w:val="clear" w:color="auto" w:fill="auto"/>
            <w:vAlign w:val="center"/>
            <w:hideMark/>
          </w:tcPr>
          <w:p w14:paraId="0DDD18A2"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Tipo de evento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6C967"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Ejemplos</w:t>
            </w:r>
          </w:p>
        </w:tc>
      </w:tr>
      <w:tr w:rsidR="00D96F2E" w:rsidRPr="00B82B2C" w14:paraId="5E87E0F6" w14:textId="77777777" w:rsidTr="00E55232">
        <w:trPr>
          <w:trHeight w:val="345"/>
        </w:trPr>
        <w:tc>
          <w:tcPr>
            <w:tcW w:w="0" w:type="auto"/>
            <w:vMerge/>
            <w:tcBorders>
              <w:left w:val="single" w:sz="8" w:space="0" w:color="auto"/>
              <w:bottom w:val="single" w:sz="8" w:space="0" w:color="auto"/>
              <w:right w:val="single" w:sz="8" w:space="0" w:color="auto"/>
            </w:tcBorders>
            <w:shd w:val="clear" w:color="auto" w:fill="auto"/>
            <w:vAlign w:val="center"/>
            <w:hideMark/>
          </w:tcPr>
          <w:p w14:paraId="5021FB4D" w14:textId="059BBFC6" w:rsidR="00D96F2E" w:rsidRPr="00B82B2C" w:rsidRDefault="00D96F2E" w:rsidP="00D96F2E">
            <w:pPr>
              <w:jc w:val="center"/>
              <w:rPr>
                <w:rFonts w:ascii="Museo Sans 300" w:hAnsi="Museo Sans 300"/>
                <w:b/>
                <w:bCs/>
                <w:color w:val="000000"/>
                <w:sz w:val="22"/>
                <w:szCs w:val="22"/>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B29582" w14:textId="77777777" w:rsidR="00D96F2E" w:rsidRPr="00B82B2C" w:rsidRDefault="00D96F2E" w:rsidP="00D96F2E">
            <w:pPr>
              <w:jc w:val="center"/>
              <w:rPr>
                <w:rFonts w:ascii="Museo Sans 300" w:hAnsi="Museo Sans 300"/>
                <w:b/>
                <w:bCs/>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581E8294"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44641" w14:textId="77777777" w:rsidR="00D96F2E" w:rsidRPr="00B82B2C" w:rsidRDefault="00D96F2E" w:rsidP="00D96F2E">
            <w:pPr>
              <w:jc w:val="center"/>
              <w:rPr>
                <w:rFonts w:ascii="Museo Sans 300" w:hAnsi="Museo Sans 300"/>
                <w:b/>
                <w:bCs/>
                <w:color w:val="000000"/>
                <w:sz w:val="22"/>
                <w:szCs w:val="22"/>
                <w:lang w:val="es-ES"/>
              </w:rPr>
            </w:pPr>
          </w:p>
        </w:tc>
      </w:tr>
      <w:tr w:rsidR="00D96F2E" w:rsidRPr="00B82B2C" w14:paraId="3398E9F6" w14:textId="77777777" w:rsidTr="00D96F2E">
        <w:trPr>
          <w:trHeight w:val="10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CE23C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interno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400834"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tcBorders>
              <w:top w:val="nil"/>
              <w:left w:val="nil"/>
              <w:bottom w:val="single" w:sz="8" w:space="0" w:color="auto"/>
              <w:right w:val="single" w:sz="8" w:space="0" w:color="auto"/>
            </w:tcBorders>
            <w:shd w:val="clear" w:color="auto" w:fill="auto"/>
            <w:vAlign w:val="center"/>
            <w:hideMark/>
          </w:tcPr>
          <w:p w14:paraId="1B87641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Actividades no autorizadas</w:t>
            </w:r>
          </w:p>
        </w:tc>
        <w:tc>
          <w:tcPr>
            <w:tcW w:w="0" w:type="auto"/>
            <w:tcBorders>
              <w:top w:val="nil"/>
              <w:left w:val="nil"/>
              <w:bottom w:val="single" w:sz="8" w:space="0" w:color="auto"/>
              <w:right w:val="single" w:sz="8" w:space="0" w:color="auto"/>
            </w:tcBorders>
            <w:shd w:val="clear" w:color="auto" w:fill="auto"/>
            <w:vAlign w:val="center"/>
            <w:hideMark/>
          </w:tcPr>
          <w:p w14:paraId="3418B9B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Operaciones no reveladas (intencionalmente), operaciones no autorizadas (con pérdidas económicas), valoración errónea de posiciones (intencional).</w:t>
            </w:r>
          </w:p>
        </w:tc>
      </w:tr>
      <w:tr w:rsidR="00D96F2E" w:rsidRPr="00B82B2C" w14:paraId="55CC516C"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0C54455B"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7F5765F"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ECAEAD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099FE2CC"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malversación, falsificación, soborno, apropiación de cuentas, contrabando, evasión de impuestos (intencional).</w:t>
            </w:r>
          </w:p>
        </w:tc>
      </w:tr>
      <w:tr w:rsidR="00D96F2E" w:rsidRPr="00B82B2C" w14:paraId="7C3A156C" w14:textId="77777777" w:rsidTr="00D96F2E">
        <w:trPr>
          <w:trHeight w:val="81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5C879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externo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CB2A4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la legislación, por parte de un tercero.</w:t>
            </w:r>
          </w:p>
        </w:tc>
        <w:tc>
          <w:tcPr>
            <w:tcW w:w="0" w:type="auto"/>
            <w:tcBorders>
              <w:top w:val="nil"/>
              <w:left w:val="nil"/>
              <w:bottom w:val="single" w:sz="8" w:space="0" w:color="auto"/>
              <w:right w:val="single" w:sz="8" w:space="0" w:color="auto"/>
            </w:tcBorders>
            <w:shd w:val="clear" w:color="auto" w:fill="auto"/>
            <w:vAlign w:val="center"/>
            <w:hideMark/>
          </w:tcPr>
          <w:p w14:paraId="0F23133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4FA4B17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falsificación.</w:t>
            </w:r>
          </w:p>
        </w:tc>
      </w:tr>
      <w:tr w:rsidR="00D96F2E" w:rsidRPr="00B82B2C" w14:paraId="14BA3B8F" w14:textId="77777777" w:rsidTr="00D96F2E">
        <w:trPr>
          <w:trHeight w:val="345"/>
        </w:trPr>
        <w:tc>
          <w:tcPr>
            <w:tcW w:w="0" w:type="auto"/>
            <w:vMerge/>
            <w:tcBorders>
              <w:top w:val="nil"/>
              <w:left w:val="single" w:sz="8" w:space="0" w:color="auto"/>
              <w:bottom w:val="single" w:sz="8" w:space="0" w:color="000000"/>
              <w:right w:val="single" w:sz="8" w:space="0" w:color="auto"/>
            </w:tcBorders>
            <w:vAlign w:val="center"/>
            <w:hideMark/>
          </w:tcPr>
          <w:p w14:paraId="5B54CA97"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5EECF485"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436D813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Seguridad de los sistemas</w:t>
            </w:r>
          </w:p>
        </w:tc>
        <w:tc>
          <w:tcPr>
            <w:tcW w:w="0" w:type="auto"/>
            <w:tcBorders>
              <w:top w:val="nil"/>
              <w:left w:val="nil"/>
              <w:bottom w:val="single" w:sz="8" w:space="0" w:color="auto"/>
              <w:right w:val="single" w:sz="8" w:space="0" w:color="auto"/>
            </w:tcBorders>
            <w:shd w:val="clear" w:color="auto" w:fill="auto"/>
            <w:vAlign w:val="center"/>
            <w:hideMark/>
          </w:tcPr>
          <w:p w14:paraId="5B02C7DC"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Daños por ataques informáticos, robo de información.</w:t>
            </w:r>
          </w:p>
        </w:tc>
      </w:tr>
      <w:tr w:rsidR="00D96F2E" w:rsidRPr="00B82B2C" w14:paraId="067F3415" w14:textId="77777777" w:rsidTr="00D96F2E">
        <w:trPr>
          <w:trHeight w:val="88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8BA15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Relaciones laborales y seguridad en el puesto de trabajo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2BA1A0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tcBorders>
              <w:top w:val="nil"/>
              <w:left w:val="nil"/>
              <w:bottom w:val="single" w:sz="8" w:space="0" w:color="auto"/>
              <w:right w:val="single" w:sz="8" w:space="0" w:color="auto"/>
            </w:tcBorders>
            <w:shd w:val="clear" w:color="auto" w:fill="auto"/>
            <w:vAlign w:val="center"/>
            <w:hideMark/>
          </w:tcPr>
          <w:p w14:paraId="4885E6B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Relaciones laborales</w:t>
            </w:r>
          </w:p>
        </w:tc>
        <w:tc>
          <w:tcPr>
            <w:tcW w:w="0" w:type="auto"/>
            <w:tcBorders>
              <w:top w:val="nil"/>
              <w:left w:val="nil"/>
              <w:bottom w:val="single" w:sz="8" w:space="0" w:color="auto"/>
              <w:right w:val="single" w:sz="8" w:space="0" w:color="auto"/>
            </w:tcBorders>
            <w:shd w:val="clear" w:color="auto" w:fill="auto"/>
            <w:vAlign w:val="center"/>
            <w:hideMark/>
          </w:tcPr>
          <w:p w14:paraId="53F2038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 xml:space="preserve">Cuestiones relativas a remuneración, prestaciones sociales, extinción de contratos. </w:t>
            </w:r>
          </w:p>
        </w:tc>
      </w:tr>
      <w:tr w:rsidR="00D96F2E" w:rsidRPr="00B82B2C" w14:paraId="6E7E1557"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58FDC6C5"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ABF55CD"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94B51F8"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Higiene y seguridad en el trabajo</w:t>
            </w:r>
          </w:p>
        </w:tc>
        <w:tc>
          <w:tcPr>
            <w:tcW w:w="0" w:type="auto"/>
            <w:tcBorders>
              <w:top w:val="nil"/>
              <w:left w:val="nil"/>
              <w:bottom w:val="single" w:sz="8" w:space="0" w:color="auto"/>
              <w:right w:val="single" w:sz="8" w:space="0" w:color="auto"/>
            </w:tcBorders>
            <w:shd w:val="clear" w:color="auto" w:fill="auto"/>
            <w:vAlign w:val="center"/>
            <w:hideMark/>
          </w:tcPr>
          <w:p w14:paraId="19946F49"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Casos relacionados con las normas de higiene y seguridad en el trabajo; indemnización a los trabajadores.</w:t>
            </w:r>
          </w:p>
        </w:tc>
      </w:tr>
      <w:tr w:rsidR="00D96F2E" w:rsidRPr="00B82B2C" w14:paraId="45097648" w14:textId="77777777" w:rsidTr="00D96F2E">
        <w:trPr>
          <w:trHeight w:val="345"/>
        </w:trPr>
        <w:tc>
          <w:tcPr>
            <w:tcW w:w="0" w:type="auto"/>
            <w:vMerge/>
            <w:tcBorders>
              <w:top w:val="nil"/>
              <w:left w:val="single" w:sz="8" w:space="0" w:color="auto"/>
              <w:bottom w:val="single" w:sz="4" w:space="0" w:color="auto"/>
              <w:right w:val="single" w:sz="8" w:space="0" w:color="auto"/>
            </w:tcBorders>
            <w:vAlign w:val="center"/>
            <w:hideMark/>
          </w:tcPr>
          <w:p w14:paraId="760591EE"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4" w:space="0" w:color="auto"/>
              <w:right w:val="single" w:sz="8" w:space="0" w:color="auto"/>
            </w:tcBorders>
            <w:vAlign w:val="center"/>
            <w:hideMark/>
          </w:tcPr>
          <w:p w14:paraId="4EBC43E2"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4" w:space="0" w:color="auto"/>
              <w:right w:val="single" w:sz="8" w:space="0" w:color="auto"/>
            </w:tcBorders>
            <w:shd w:val="clear" w:color="auto" w:fill="auto"/>
            <w:vAlign w:val="center"/>
            <w:hideMark/>
          </w:tcPr>
          <w:p w14:paraId="278508A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Diversidad y discriminación</w:t>
            </w:r>
          </w:p>
        </w:tc>
        <w:tc>
          <w:tcPr>
            <w:tcW w:w="0" w:type="auto"/>
            <w:tcBorders>
              <w:top w:val="nil"/>
              <w:left w:val="nil"/>
              <w:bottom w:val="single" w:sz="4" w:space="0" w:color="auto"/>
              <w:right w:val="single" w:sz="8" w:space="0" w:color="auto"/>
            </w:tcBorders>
            <w:shd w:val="clear" w:color="auto" w:fill="auto"/>
            <w:vAlign w:val="center"/>
            <w:hideMark/>
          </w:tcPr>
          <w:p w14:paraId="35A9901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Todo tipo de discriminación.</w:t>
            </w:r>
          </w:p>
        </w:tc>
      </w:tr>
    </w:tbl>
    <w:p w14:paraId="0436131C" w14:textId="77777777" w:rsidR="00D96F2E" w:rsidRPr="00B82B2C" w:rsidRDefault="00D96F2E" w:rsidP="00637863">
      <w:pPr>
        <w:jc w:val="center"/>
        <w:rPr>
          <w:rFonts w:ascii="Museo Sans 300" w:hAnsi="Museo Sans 300"/>
          <w:b/>
          <w:sz w:val="22"/>
          <w:szCs w:val="22"/>
        </w:rPr>
      </w:pPr>
    </w:p>
    <w:p w14:paraId="6A7DBC5F" w14:textId="77777777" w:rsidR="00637863" w:rsidRPr="00B82B2C" w:rsidRDefault="00637863" w:rsidP="00637863">
      <w:pPr>
        <w:rPr>
          <w:rFonts w:ascii="Museo Sans 300" w:hAnsi="Museo Sans 300"/>
          <w:b/>
          <w:sz w:val="22"/>
          <w:szCs w:val="22"/>
        </w:rPr>
      </w:pPr>
    </w:p>
    <w:p w14:paraId="709FBE7E" w14:textId="18573C91" w:rsidR="00D96F2E" w:rsidRPr="00B82B2C" w:rsidRDefault="00D96F2E" w:rsidP="00637863">
      <w:pPr>
        <w:rPr>
          <w:rFonts w:ascii="Museo Sans 300" w:hAnsi="Museo Sans 300"/>
          <w:b/>
          <w:sz w:val="22"/>
          <w:szCs w:val="22"/>
        </w:rPr>
      </w:pPr>
    </w:p>
    <w:p w14:paraId="07B07A7A" w14:textId="77777777" w:rsidR="00D96F2E" w:rsidRPr="00B82B2C" w:rsidRDefault="00D96F2E" w:rsidP="00637863">
      <w:pPr>
        <w:rPr>
          <w:rFonts w:ascii="Museo Sans 300" w:hAnsi="Museo Sans 300"/>
          <w:b/>
          <w:sz w:val="22"/>
          <w:szCs w:val="22"/>
        </w:rPr>
      </w:pPr>
    </w:p>
    <w:p w14:paraId="6AE66760" w14:textId="77777777" w:rsidR="00D96F2E" w:rsidRPr="00B82B2C" w:rsidRDefault="00D96F2E" w:rsidP="00637863">
      <w:pPr>
        <w:rPr>
          <w:rFonts w:ascii="Museo Sans 300" w:hAnsi="Museo Sans 300"/>
          <w:b/>
          <w:sz w:val="22"/>
          <w:szCs w:val="22"/>
        </w:rPr>
      </w:pPr>
    </w:p>
    <w:p w14:paraId="1462ACDA" w14:textId="5CF5A83F" w:rsidR="00D96F2E"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Anexo N</w:t>
      </w:r>
      <w:r w:rsidR="0014677C">
        <w:rPr>
          <w:rFonts w:ascii="Museo Sans 300" w:hAnsi="Museo Sans 300"/>
          <w:b/>
          <w:sz w:val="22"/>
          <w:szCs w:val="22"/>
        </w:rPr>
        <w:t>o</w:t>
      </w:r>
      <w:r w:rsidRPr="00B82B2C">
        <w:rPr>
          <w:rFonts w:ascii="Museo Sans 300" w:hAnsi="Museo Sans 300"/>
          <w:b/>
          <w:sz w:val="22"/>
          <w:szCs w:val="22"/>
        </w:rPr>
        <w:t>. 1</w:t>
      </w:r>
    </w:p>
    <w:p w14:paraId="57444FF4" w14:textId="77777777" w:rsidR="00D00DEE" w:rsidRPr="00B82B2C" w:rsidRDefault="00D00DEE" w:rsidP="00702CBC">
      <w:pPr>
        <w:tabs>
          <w:tab w:val="left" w:pos="7359"/>
          <w:tab w:val="right" w:pos="8838"/>
        </w:tabs>
        <w:jc w:val="right"/>
        <w:rPr>
          <w:rFonts w:ascii="Museo Sans 300" w:hAnsi="Museo Sans 300"/>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2211"/>
        <w:gridCol w:w="1984"/>
        <w:gridCol w:w="3238"/>
      </w:tblGrid>
      <w:tr w:rsidR="00D96F2E" w:rsidRPr="00E072D8" w14:paraId="687E0553" w14:textId="77777777" w:rsidTr="00E072D8">
        <w:trPr>
          <w:trHeight w:val="616"/>
        </w:trPr>
        <w:tc>
          <w:tcPr>
            <w:tcW w:w="0" w:type="auto"/>
            <w:shd w:val="clear" w:color="auto" w:fill="auto"/>
            <w:vAlign w:val="center"/>
          </w:tcPr>
          <w:p w14:paraId="2EBC70D4"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657486C5" w14:textId="0E41475D"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1)</w:t>
            </w:r>
          </w:p>
        </w:tc>
        <w:tc>
          <w:tcPr>
            <w:tcW w:w="2211" w:type="dxa"/>
            <w:shd w:val="clear" w:color="auto" w:fill="auto"/>
            <w:vAlign w:val="center"/>
          </w:tcPr>
          <w:p w14:paraId="42632190" w14:textId="795B8629"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Definición</w:t>
            </w:r>
          </w:p>
        </w:tc>
        <w:tc>
          <w:tcPr>
            <w:tcW w:w="1984" w:type="dxa"/>
            <w:shd w:val="clear" w:color="auto" w:fill="auto"/>
            <w:vAlign w:val="center"/>
          </w:tcPr>
          <w:p w14:paraId="45672BCE"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700B5DA9" w14:textId="220857AD" w:rsidR="00CF7AD6" w:rsidRPr="00E072D8" w:rsidRDefault="00CF7AD6"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2)</w:t>
            </w:r>
          </w:p>
        </w:tc>
        <w:tc>
          <w:tcPr>
            <w:tcW w:w="3238" w:type="dxa"/>
            <w:shd w:val="clear" w:color="auto" w:fill="auto"/>
            <w:vAlign w:val="center"/>
          </w:tcPr>
          <w:p w14:paraId="7F15201D" w14:textId="1BC089AE"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Ejemplos</w:t>
            </w:r>
          </w:p>
        </w:tc>
      </w:tr>
      <w:tr w:rsidR="00D96F2E" w:rsidRPr="00E072D8" w14:paraId="1FA9CDD0" w14:textId="77777777" w:rsidTr="00E072D8">
        <w:trPr>
          <w:trHeight w:val="1335"/>
        </w:trPr>
        <w:tc>
          <w:tcPr>
            <w:tcW w:w="0" w:type="auto"/>
            <w:vMerge w:val="restart"/>
            <w:shd w:val="clear" w:color="auto" w:fill="auto"/>
            <w:vAlign w:val="center"/>
            <w:hideMark/>
          </w:tcPr>
          <w:p w14:paraId="1BBBBEB6"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Clientes, productos y prácticas  de negocios</w:t>
            </w:r>
          </w:p>
        </w:tc>
        <w:tc>
          <w:tcPr>
            <w:tcW w:w="2211" w:type="dxa"/>
            <w:vMerge w:val="restart"/>
            <w:shd w:val="clear" w:color="auto" w:fill="auto"/>
            <w:vAlign w:val="center"/>
            <w:hideMark/>
          </w:tcPr>
          <w:p w14:paraId="0C8FFB40"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del incumplimiento involuntario o negligente de una obligación empresarial frente a clientes concretos (incluidos requisitos fiduciarios y de adecuación), o de la naturaleza o diseño de un producto.</w:t>
            </w:r>
          </w:p>
        </w:tc>
        <w:tc>
          <w:tcPr>
            <w:tcW w:w="1984" w:type="dxa"/>
            <w:shd w:val="clear" w:color="auto" w:fill="auto"/>
            <w:vAlign w:val="center"/>
            <w:hideMark/>
          </w:tcPr>
          <w:p w14:paraId="0AA68365"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Adecuación, divulgación de información y confianza</w:t>
            </w:r>
          </w:p>
        </w:tc>
        <w:tc>
          <w:tcPr>
            <w:tcW w:w="3238" w:type="dxa"/>
            <w:shd w:val="clear" w:color="auto" w:fill="auto"/>
            <w:vAlign w:val="center"/>
            <w:hideMark/>
          </w:tcPr>
          <w:p w14:paraId="310B758F"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Abusos de confianza / incumplimiento de pautas, aspectos de adecuación / divulgación de información (conocimiento del cliente, etc.), infringir la privacidad de información sobre clientes minoristas, infringir la privacidad, ventas agresivas, abuso de información confidencial.</w:t>
            </w:r>
          </w:p>
        </w:tc>
      </w:tr>
      <w:tr w:rsidR="00D96F2E" w:rsidRPr="00E072D8" w14:paraId="130EB2E6" w14:textId="77777777" w:rsidTr="00E072D8">
        <w:trPr>
          <w:trHeight w:val="1005"/>
        </w:trPr>
        <w:tc>
          <w:tcPr>
            <w:tcW w:w="0" w:type="auto"/>
            <w:vMerge/>
            <w:vAlign w:val="center"/>
            <w:hideMark/>
          </w:tcPr>
          <w:p w14:paraId="50495664"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8840C27"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6CD2F521"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Prácticas empresariales o de mercado improcedentes</w:t>
            </w:r>
          </w:p>
        </w:tc>
        <w:tc>
          <w:tcPr>
            <w:tcW w:w="3238" w:type="dxa"/>
            <w:shd w:val="clear" w:color="auto" w:fill="auto"/>
            <w:vAlign w:val="center"/>
            <w:hideMark/>
          </w:tcPr>
          <w:p w14:paraId="7412DF55"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Prácticas restrictivas de la competencia, prácticas comerciales / de mercado improcedentes, manipulación del mercado, abuso de información privilegiada (en favor de la entidad), lavado de dinero.</w:t>
            </w:r>
          </w:p>
        </w:tc>
      </w:tr>
      <w:tr w:rsidR="00D96F2E" w:rsidRPr="00E072D8" w14:paraId="7AAC0C47" w14:textId="77777777" w:rsidTr="00E072D8">
        <w:trPr>
          <w:trHeight w:val="345"/>
        </w:trPr>
        <w:tc>
          <w:tcPr>
            <w:tcW w:w="0" w:type="auto"/>
            <w:vMerge/>
            <w:vAlign w:val="center"/>
            <w:hideMark/>
          </w:tcPr>
          <w:p w14:paraId="35F1CE23"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187DF17B"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32A5AA37"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Productos defectuosos</w:t>
            </w:r>
          </w:p>
        </w:tc>
        <w:tc>
          <w:tcPr>
            <w:tcW w:w="3238" w:type="dxa"/>
            <w:shd w:val="clear" w:color="auto" w:fill="auto"/>
            <w:vAlign w:val="center"/>
            <w:hideMark/>
          </w:tcPr>
          <w:p w14:paraId="187FD21B"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Defectos del producto (no autorizado, etc.), error de los modelos.</w:t>
            </w:r>
          </w:p>
        </w:tc>
      </w:tr>
      <w:tr w:rsidR="00D96F2E" w:rsidRPr="00E072D8" w14:paraId="74A33E3F" w14:textId="77777777" w:rsidTr="00E072D8">
        <w:trPr>
          <w:trHeight w:val="675"/>
        </w:trPr>
        <w:tc>
          <w:tcPr>
            <w:tcW w:w="0" w:type="auto"/>
            <w:vMerge/>
            <w:vAlign w:val="center"/>
            <w:hideMark/>
          </w:tcPr>
          <w:p w14:paraId="35600205"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3F3A47F8"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39E7B9E1"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Selección, patrocinio y riesgos</w:t>
            </w:r>
          </w:p>
        </w:tc>
        <w:tc>
          <w:tcPr>
            <w:tcW w:w="3238" w:type="dxa"/>
            <w:shd w:val="clear" w:color="auto" w:fill="auto"/>
            <w:vAlign w:val="center"/>
            <w:hideMark/>
          </w:tcPr>
          <w:p w14:paraId="09D2BCD7"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Ausencia de investigación a clientes conforme a las directrices, exceso de los límites de riesgo frente a clientes.</w:t>
            </w:r>
          </w:p>
        </w:tc>
      </w:tr>
      <w:tr w:rsidR="00D96F2E" w:rsidRPr="00E072D8" w14:paraId="006768D4" w14:textId="77777777" w:rsidTr="00E072D8">
        <w:trPr>
          <w:trHeight w:val="345"/>
        </w:trPr>
        <w:tc>
          <w:tcPr>
            <w:tcW w:w="0" w:type="auto"/>
            <w:vMerge/>
            <w:vAlign w:val="center"/>
            <w:hideMark/>
          </w:tcPr>
          <w:p w14:paraId="3597F54B"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1AA0235"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12237B6E"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Actividades de asesoramiento</w:t>
            </w:r>
          </w:p>
        </w:tc>
        <w:tc>
          <w:tcPr>
            <w:tcW w:w="3238" w:type="dxa"/>
            <w:shd w:val="clear" w:color="auto" w:fill="auto"/>
            <w:vAlign w:val="center"/>
            <w:hideMark/>
          </w:tcPr>
          <w:p w14:paraId="7642EC12"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Litigios sobre resultados de las actividades de asesoramiento.</w:t>
            </w:r>
          </w:p>
        </w:tc>
      </w:tr>
      <w:tr w:rsidR="00D96F2E" w:rsidRPr="00E072D8" w14:paraId="49610620" w14:textId="77777777" w:rsidTr="00E072D8">
        <w:trPr>
          <w:trHeight w:val="345"/>
        </w:trPr>
        <w:tc>
          <w:tcPr>
            <w:tcW w:w="0" w:type="auto"/>
            <w:vAlign w:val="center"/>
          </w:tcPr>
          <w:p w14:paraId="7744E5CB" w14:textId="1F505D35"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Daños a activos materiales</w:t>
            </w:r>
          </w:p>
        </w:tc>
        <w:tc>
          <w:tcPr>
            <w:tcW w:w="2211" w:type="dxa"/>
            <w:vAlign w:val="center"/>
          </w:tcPr>
          <w:p w14:paraId="293099F4" w14:textId="69146F00"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 daños o perjuicios a activos materiales como consecuencia de desastres naturales u otros acontecimientos.</w:t>
            </w:r>
          </w:p>
        </w:tc>
        <w:tc>
          <w:tcPr>
            <w:tcW w:w="1984" w:type="dxa"/>
            <w:shd w:val="clear" w:color="auto" w:fill="auto"/>
            <w:vAlign w:val="center"/>
          </w:tcPr>
          <w:p w14:paraId="488EED32" w14:textId="4FF34E68"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Desastres y otros acontecimientos</w:t>
            </w:r>
          </w:p>
        </w:tc>
        <w:tc>
          <w:tcPr>
            <w:tcW w:w="3238" w:type="dxa"/>
            <w:shd w:val="clear" w:color="auto" w:fill="auto"/>
            <w:vAlign w:val="center"/>
          </w:tcPr>
          <w:p w14:paraId="2E2E82EA" w14:textId="08673DB0"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Desastres naturales, pérdidas causadas por personas externas (terrorismo, vandalismo).</w:t>
            </w:r>
          </w:p>
        </w:tc>
      </w:tr>
      <w:tr w:rsidR="00D96F2E" w:rsidRPr="00E072D8" w14:paraId="521C8715" w14:textId="77777777" w:rsidTr="00E072D8">
        <w:trPr>
          <w:trHeight w:val="345"/>
        </w:trPr>
        <w:tc>
          <w:tcPr>
            <w:tcW w:w="0" w:type="auto"/>
            <w:vAlign w:val="center"/>
          </w:tcPr>
          <w:p w14:paraId="54114655" w14:textId="467FCBB3"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Interrupción del negocio y fallos en los sistemas</w:t>
            </w:r>
          </w:p>
        </w:tc>
        <w:tc>
          <w:tcPr>
            <w:tcW w:w="2211" w:type="dxa"/>
            <w:vAlign w:val="center"/>
          </w:tcPr>
          <w:p w14:paraId="35C411FB" w14:textId="2FB66EA4"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 interrupciones en el negocio y de fallos en los sistemas</w:t>
            </w:r>
            <w:r w:rsidRPr="00E072D8">
              <w:rPr>
                <w:rFonts w:ascii="Museo Sans 300" w:hAnsi="Museo Sans 300"/>
                <w:color w:val="008080"/>
                <w:sz w:val="21"/>
                <w:szCs w:val="21"/>
                <w:u w:val="single"/>
              </w:rPr>
              <w:t>.</w:t>
            </w:r>
          </w:p>
        </w:tc>
        <w:tc>
          <w:tcPr>
            <w:tcW w:w="1984" w:type="dxa"/>
            <w:shd w:val="clear" w:color="auto" w:fill="auto"/>
            <w:vAlign w:val="center"/>
          </w:tcPr>
          <w:p w14:paraId="3DF2A1A0" w14:textId="04BF508A"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Sistemas</w:t>
            </w:r>
          </w:p>
        </w:tc>
        <w:tc>
          <w:tcPr>
            <w:tcW w:w="3238" w:type="dxa"/>
            <w:shd w:val="clear" w:color="auto" w:fill="auto"/>
            <w:vAlign w:val="center"/>
          </w:tcPr>
          <w:p w14:paraId="202F4FFE" w14:textId="3A817222"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Fallas en equipos de hardware, software o telecomunicaciones; falla en energía eléctrica.</w:t>
            </w:r>
          </w:p>
        </w:tc>
      </w:tr>
    </w:tbl>
    <w:p w14:paraId="7D5E9DA8" w14:textId="77777777" w:rsidR="002C3325" w:rsidRDefault="002C3325" w:rsidP="00702CBC">
      <w:pPr>
        <w:tabs>
          <w:tab w:val="left" w:pos="7359"/>
          <w:tab w:val="right" w:pos="8838"/>
        </w:tabs>
        <w:jc w:val="right"/>
        <w:rPr>
          <w:rFonts w:ascii="Museo Sans 300" w:hAnsi="Museo Sans 300"/>
          <w:b/>
          <w:sz w:val="22"/>
          <w:szCs w:val="22"/>
        </w:rPr>
      </w:pPr>
    </w:p>
    <w:p w14:paraId="0B78F424" w14:textId="77777777" w:rsidR="002C3325" w:rsidRDefault="002C3325" w:rsidP="00702CBC">
      <w:pPr>
        <w:tabs>
          <w:tab w:val="left" w:pos="7359"/>
          <w:tab w:val="right" w:pos="8838"/>
        </w:tabs>
        <w:jc w:val="right"/>
        <w:rPr>
          <w:rFonts w:ascii="Museo Sans 300" w:hAnsi="Museo Sans 300"/>
          <w:b/>
          <w:sz w:val="22"/>
          <w:szCs w:val="22"/>
        </w:rPr>
      </w:pPr>
    </w:p>
    <w:p w14:paraId="3E0A190B" w14:textId="31D31FD5" w:rsidR="00702CBC" w:rsidRPr="00B82B2C"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Anexo N</w:t>
      </w:r>
      <w:r w:rsidR="0014677C">
        <w:rPr>
          <w:rFonts w:ascii="Museo Sans 300" w:hAnsi="Museo Sans 300"/>
          <w:b/>
          <w:sz w:val="22"/>
          <w:szCs w:val="22"/>
        </w:rPr>
        <w:t>o</w:t>
      </w:r>
      <w:r w:rsidRPr="00B82B2C">
        <w:rPr>
          <w:rFonts w:ascii="Museo Sans 300" w:hAnsi="Museo Sans 300"/>
          <w:b/>
          <w:sz w:val="22"/>
          <w:szCs w:val="22"/>
        </w:rPr>
        <w:t>. 1</w:t>
      </w:r>
    </w:p>
    <w:p w14:paraId="63F6B2D8" w14:textId="77777777" w:rsidR="00D96F2E" w:rsidRPr="00B82B2C" w:rsidRDefault="00D96F2E" w:rsidP="00637863">
      <w:pPr>
        <w:rPr>
          <w:rFonts w:ascii="Museo Sans 300" w:hAnsi="Museo Sans 300"/>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3"/>
        <w:gridCol w:w="2391"/>
        <w:gridCol w:w="1932"/>
        <w:gridCol w:w="3117"/>
      </w:tblGrid>
      <w:tr w:rsidR="00D96F2E" w:rsidRPr="00B82B2C" w14:paraId="4CF58307" w14:textId="77777777" w:rsidTr="00D96F2E">
        <w:trPr>
          <w:trHeight w:val="616"/>
        </w:trPr>
        <w:tc>
          <w:tcPr>
            <w:tcW w:w="0" w:type="auto"/>
            <w:shd w:val="clear" w:color="auto" w:fill="auto"/>
            <w:vAlign w:val="center"/>
          </w:tcPr>
          <w:p w14:paraId="52029B0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5BB43E39" w14:textId="49030E13"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1)</w:t>
            </w:r>
          </w:p>
        </w:tc>
        <w:tc>
          <w:tcPr>
            <w:tcW w:w="0" w:type="auto"/>
            <w:shd w:val="clear" w:color="auto" w:fill="auto"/>
            <w:vAlign w:val="center"/>
          </w:tcPr>
          <w:p w14:paraId="2CC3E59A" w14:textId="153FCC44"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Definición</w:t>
            </w:r>
          </w:p>
        </w:tc>
        <w:tc>
          <w:tcPr>
            <w:tcW w:w="0" w:type="auto"/>
            <w:shd w:val="clear" w:color="auto" w:fill="auto"/>
            <w:vAlign w:val="center"/>
          </w:tcPr>
          <w:p w14:paraId="7BE224C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724C1710" w14:textId="2DAA9D66" w:rsidR="00CF7AD6" w:rsidRPr="00B82B2C" w:rsidRDefault="00CF7AD6"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2)</w:t>
            </w:r>
          </w:p>
        </w:tc>
        <w:tc>
          <w:tcPr>
            <w:tcW w:w="0" w:type="auto"/>
            <w:shd w:val="clear" w:color="auto" w:fill="auto"/>
            <w:vAlign w:val="center"/>
          </w:tcPr>
          <w:p w14:paraId="6C1DC402" w14:textId="56CCE0EA"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Ejemplos</w:t>
            </w:r>
          </w:p>
        </w:tc>
      </w:tr>
      <w:tr w:rsidR="00D96F2E" w:rsidRPr="00B82B2C" w14:paraId="792FEF91" w14:textId="77777777" w:rsidTr="00D96F2E">
        <w:trPr>
          <w:trHeight w:val="1005"/>
        </w:trPr>
        <w:tc>
          <w:tcPr>
            <w:tcW w:w="0" w:type="auto"/>
            <w:vMerge w:val="restart"/>
            <w:shd w:val="clear" w:color="auto" w:fill="auto"/>
            <w:vAlign w:val="center"/>
            <w:hideMark/>
          </w:tcPr>
          <w:p w14:paraId="7451C45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Ejecución, entrega y gestión de procesos</w:t>
            </w:r>
          </w:p>
        </w:tc>
        <w:tc>
          <w:tcPr>
            <w:tcW w:w="0" w:type="auto"/>
            <w:vMerge w:val="restart"/>
            <w:shd w:val="clear" w:color="auto" w:fill="auto"/>
            <w:vAlign w:val="center"/>
            <w:hideMark/>
          </w:tcPr>
          <w:p w14:paraId="7FE6BED5"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5233E13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Recepción, ejecución y mantenimiento de operaciones</w:t>
            </w:r>
          </w:p>
        </w:tc>
        <w:tc>
          <w:tcPr>
            <w:tcW w:w="0" w:type="auto"/>
            <w:shd w:val="clear" w:color="auto" w:fill="auto"/>
            <w:vAlign w:val="center"/>
            <w:hideMark/>
          </w:tcPr>
          <w:p w14:paraId="2B550F12" w14:textId="7BB64A1F"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Errores de introducción de datos, mantenimiento o descarga, incumplimiento de plazos o de responsabilidades, ejecución errónea de modelos / sistemas, errores contables. Errores en el proceso de compensación de valores y liquidación de efectivo.</w:t>
            </w:r>
          </w:p>
        </w:tc>
      </w:tr>
      <w:tr w:rsidR="00D96F2E" w:rsidRPr="00B82B2C" w14:paraId="5A4D887D" w14:textId="77777777" w:rsidTr="00D96F2E">
        <w:trPr>
          <w:trHeight w:val="675"/>
        </w:trPr>
        <w:tc>
          <w:tcPr>
            <w:tcW w:w="0" w:type="auto"/>
            <w:vMerge/>
            <w:vAlign w:val="center"/>
            <w:hideMark/>
          </w:tcPr>
          <w:p w14:paraId="3F067933"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7664662D"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04B0C59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Seguimiento y presentación de informes</w:t>
            </w:r>
          </w:p>
        </w:tc>
        <w:tc>
          <w:tcPr>
            <w:tcW w:w="0" w:type="auto"/>
            <w:shd w:val="clear" w:color="auto" w:fill="auto"/>
            <w:vAlign w:val="center"/>
            <w:hideMark/>
          </w:tcPr>
          <w:p w14:paraId="0C98BB1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Incumplimiento de la obligación de informar, inexactitud de informes externos (con generación de pérdidas).</w:t>
            </w:r>
          </w:p>
        </w:tc>
      </w:tr>
      <w:tr w:rsidR="00D96F2E" w:rsidRPr="00B82B2C" w14:paraId="5888266E" w14:textId="77777777" w:rsidTr="00D96F2E">
        <w:trPr>
          <w:trHeight w:val="675"/>
        </w:trPr>
        <w:tc>
          <w:tcPr>
            <w:tcW w:w="0" w:type="auto"/>
            <w:vMerge/>
            <w:vAlign w:val="center"/>
            <w:hideMark/>
          </w:tcPr>
          <w:p w14:paraId="6B7A1347"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45426BE6"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20323FF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Aceptación de clientes y documentación</w:t>
            </w:r>
          </w:p>
        </w:tc>
        <w:tc>
          <w:tcPr>
            <w:tcW w:w="0" w:type="auto"/>
            <w:shd w:val="clear" w:color="auto" w:fill="auto"/>
            <w:vAlign w:val="center"/>
            <w:hideMark/>
          </w:tcPr>
          <w:p w14:paraId="42CD4977"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Inexistencia de autorizaciones / rechazos de clientes, documentos jurídicos inexistentes / incompletos.</w:t>
            </w:r>
          </w:p>
        </w:tc>
      </w:tr>
      <w:tr w:rsidR="00D96F2E" w:rsidRPr="00B82B2C" w14:paraId="45803A96" w14:textId="77777777" w:rsidTr="00D96F2E">
        <w:trPr>
          <w:trHeight w:val="675"/>
        </w:trPr>
        <w:tc>
          <w:tcPr>
            <w:tcW w:w="0" w:type="auto"/>
            <w:vMerge/>
            <w:vAlign w:val="center"/>
            <w:hideMark/>
          </w:tcPr>
          <w:p w14:paraId="7A373FBF"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49570E8"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64194B1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Gestión de cuentas de clientes</w:t>
            </w:r>
          </w:p>
        </w:tc>
        <w:tc>
          <w:tcPr>
            <w:tcW w:w="0" w:type="auto"/>
            <w:shd w:val="clear" w:color="auto" w:fill="auto"/>
            <w:vAlign w:val="center"/>
            <w:hideMark/>
          </w:tcPr>
          <w:p w14:paraId="3963D21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Acceso no autorizado a cuentas, registros incorrectos de clientes (con generación de pérdidas), pérdida o daño de activos de clientes por negligencia.</w:t>
            </w:r>
          </w:p>
        </w:tc>
      </w:tr>
      <w:tr w:rsidR="00D96F2E" w:rsidRPr="00B82B2C" w14:paraId="2B2C2207" w14:textId="77777777" w:rsidTr="00D96F2E">
        <w:trPr>
          <w:trHeight w:val="675"/>
        </w:trPr>
        <w:tc>
          <w:tcPr>
            <w:tcW w:w="0" w:type="auto"/>
            <w:vMerge/>
            <w:vAlign w:val="center"/>
            <w:hideMark/>
          </w:tcPr>
          <w:p w14:paraId="63547218"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9A9E83F"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463F9772"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Contrapartes comerciales</w:t>
            </w:r>
          </w:p>
        </w:tc>
        <w:tc>
          <w:tcPr>
            <w:tcW w:w="0" w:type="auto"/>
            <w:shd w:val="clear" w:color="auto" w:fill="auto"/>
            <w:vAlign w:val="center"/>
            <w:hideMark/>
          </w:tcPr>
          <w:p w14:paraId="10A1D319"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Fallos de contrapartes distintas de clientes, otros litigios con contrapartes distintas de clientes.</w:t>
            </w:r>
          </w:p>
        </w:tc>
      </w:tr>
      <w:tr w:rsidR="00D96F2E" w:rsidRPr="00B82B2C" w14:paraId="5B4A2AD1" w14:textId="77777777" w:rsidTr="00D96F2E">
        <w:trPr>
          <w:trHeight w:val="345"/>
        </w:trPr>
        <w:tc>
          <w:tcPr>
            <w:tcW w:w="0" w:type="auto"/>
            <w:vMerge/>
            <w:vAlign w:val="center"/>
            <w:hideMark/>
          </w:tcPr>
          <w:p w14:paraId="57222602"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5418EECC"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5B8DDA4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Distribuidores y proveedores</w:t>
            </w:r>
          </w:p>
        </w:tc>
        <w:tc>
          <w:tcPr>
            <w:tcW w:w="0" w:type="auto"/>
            <w:shd w:val="clear" w:color="auto" w:fill="auto"/>
            <w:vAlign w:val="center"/>
            <w:hideMark/>
          </w:tcPr>
          <w:p w14:paraId="6BFCC62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Subcontratación, litigios con proveedores.</w:t>
            </w:r>
          </w:p>
        </w:tc>
      </w:tr>
    </w:tbl>
    <w:p w14:paraId="0A380531" w14:textId="77777777" w:rsidR="00D96F2E" w:rsidRPr="00B82B2C" w:rsidRDefault="00D96F2E" w:rsidP="00637863">
      <w:pPr>
        <w:rPr>
          <w:rFonts w:ascii="Museo Sans 300" w:hAnsi="Museo Sans 300"/>
          <w:b/>
          <w:sz w:val="22"/>
          <w:szCs w:val="22"/>
        </w:rPr>
      </w:pPr>
    </w:p>
    <w:p w14:paraId="06D9E50A" w14:textId="77777777" w:rsidR="00D96F2E" w:rsidRPr="00B82B2C" w:rsidRDefault="00D96F2E" w:rsidP="00637863">
      <w:pPr>
        <w:rPr>
          <w:rFonts w:ascii="Museo Sans 300" w:hAnsi="Museo Sans 300"/>
          <w:b/>
          <w:sz w:val="22"/>
          <w:szCs w:val="22"/>
        </w:rPr>
      </w:pPr>
    </w:p>
    <w:p w14:paraId="7F4FF7F7" w14:textId="77777777" w:rsidR="00D96F2E" w:rsidRPr="00B82B2C" w:rsidRDefault="00D96F2E" w:rsidP="00637863">
      <w:pPr>
        <w:rPr>
          <w:rFonts w:ascii="Museo Sans 300" w:hAnsi="Museo Sans 300"/>
          <w:b/>
          <w:sz w:val="22"/>
          <w:szCs w:val="22"/>
        </w:rPr>
      </w:pPr>
    </w:p>
    <w:p w14:paraId="720D06D0" w14:textId="77777777" w:rsidR="00D96F2E" w:rsidRPr="00B82B2C" w:rsidRDefault="00D96F2E" w:rsidP="00637863">
      <w:pPr>
        <w:rPr>
          <w:rFonts w:ascii="Museo Sans 300" w:hAnsi="Museo Sans 300"/>
          <w:b/>
          <w:sz w:val="22"/>
          <w:szCs w:val="22"/>
        </w:rPr>
      </w:pPr>
    </w:p>
    <w:p w14:paraId="532CE91C" w14:textId="77777777" w:rsidR="00F87769" w:rsidRDefault="00F87769">
      <w:pPr>
        <w:spacing w:after="200" w:line="276" w:lineRule="auto"/>
        <w:rPr>
          <w:rFonts w:ascii="Museo Sans 300" w:hAnsi="Museo Sans 300"/>
          <w:b/>
          <w:sz w:val="22"/>
          <w:szCs w:val="22"/>
        </w:rPr>
      </w:pPr>
      <w:r>
        <w:rPr>
          <w:rFonts w:ascii="Museo Sans 300" w:hAnsi="Museo Sans 300"/>
          <w:b/>
          <w:sz w:val="22"/>
          <w:szCs w:val="22"/>
        </w:rPr>
        <w:br w:type="page"/>
      </w:r>
    </w:p>
    <w:p w14:paraId="726DE6C3" w14:textId="19725B7F"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2</w:t>
      </w:r>
    </w:p>
    <w:p w14:paraId="7D3AC265"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DETALLE DE LÍNEAS DE NEGOCIO</w:t>
      </w:r>
    </w:p>
    <w:p w14:paraId="5E5AACC0" w14:textId="77777777" w:rsidR="00637863" w:rsidRPr="00B82B2C" w:rsidRDefault="00637863" w:rsidP="00637863">
      <w:pPr>
        <w:jc w:val="center"/>
        <w:rPr>
          <w:rFonts w:ascii="Museo Sans 300" w:hAnsi="Museo Sans 300"/>
          <w:b/>
          <w:sz w:val="22"/>
          <w:szCs w:val="22"/>
        </w:rPr>
      </w:pPr>
    </w:p>
    <w:tbl>
      <w:tblPr>
        <w:tblW w:w="8941" w:type="dxa"/>
        <w:tblInd w:w="60" w:type="dxa"/>
        <w:tblCellMar>
          <w:left w:w="70" w:type="dxa"/>
          <w:right w:w="70" w:type="dxa"/>
        </w:tblCellMar>
        <w:tblLook w:val="04A0" w:firstRow="1" w:lastRow="0" w:firstColumn="1" w:lastColumn="0" w:noHBand="0" w:noVBand="1"/>
      </w:tblPr>
      <w:tblGrid>
        <w:gridCol w:w="1662"/>
        <w:gridCol w:w="2939"/>
        <w:gridCol w:w="4678"/>
      </w:tblGrid>
      <w:tr w:rsidR="00637863" w:rsidRPr="00B82B2C" w14:paraId="71EB26F6" w14:textId="77777777" w:rsidTr="00E44B39">
        <w:trPr>
          <w:trHeight w:val="300"/>
          <w:tblHead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0B24" w14:textId="52408AC3"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14:paraId="5A125AFD"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D397FDE"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44744020" w14:textId="77777777" w:rsidTr="00E44B39">
        <w:trPr>
          <w:trHeight w:val="35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654297D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2939" w:type="dxa"/>
            <w:tcBorders>
              <w:top w:val="nil"/>
              <w:left w:val="nil"/>
              <w:bottom w:val="single" w:sz="4" w:space="0" w:color="auto"/>
              <w:right w:val="single" w:sz="4" w:space="0" w:color="auto"/>
            </w:tcBorders>
            <w:shd w:val="clear" w:color="auto" w:fill="auto"/>
            <w:vAlign w:val="bottom"/>
            <w:hideMark/>
          </w:tcPr>
          <w:p w14:paraId="46C8D3B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216F4344"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Fusiones y adquisiciones, suscripción de emisiones, privatizaciones, titularización, servicio de estudios, deuda (pública, alto rendimiento), acciones, sindicaciones, ofertas públicas iniciales, colocaciones privadas en mercados secundarios.</w:t>
            </w:r>
          </w:p>
        </w:tc>
      </w:tr>
      <w:tr w:rsidR="00637863" w:rsidRPr="00B82B2C" w14:paraId="493FA79B" w14:textId="77777777" w:rsidTr="00E44B39">
        <w:trPr>
          <w:trHeight w:val="571"/>
        </w:trPr>
        <w:tc>
          <w:tcPr>
            <w:tcW w:w="1324" w:type="dxa"/>
            <w:vMerge/>
            <w:tcBorders>
              <w:top w:val="nil"/>
              <w:left w:val="single" w:sz="4" w:space="0" w:color="auto"/>
              <w:bottom w:val="single" w:sz="4" w:space="0" w:color="auto"/>
              <w:right w:val="single" w:sz="4" w:space="0" w:color="auto"/>
            </w:tcBorders>
            <w:vAlign w:val="center"/>
            <w:hideMark/>
          </w:tcPr>
          <w:p w14:paraId="3ACCDCD9"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04146C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Finanzas de Administraciones locales / públicas</w:t>
            </w:r>
          </w:p>
        </w:tc>
        <w:tc>
          <w:tcPr>
            <w:tcW w:w="4678" w:type="dxa"/>
            <w:vMerge/>
            <w:tcBorders>
              <w:top w:val="nil"/>
              <w:left w:val="single" w:sz="4" w:space="0" w:color="auto"/>
              <w:bottom w:val="single" w:sz="4" w:space="0" w:color="auto"/>
              <w:right w:val="single" w:sz="4" w:space="0" w:color="auto"/>
            </w:tcBorders>
            <w:vAlign w:val="center"/>
            <w:hideMark/>
          </w:tcPr>
          <w:p w14:paraId="434500E2" w14:textId="77777777" w:rsidR="00637863" w:rsidRPr="00B82B2C" w:rsidRDefault="00637863" w:rsidP="00A368D9">
            <w:pPr>
              <w:jc w:val="both"/>
              <w:rPr>
                <w:rFonts w:ascii="Museo Sans 300" w:hAnsi="Museo Sans 300"/>
                <w:color w:val="000000"/>
                <w:sz w:val="22"/>
                <w:szCs w:val="22"/>
              </w:rPr>
            </w:pPr>
          </w:p>
        </w:tc>
      </w:tr>
      <w:tr w:rsidR="00637863" w:rsidRPr="00B82B2C" w14:paraId="7A040B28" w14:textId="77777777" w:rsidTr="00E44B39">
        <w:trPr>
          <w:trHeight w:val="345"/>
        </w:trPr>
        <w:tc>
          <w:tcPr>
            <w:tcW w:w="1324" w:type="dxa"/>
            <w:vMerge/>
            <w:tcBorders>
              <w:top w:val="nil"/>
              <w:left w:val="single" w:sz="4" w:space="0" w:color="auto"/>
              <w:bottom w:val="single" w:sz="4" w:space="0" w:color="auto"/>
              <w:right w:val="single" w:sz="4" w:space="0" w:color="auto"/>
            </w:tcBorders>
            <w:vAlign w:val="center"/>
            <w:hideMark/>
          </w:tcPr>
          <w:p w14:paraId="2A0DC66B"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D81B9EE"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de inversión</w:t>
            </w:r>
          </w:p>
        </w:tc>
        <w:tc>
          <w:tcPr>
            <w:tcW w:w="4678" w:type="dxa"/>
            <w:vMerge/>
            <w:tcBorders>
              <w:top w:val="nil"/>
              <w:left w:val="single" w:sz="4" w:space="0" w:color="auto"/>
              <w:bottom w:val="single" w:sz="4" w:space="0" w:color="auto"/>
              <w:right w:val="single" w:sz="4" w:space="0" w:color="auto"/>
            </w:tcBorders>
            <w:vAlign w:val="center"/>
            <w:hideMark/>
          </w:tcPr>
          <w:p w14:paraId="24C6CF1B" w14:textId="77777777" w:rsidR="00637863" w:rsidRPr="00B82B2C" w:rsidRDefault="00637863" w:rsidP="00A368D9">
            <w:pPr>
              <w:jc w:val="both"/>
              <w:rPr>
                <w:rFonts w:ascii="Museo Sans 300" w:hAnsi="Museo Sans 300"/>
                <w:color w:val="000000"/>
                <w:sz w:val="22"/>
                <w:szCs w:val="22"/>
              </w:rPr>
            </w:pPr>
          </w:p>
        </w:tc>
      </w:tr>
      <w:tr w:rsidR="00637863" w:rsidRPr="00B82B2C" w14:paraId="0ECC9D96" w14:textId="77777777" w:rsidTr="00E44B39">
        <w:trPr>
          <w:trHeight w:val="332"/>
        </w:trPr>
        <w:tc>
          <w:tcPr>
            <w:tcW w:w="1324" w:type="dxa"/>
            <w:vMerge/>
            <w:tcBorders>
              <w:top w:val="nil"/>
              <w:left w:val="single" w:sz="4" w:space="0" w:color="auto"/>
              <w:bottom w:val="single" w:sz="4" w:space="0" w:color="auto"/>
              <w:right w:val="single" w:sz="4" w:space="0" w:color="auto"/>
            </w:tcBorders>
            <w:vAlign w:val="center"/>
            <w:hideMark/>
          </w:tcPr>
          <w:p w14:paraId="082D014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196010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Servicios de asesoramiento</w:t>
            </w:r>
          </w:p>
        </w:tc>
        <w:tc>
          <w:tcPr>
            <w:tcW w:w="4678" w:type="dxa"/>
            <w:vMerge/>
            <w:tcBorders>
              <w:top w:val="nil"/>
              <w:left w:val="single" w:sz="4" w:space="0" w:color="auto"/>
              <w:bottom w:val="single" w:sz="4" w:space="0" w:color="auto"/>
              <w:right w:val="single" w:sz="4" w:space="0" w:color="auto"/>
            </w:tcBorders>
            <w:vAlign w:val="center"/>
            <w:hideMark/>
          </w:tcPr>
          <w:p w14:paraId="32B2C216" w14:textId="77777777" w:rsidR="00637863" w:rsidRPr="00B82B2C" w:rsidRDefault="00637863" w:rsidP="00A368D9">
            <w:pPr>
              <w:jc w:val="both"/>
              <w:rPr>
                <w:rFonts w:ascii="Museo Sans 300" w:hAnsi="Museo Sans 300"/>
                <w:color w:val="000000"/>
                <w:sz w:val="22"/>
                <w:szCs w:val="22"/>
              </w:rPr>
            </w:pPr>
          </w:p>
        </w:tc>
      </w:tr>
      <w:tr w:rsidR="00637863" w:rsidRPr="00B82B2C" w14:paraId="1FF84187" w14:textId="77777777" w:rsidTr="00E44B39">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5AC643EE"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Negociación y ventas</w:t>
            </w:r>
          </w:p>
        </w:tc>
        <w:tc>
          <w:tcPr>
            <w:tcW w:w="2939" w:type="dxa"/>
            <w:tcBorders>
              <w:top w:val="nil"/>
              <w:left w:val="nil"/>
              <w:bottom w:val="single" w:sz="4" w:space="0" w:color="auto"/>
              <w:right w:val="single" w:sz="4" w:space="0" w:color="auto"/>
            </w:tcBorders>
            <w:shd w:val="clear" w:color="auto" w:fill="auto"/>
            <w:vAlign w:val="center"/>
            <w:hideMark/>
          </w:tcPr>
          <w:p w14:paraId="0328E36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Ventas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52A85CAD"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 xml:space="preserve">Renta fija, renta variable, divisas, productos básicos, crédito, financiación, posiciones propias en valores, préstamo y operaciones con pacto de recompra, intermediación, deuda. </w:t>
            </w:r>
          </w:p>
        </w:tc>
      </w:tr>
      <w:tr w:rsidR="00637863" w:rsidRPr="00B82B2C" w14:paraId="594541B2" w14:textId="77777777" w:rsidTr="00E44B39">
        <w:trPr>
          <w:trHeight w:val="254"/>
        </w:trPr>
        <w:tc>
          <w:tcPr>
            <w:tcW w:w="1324" w:type="dxa"/>
            <w:vMerge/>
            <w:tcBorders>
              <w:top w:val="nil"/>
              <w:left w:val="single" w:sz="4" w:space="0" w:color="auto"/>
              <w:bottom w:val="single" w:sz="4" w:space="0" w:color="auto"/>
              <w:right w:val="single" w:sz="4" w:space="0" w:color="auto"/>
            </w:tcBorders>
            <w:vAlign w:val="center"/>
            <w:hideMark/>
          </w:tcPr>
          <w:p w14:paraId="11F6990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3C58A7B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Creación de Mercado</w:t>
            </w:r>
          </w:p>
        </w:tc>
        <w:tc>
          <w:tcPr>
            <w:tcW w:w="4678" w:type="dxa"/>
            <w:vMerge/>
            <w:tcBorders>
              <w:top w:val="nil"/>
              <w:left w:val="single" w:sz="4" w:space="0" w:color="auto"/>
              <w:bottom w:val="single" w:sz="4" w:space="0" w:color="auto"/>
              <w:right w:val="single" w:sz="4" w:space="0" w:color="auto"/>
            </w:tcBorders>
            <w:vAlign w:val="center"/>
            <w:hideMark/>
          </w:tcPr>
          <w:p w14:paraId="3026BD9F" w14:textId="77777777" w:rsidR="00637863" w:rsidRPr="00B82B2C" w:rsidRDefault="00637863" w:rsidP="00A368D9">
            <w:pPr>
              <w:jc w:val="both"/>
              <w:rPr>
                <w:rFonts w:ascii="Museo Sans 300" w:hAnsi="Museo Sans 300"/>
                <w:color w:val="000000"/>
                <w:sz w:val="22"/>
                <w:szCs w:val="22"/>
              </w:rPr>
            </w:pPr>
          </w:p>
        </w:tc>
      </w:tr>
      <w:tr w:rsidR="00637863" w:rsidRPr="00B82B2C" w14:paraId="3EBD407A"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50F627B3"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0E5DD64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Posiciones propias</w:t>
            </w:r>
          </w:p>
        </w:tc>
        <w:tc>
          <w:tcPr>
            <w:tcW w:w="4678" w:type="dxa"/>
            <w:vMerge/>
            <w:tcBorders>
              <w:top w:val="nil"/>
              <w:left w:val="single" w:sz="4" w:space="0" w:color="auto"/>
              <w:bottom w:val="single" w:sz="4" w:space="0" w:color="auto"/>
              <w:right w:val="single" w:sz="4" w:space="0" w:color="auto"/>
            </w:tcBorders>
            <w:vAlign w:val="center"/>
            <w:hideMark/>
          </w:tcPr>
          <w:p w14:paraId="40F2D409" w14:textId="77777777" w:rsidR="00637863" w:rsidRPr="00B82B2C" w:rsidRDefault="00637863" w:rsidP="00A368D9">
            <w:pPr>
              <w:jc w:val="both"/>
              <w:rPr>
                <w:rFonts w:ascii="Museo Sans 300" w:hAnsi="Museo Sans 300"/>
                <w:color w:val="000000"/>
                <w:sz w:val="22"/>
                <w:szCs w:val="22"/>
              </w:rPr>
            </w:pPr>
          </w:p>
        </w:tc>
      </w:tr>
      <w:tr w:rsidR="00637863" w:rsidRPr="00B82B2C" w14:paraId="4809796C"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7D5F4EAD"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C5A3231"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Tesorería</w:t>
            </w:r>
          </w:p>
        </w:tc>
        <w:tc>
          <w:tcPr>
            <w:tcW w:w="4678" w:type="dxa"/>
            <w:vMerge/>
            <w:tcBorders>
              <w:top w:val="nil"/>
              <w:left w:val="single" w:sz="4" w:space="0" w:color="auto"/>
              <w:bottom w:val="single" w:sz="4" w:space="0" w:color="auto"/>
              <w:right w:val="single" w:sz="4" w:space="0" w:color="auto"/>
            </w:tcBorders>
            <w:vAlign w:val="center"/>
            <w:hideMark/>
          </w:tcPr>
          <w:p w14:paraId="3B4458A5" w14:textId="77777777" w:rsidR="00637863" w:rsidRPr="00B82B2C" w:rsidRDefault="00637863" w:rsidP="00A368D9">
            <w:pPr>
              <w:jc w:val="both"/>
              <w:rPr>
                <w:rFonts w:ascii="Museo Sans 300" w:hAnsi="Museo Sans 300"/>
                <w:color w:val="000000"/>
                <w:sz w:val="22"/>
                <w:szCs w:val="22"/>
              </w:rPr>
            </w:pPr>
          </w:p>
        </w:tc>
      </w:tr>
      <w:tr w:rsidR="00637863" w:rsidRPr="00B82B2C" w14:paraId="0C6EC794" w14:textId="77777777" w:rsidTr="00E44B39">
        <w:trPr>
          <w:trHeight w:val="32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2E840904"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minorista</w:t>
            </w:r>
          </w:p>
        </w:tc>
        <w:tc>
          <w:tcPr>
            <w:tcW w:w="2939" w:type="dxa"/>
            <w:tcBorders>
              <w:top w:val="nil"/>
              <w:left w:val="nil"/>
              <w:bottom w:val="single" w:sz="4" w:space="0" w:color="auto"/>
              <w:right w:val="single" w:sz="4" w:space="0" w:color="auto"/>
            </w:tcBorders>
            <w:shd w:val="clear" w:color="auto" w:fill="auto"/>
            <w:vAlign w:val="center"/>
            <w:hideMark/>
          </w:tcPr>
          <w:p w14:paraId="1A5A9DB2"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minorista</w:t>
            </w:r>
          </w:p>
        </w:tc>
        <w:tc>
          <w:tcPr>
            <w:tcW w:w="4678" w:type="dxa"/>
            <w:tcBorders>
              <w:top w:val="nil"/>
              <w:left w:val="nil"/>
              <w:bottom w:val="single" w:sz="4" w:space="0" w:color="auto"/>
              <w:right w:val="single" w:sz="4" w:space="0" w:color="auto"/>
            </w:tcBorders>
            <w:shd w:val="clear" w:color="auto" w:fill="auto"/>
            <w:vAlign w:val="center"/>
            <w:hideMark/>
          </w:tcPr>
          <w:p w14:paraId="216074D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Préstamos y depósitos de clientes minorista, servicios bancarios, fideicomisos.</w:t>
            </w:r>
          </w:p>
        </w:tc>
      </w:tr>
      <w:tr w:rsidR="00637863" w:rsidRPr="00B82B2C" w14:paraId="499C80BD" w14:textId="77777777" w:rsidTr="00E44B39">
        <w:trPr>
          <w:trHeight w:val="525"/>
        </w:trPr>
        <w:tc>
          <w:tcPr>
            <w:tcW w:w="1324" w:type="dxa"/>
            <w:vMerge/>
            <w:tcBorders>
              <w:top w:val="nil"/>
              <w:left w:val="single" w:sz="4" w:space="0" w:color="auto"/>
              <w:bottom w:val="single" w:sz="4" w:space="0" w:color="auto"/>
              <w:right w:val="single" w:sz="4" w:space="0" w:color="auto"/>
            </w:tcBorders>
            <w:vAlign w:val="center"/>
            <w:hideMark/>
          </w:tcPr>
          <w:p w14:paraId="10EB3516"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A6048F0"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privada</w:t>
            </w:r>
          </w:p>
        </w:tc>
        <w:tc>
          <w:tcPr>
            <w:tcW w:w="4678" w:type="dxa"/>
            <w:tcBorders>
              <w:top w:val="nil"/>
              <w:left w:val="nil"/>
              <w:bottom w:val="single" w:sz="4" w:space="0" w:color="auto"/>
              <w:right w:val="single" w:sz="4" w:space="0" w:color="auto"/>
            </w:tcBorders>
            <w:shd w:val="clear" w:color="auto" w:fill="auto"/>
            <w:vAlign w:val="center"/>
            <w:hideMark/>
          </w:tcPr>
          <w:p w14:paraId="4ADADEA7"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Préstamos y depósitos de particulares, servicios bancarios, fideicomisos y asesoramiento de inversión.</w:t>
            </w:r>
          </w:p>
        </w:tc>
      </w:tr>
      <w:tr w:rsidR="00637863" w:rsidRPr="00B82B2C" w14:paraId="761BA57D" w14:textId="77777777" w:rsidTr="00E44B39">
        <w:trPr>
          <w:trHeight w:val="375"/>
        </w:trPr>
        <w:tc>
          <w:tcPr>
            <w:tcW w:w="1324" w:type="dxa"/>
            <w:vMerge/>
            <w:tcBorders>
              <w:top w:val="nil"/>
              <w:left w:val="single" w:sz="4" w:space="0" w:color="auto"/>
              <w:bottom w:val="single" w:sz="4" w:space="0" w:color="auto"/>
              <w:right w:val="single" w:sz="4" w:space="0" w:color="auto"/>
            </w:tcBorders>
            <w:vAlign w:val="center"/>
            <w:hideMark/>
          </w:tcPr>
          <w:p w14:paraId="1403A4DC"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AD8495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Servicios de tarjetas</w:t>
            </w:r>
          </w:p>
        </w:tc>
        <w:tc>
          <w:tcPr>
            <w:tcW w:w="4678" w:type="dxa"/>
            <w:tcBorders>
              <w:top w:val="nil"/>
              <w:left w:val="nil"/>
              <w:bottom w:val="single" w:sz="4" w:space="0" w:color="auto"/>
              <w:right w:val="single" w:sz="4" w:space="0" w:color="auto"/>
            </w:tcBorders>
            <w:shd w:val="clear" w:color="auto" w:fill="auto"/>
            <w:vAlign w:val="center"/>
            <w:hideMark/>
          </w:tcPr>
          <w:p w14:paraId="06834C88"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Tarjetas de empresas / comerciales, de marca privada y minoristas.</w:t>
            </w:r>
          </w:p>
        </w:tc>
      </w:tr>
      <w:tr w:rsidR="00637863" w:rsidRPr="00B82B2C" w14:paraId="5B67990C" w14:textId="77777777" w:rsidTr="00E44B39">
        <w:trPr>
          <w:trHeight w:val="81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1DA8B36F"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comercial</w:t>
            </w:r>
          </w:p>
        </w:tc>
        <w:tc>
          <w:tcPr>
            <w:tcW w:w="2939" w:type="dxa"/>
            <w:tcBorders>
              <w:top w:val="nil"/>
              <w:left w:val="nil"/>
              <w:bottom w:val="single" w:sz="4" w:space="0" w:color="auto"/>
              <w:right w:val="single" w:sz="4" w:space="0" w:color="auto"/>
            </w:tcBorders>
            <w:shd w:val="clear" w:color="auto" w:fill="auto"/>
            <w:vAlign w:val="center"/>
            <w:hideMark/>
          </w:tcPr>
          <w:p w14:paraId="6BF8691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comercial</w:t>
            </w:r>
          </w:p>
        </w:tc>
        <w:tc>
          <w:tcPr>
            <w:tcW w:w="4678" w:type="dxa"/>
            <w:tcBorders>
              <w:top w:val="nil"/>
              <w:left w:val="nil"/>
              <w:bottom w:val="single" w:sz="4" w:space="0" w:color="auto"/>
              <w:right w:val="single" w:sz="4" w:space="0" w:color="auto"/>
            </w:tcBorders>
            <w:shd w:val="clear" w:color="auto" w:fill="auto"/>
            <w:vAlign w:val="center"/>
            <w:hideMark/>
          </w:tcPr>
          <w:p w14:paraId="33E460F0"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Financiación de proyectos, bienes raíces, financiación de exportaciones, financiación comercial, factoraje, arrendamiento financiero, préstamos, garantías, letras de cambio.</w:t>
            </w:r>
          </w:p>
        </w:tc>
      </w:tr>
      <w:tr w:rsidR="00637863" w:rsidRPr="00B82B2C" w14:paraId="7B887055" w14:textId="77777777" w:rsidTr="00E44B39">
        <w:trPr>
          <w:trHeight w:val="57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3067549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Pago y liquidación</w:t>
            </w:r>
          </w:p>
        </w:tc>
        <w:tc>
          <w:tcPr>
            <w:tcW w:w="2939" w:type="dxa"/>
            <w:tcBorders>
              <w:top w:val="nil"/>
              <w:left w:val="nil"/>
              <w:bottom w:val="single" w:sz="4" w:space="0" w:color="auto"/>
              <w:right w:val="single" w:sz="4" w:space="0" w:color="auto"/>
            </w:tcBorders>
            <w:shd w:val="clear" w:color="auto" w:fill="auto"/>
            <w:vAlign w:val="center"/>
            <w:hideMark/>
          </w:tcPr>
          <w:p w14:paraId="0725595D"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Clientes externos</w:t>
            </w:r>
          </w:p>
        </w:tc>
        <w:tc>
          <w:tcPr>
            <w:tcW w:w="4678" w:type="dxa"/>
            <w:tcBorders>
              <w:top w:val="nil"/>
              <w:left w:val="nil"/>
              <w:bottom w:val="single" w:sz="4" w:space="0" w:color="auto"/>
              <w:right w:val="single" w:sz="4" w:space="0" w:color="auto"/>
            </w:tcBorders>
            <w:shd w:val="clear" w:color="auto" w:fill="auto"/>
            <w:vAlign w:val="center"/>
            <w:hideMark/>
          </w:tcPr>
          <w:p w14:paraId="3EE1E7D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Pagos y recaudaciones, transferencia de fondos, compensación y liquidación.</w:t>
            </w:r>
          </w:p>
        </w:tc>
      </w:tr>
      <w:tr w:rsidR="00637863" w:rsidRPr="00B82B2C" w14:paraId="347B964E" w14:textId="77777777" w:rsidTr="00E44B39">
        <w:trPr>
          <w:trHeight w:val="52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C4A5A6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Servicios de agencia</w:t>
            </w:r>
          </w:p>
        </w:tc>
        <w:tc>
          <w:tcPr>
            <w:tcW w:w="2939" w:type="dxa"/>
            <w:tcBorders>
              <w:top w:val="nil"/>
              <w:left w:val="nil"/>
              <w:bottom w:val="single" w:sz="4" w:space="0" w:color="auto"/>
              <w:right w:val="single" w:sz="4" w:space="0" w:color="auto"/>
            </w:tcBorders>
            <w:shd w:val="clear" w:color="auto" w:fill="auto"/>
            <w:vAlign w:val="center"/>
            <w:hideMark/>
          </w:tcPr>
          <w:p w14:paraId="0B7BD0A8"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Custodia</w:t>
            </w:r>
          </w:p>
        </w:tc>
        <w:tc>
          <w:tcPr>
            <w:tcW w:w="4678" w:type="dxa"/>
            <w:tcBorders>
              <w:top w:val="nil"/>
              <w:left w:val="nil"/>
              <w:bottom w:val="single" w:sz="4" w:space="0" w:color="auto"/>
              <w:right w:val="single" w:sz="4" w:space="0" w:color="auto"/>
            </w:tcBorders>
            <w:shd w:val="clear" w:color="auto" w:fill="auto"/>
            <w:vAlign w:val="center"/>
            <w:hideMark/>
          </w:tcPr>
          <w:p w14:paraId="2800745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Certificados de depósitos, operaciones para préstamo de títulos valores.</w:t>
            </w:r>
          </w:p>
        </w:tc>
      </w:tr>
      <w:tr w:rsidR="00637863" w:rsidRPr="00B82B2C" w14:paraId="1F1EE9BD" w14:textId="77777777" w:rsidTr="00E44B39">
        <w:trPr>
          <w:trHeight w:val="510"/>
        </w:trPr>
        <w:tc>
          <w:tcPr>
            <w:tcW w:w="1324" w:type="dxa"/>
            <w:vMerge/>
            <w:tcBorders>
              <w:top w:val="nil"/>
              <w:left w:val="single" w:sz="4" w:space="0" w:color="auto"/>
              <w:bottom w:val="single" w:sz="4" w:space="0" w:color="auto"/>
              <w:right w:val="single" w:sz="4" w:space="0" w:color="auto"/>
            </w:tcBorders>
            <w:vAlign w:val="center"/>
            <w:hideMark/>
          </w:tcPr>
          <w:p w14:paraId="0441F55F"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716EF87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Agencia para empresas</w:t>
            </w:r>
          </w:p>
        </w:tc>
        <w:tc>
          <w:tcPr>
            <w:tcW w:w="4678" w:type="dxa"/>
            <w:tcBorders>
              <w:top w:val="nil"/>
              <w:left w:val="nil"/>
              <w:bottom w:val="single" w:sz="4" w:space="0" w:color="auto"/>
              <w:right w:val="single" w:sz="4" w:space="0" w:color="auto"/>
            </w:tcBorders>
            <w:shd w:val="clear" w:color="auto" w:fill="auto"/>
            <w:vAlign w:val="center"/>
            <w:hideMark/>
          </w:tcPr>
          <w:p w14:paraId="493F5EA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Agentes de emisiones de deudas y pagos.</w:t>
            </w:r>
          </w:p>
        </w:tc>
      </w:tr>
      <w:tr w:rsidR="00637863" w:rsidRPr="00B82B2C" w14:paraId="5446BF02" w14:textId="77777777" w:rsidTr="00E44B39">
        <w:trPr>
          <w:trHeight w:val="464"/>
        </w:trPr>
        <w:tc>
          <w:tcPr>
            <w:tcW w:w="1324" w:type="dxa"/>
            <w:vMerge/>
            <w:tcBorders>
              <w:top w:val="nil"/>
              <w:left w:val="single" w:sz="4" w:space="0" w:color="auto"/>
              <w:bottom w:val="single" w:sz="4" w:space="0" w:color="auto"/>
              <w:right w:val="single" w:sz="4" w:space="0" w:color="auto"/>
            </w:tcBorders>
            <w:vAlign w:val="center"/>
            <w:hideMark/>
          </w:tcPr>
          <w:p w14:paraId="7FF9AC8E"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85DCCEE"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Fideicomisos de empresas</w:t>
            </w:r>
          </w:p>
        </w:tc>
        <w:tc>
          <w:tcPr>
            <w:tcW w:w="4678" w:type="dxa"/>
            <w:tcBorders>
              <w:top w:val="nil"/>
              <w:left w:val="nil"/>
              <w:bottom w:val="single" w:sz="4" w:space="0" w:color="auto"/>
              <w:right w:val="single" w:sz="4" w:space="0" w:color="auto"/>
            </w:tcBorders>
            <w:shd w:val="clear" w:color="auto" w:fill="auto"/>
            <w:vAlign w:val="center"/>
            <w:hideMark/>
          </w:tcPr>
          <w:p w14:paraId="318B9E5A" w14:textId="4DFF833D"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Comisiones de confianza y otros servicios</w:t>
            </w:r>
          </w:p>
        </w:tc>
      </w:tr>
      <w:tr w:rsidR="00637863" w:rsidRPr="00B82B2C" w14:paraId="6C4B1CB8" w14:textId="77777777" w:rsidTr="00E44B39">
        <w:trPr>
          <w:trHeight w:val="73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91A812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Administración de activos</w:t>
            </w:r>
          </w:p>
        </w:tc>
        <w:tc>
          <w:tcPr>
            <w:tcW w:w="2939" w:type="dxa"/>
            <w:tcBorders>
              <w:top w:val="nil"/>
              <w:left w:val="nil"/>
              <w:bottom w:val="single" w:sz="4" w:space="0" w:color="auto"/>
              <w:right w:val="single" w:sz="4" w:space="0" w:color="auto"/>
            </w:tcBorders>
            <w:shd w:val="clear" w:color="auto" w:fill="auto"/>
            <w:vAlign w:val="center"/>
            <w:hideMark/>
          </w:tcPr>
          <w:p w14:paraId="48DA5FD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Administración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C9B48F7"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Minoristas, institucionales, cerrados, abiertos, participaciones accionariales.</w:t>
            </w:r>
          </w:p>
        </w:tc>
      </w:tr>
      <w:tr w:rsidR="00637863" w:rsidRPr="00B82B2C" w14:paraId="527BF7CD" w14:textId="77777777" w:rsidTr="00E44B39">
        <w:trPr>
          <w:trHeight w:val="626"/>
        </w:trPr>
        <w:tc>
          <w:tcPr>
            <w:tcW w:w="1324" w:type="dxa"/>
            <w:vMerge/>
            <w:tcBorders>
              <w:top w:val="nil"/>
              <w:left w:val="single" w:sz="4" w:space="0" w:color="auto"/>
              <w:bottom w:val="single" w:sz="4" w:space="0" w:color="auto"/>
              <w:right w:val="single" w:sz="4" w:space="0" w:color="auto"/>
            </w:tcBorders>
            <w:vAlign w:val="center"/>
            <w:hideMark/>
          </w:tcPr>
          <w:p w14:paraId="1899BBC0"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5CC486C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Administración no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A7415F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Minoristas, institucionales, de capital fijo, de capital variable.</w:t>
            </w:r>
          </w:p>
        </w:tc>
      </w:tr>
      <w:tr w:rsidR="00637863" w:rsidRPr="00B82B2C" w14:paraId="5A30E521" w14:textId="77777777" w:rsidTr="00E44B39">
        <w:trPr>
          <w:trHeight w:val="408"/>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8DE678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2939" w:type="dxa"/>
            <w:tcBorders>
              <w:top w:val="nil"/>
              <w:left w:val="nil"/>
              <w:bottom w:val="single" w:sz="4" w:space="0" w:color="auto"/>
              <w:right w:val="single" w:sz="4" w:space="0" w:color="auto"/>
            </w:tcBorders>
            <w:shd w:val="clear" w:color="auto" w:fill="auto"/>
            <w:vAlign w:val="center"/>
            <w:hideMark/>
          </w:tcPr>
          <w:p w14:paraId="0736DA7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4678" w:type="dxa"/>
            <w:tcBorders>
              <w:top w:val="nil"/>
              <w:left w:val="nil"/>
              <w:bottom w:val="single" w:sz="4" w:space="0" w:color="auto"/>
              <w:right w:val="single" w:sz="4" w:space="0" w:color="auto"/>
            </w:tcBorders>
            <w:shd w:val="clear" w:color="auto" w:fill="auto"/>
            <w:vAlign w:val="center"/>
            <w:hideMark/>
          </w:tcPr>
          <w:p w14:paraId="5E68166B"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Ejecución y servicio completo.</w:t>
            </w:r>
          </w:p>
        </w:tc>
      </w:tr>
    </w:tbl>
    <w:p w14:paraId="49484B1E" w14:textId="3D18C092"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 3</w:t>
      </w:r>
    </w:p>
    <w:p w14:paraId="7576A00D" w14:textId="77777777" w:rsidR="00637863" w:rsidRPr="00B82B2C" w:rsidRDefault="00637863" w:rsidP="00637863">
      <w:pPr>
        <w:tabs>
          <w:tab w:val="left" w:pos="900"/>
        </w:tabs>
        <w:jc w:val="center"/>
        <w:rPr>
          <w:rFonts w:ascii="Museo Sans 300" w:hAnsi="Museo Sans 300"/>
          <w:b/>
          <w:sz w:val="22"/>
          <w:szCs w:val="22"/>
        </w:rPr>
      </w:pPr>
    </w:p>
    <w:p w14:paraId="62E710FA" w14:textId="77777777" w:rsidR="00637863" w:rsidRPr="00B82B2C" w:rsidRDefault="00637863" w:rsidP="00637863">
      <w:pPr>
        <w:jc w:val="center"/>
        <w:rPr>
          <w:rFonts w:ascii="Museo Sans 300" w:hAnsi="Museo Sans 300"/>
          <w:i/>
          <w:sz w:val="22"/>
          <w:szCs w:val="22"/>
        </w:rPr>
      </w:pPr>
      <w:r w:rsidRPr="00B82B2C">
        <w:rPr>
          <w:rFonts w:ascii="Museo Sans 300" w:hAnsi="Museo Sans 300"/>
          <w:b/>
          <w:bCs/>
          <w:color w:val="000000"/>
          <w:sz w:val="22"/>
          <w:szCs w:val="22"/>
        </w:rPr>
        <w:t>DETALLE DE LÍNEAS DE NEGOCIOS DE SOCIEDADES DE SEGUROS</w:t>
      </w:r>
      <w:r w:rsidRPr="00B82B2C">
        <w:rPr>
          <w:rFonts w:ascii="Museo Sans 300" w:hAnsi="Museo Sans 300"/>
          <w:i/>
          <w:sz w:val="22"/>
          <w:szCs w:val="22"/>
        </w:rPr>
        <w:t>.</w:t>
      </w:r>
    </w:p>
    <w:p w14:paraId="55832335" w14:textId="77777777" w:rsidR="00637863" w:rsidRPr="00B82B2C" w:rsidRDefault="00637863" w:rsidP="00637863">
      <w:pPr>
        <w:jc w:val="center"/>
        <w:rPr>
          <w:rFonts w:ascii="Museo Sans 300" w:hAnsi="Museo Sans 300"/>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972"/>
        <w:gridCol w:w="4786"/>
      </w:tblGrid>
      <w:tr w:rsidR="00637863" w:rsidRPr="00B82B2C" w14:paraId="55829237" w14:textId="77777777" w:rsidTr="00637863">
        <w:tc>
          <w:tcPr>
            <w:tcW w:w="1843" w:type="dxa"/>
          </w:tcPr>
          <w:p w14:paraId="22EA80A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1984" w:type="dxa"/>
          </w:tcPr>
          <w:p w14:paraId="195706DA"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901" w:type="dxa"/>
          </w:tcPr>
          <w:p w14:paraId="3AAE8DC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67286BD5" w14:textId="77777777" w:rsidTr="00637863">
        <w:tc>
          <w:tcPr>
            <w:tcW w:w="1843" w:type="dxa"/>
            <w:vMerge w:val="restart"/>
            <w:vAlign w:val="center"/>
          </w:tcPr>
          <w:p w14:paraId="0D30304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Personas</w:t>
            </w:r>
          </w:p>
        </w:tc>
        <w:tc>
          <w:tcPr>
            <w:tcW w:w="1984" w:type="dxa"/>
          </w:tcPr>
          <w:p w14:paraId="0CB90E0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Vida</w:t>
            </w:r>
          </w:p>
        </w:tc>
        <w:tc>
          <w:tcPr>
            <w:tcW w:w="4901" w:type="dxa"/>
          </w:tcPr>
          <w:p w14:paraId="325AF9A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Vida individual de largo plazo, vida individual de corto plazo, colectivos y otros planes</w:t>
            </w:r>
          </w:p>
        </w:tc>
      </w:tr>
      <w:tr w:rsidR="00637863" w:rsidRPr="00B82B2C" w14:paraId="6B241FCA" w14:textId="77777777" w:rsidTr="00637863">
        <w:tc>
          <w:tcPr>
            <w:tcW w:w="1843" w:type="dxa"/>
            <w:vMerge/>
          </w:tcPr>
          <w:p w14:paraId="14BDC75D" w14:textId="77777777" w:rsidR="00637863" w:rsidRPr="00B82B2C" w:rsidRDefault="00637863" w:rsidP="00E55232">
            <w:pPr>
              <w:jc w:val="center"/>
              <w:rPr>
                <w:rFonts w:ascii="Museo Sans 300" w:hAnsi="Museo Sans 300"/>
                <w:bCs/>
                <w:color w:val="000000"/>
                <w:sz w:val="22"/>
                <w:szCs w:val="22"/>
              </w:rPr>
            </w:pPr>
          </w:p>
        </w:tc>
        <w:tc>
          <w:tcPr>
            <w:tcW w:w="1984" w:type="dxa"/>
          </w:tcPr>
          <w:p w14:paraId="4F95ED5C"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Previsionales rentas y pensiones</w:t>
            </w:r>
          </w:p>
        </w:tc>
        <w:tc>
          <w:tcPr>
            <w:tcW w:w="4901" w:type="dxa"/>
          </w:tcPr>
          <w:p w14:paraId="45BFD390"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Renta de invalidez y sobrevivencia, sepelio, otras rentas y pensiones</w:t>
            </w:r>
          </w:p>
        </w:tc>
      </w:tr>
      <w:tr w:rsidR="00637863" w:rsidRPr="00B82B2C" w14:paraId="2AE3BAF0" w14:textId="77777777" w:rsidTr="00637863">
        <w:tc>
          <w:tcPr>
            <w:tcW w:w="1843" w:type="dxa"/>
            <w:vMerge/>
            <w:tcBorders>
              <w:bottom w:val="single" w:sz="4" w:space="0" w:color="auto"/>
            </w:tcBorders>
          </w:tcPr>
          <w:p w14:paraId="63E47879"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EEEAFF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Accidentes y enfermedades</w:t>
            </w:r>
          </w:p>
        </w:tc>
        <w:tc>
          <w:tcPr>
            <w:tcW w:w="4901" w:type="dxa"/>
            <w:tcBorders>
              <w:bottom w:val="single" w:sz="4" w:space="0" w:color="auto"/>
            </w:tcBorders>
          </w:tcPr>
          <w:p w14:paraId="35E19A2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Salud y hospitalización, accidentes personales, accidentes viajes aéreos y escolares</w:t>
            </w:r>
          </w:p>
        </w:tc>
      </w:tr>
      <w:tr w:rsidR="00637863" w:rsidRPr="00B82B2C" w14:paraId="58AE511D" w14:textId="77777777" w:rsidTr="00637863">
        <w:tc>
          <w:tcPr>
            <w:tcW w:w="1843" w:type="dxa"/>
            <w:tcBorders>
              <w:left w:val="single" w:sz="4" w:space="0" w:color="auto"/>
              <w:bottom w:val="single" w:sz="4" w:space="0" w:color="auto"/>
            </w:tcBorders>
          </w:tcPr>
          <w:p w14:paraId="7D874AD2"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A4E5EFD" w14:textId="77777777" w:rsidR="00637863" w:rsidRPr="00B82B2C" w:rsidRDefault="00637863" w:rsidP="00E55232">
            <w:pPr>
              <w:jc w:val="center"/>
              <w:rPr>
                <w:rFonts w:ascii="Museo Sans 300" w:hAnsi="Museo Sans 300"/>
                <w:bCs/>
                <w:color w:val="000000"/>
                <w:sz w:val="22"/>
                <w:szCs w:val="22"/>
              </w:rPr>
            </w:pPr>
          </w:p>
        </w:tc>
        <w:tc>
          <w:tcPr>
            <w:tcW w:w="4901" w:type="dxa"/>
            <w:tcBorders>
              <w:bottom w:val="single" w:sz="4" w:space="0" w:color="auto"/>
            </w:tcBorders>
          </w:tcPr>
          <w:p w14:paraId="3B9EDDC3" w14:textId="77777777" w:rsidR="00637863" w:rsidRPr="00B82B2C" w:rsidRDefault="00637863" w:rsidP="00E55232">
            <w:pPr>
              <w:jc w:val="both"/>
              <w:rPr>
                <w:rFonts w:ascii="Museo Sans 300" w:hAnsi="Museo Sans 300"/>
                <w:bCs/>
                <w:color w:val="000000"/>
                <w:sz w:val="22"/>
                <w:szCs w:val="22"/>
              </w:rPr>
            </w:pPr>
          </w:p>
        </w:tc>
      </w:tr>
      <w:tr w:rsidR="00637863" w:rsidRPr="00B82B2C" w14:paraId="23B98ABA" w14:textId="77777777" w:rsidTr="00637863">
        <w:tc>
          <w:tcPr>
            <w:tcW w:w="1843" w:type="dxa"/>
            <w:vMerge w:val="restart"/>
            <w:tcBorders>
              <w:top w:val="single" w:sz="4" w:space="0" w:color="auto"/>
            </w:tcBorders>
            <w:vAlign w:val="center"/>
          </w:tcPr>
          <w:p w14:paraId="326AA61E"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Daños o Generales</w:t>
            </w:r>
          </w:p>
        </w:tc>
        <w:tc>
          <w:tcPr>
            <w:tcW w:w="1984" w:type="dxa"/>
            <w:tcBorders>
              <w:top w:val="single" w:sz="4" w:space="0" w:color="auto"/>
            </w:tcBorders>
          </w:tcPr>
          <w:p w14:paraId="4073ABE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Incendios y Líneas Aliadas</w:t>
            </w:r>
          </w:p>
        </w:tc>
        <w:tc>
          <w:tcPr>
            <w:tcW w:w="4901" w:type="dxa"/>
            <w:tcBorders>
              <w:top w:val="single" w:sz="4" w:space="0" w:color="auto"/>
            </w:tcBorders>
          </w:tcPr>
          <w:p w14:paraId="3096C969"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Incendios, Tormentas, Terremotos, Huracanes, Granizo.</w:t>
            </w:r>
          </w:p>
        </w:tc>
      </w:tr>
      <w:tr w:rsidR="00637863" w:rsidRPr="00B82B2C" w14:paraId="5760AB6F" w14:textId="77777777" w:rsidTr="00637863">
        <w:tc>
          <w:tcPr>
            <w:tcW w:w="1843" w:type="dxa"/>
            <w:vMerge/>
          </w:tcPr>
          <w:p w14:paraId="200BC349"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7E4F8675"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Automotores</w:t>
            </w:r>
          </w:p>
        </w:tc>
        <w:tc>
          <w:tcPr>
            <w:tcW w:w="4901" w:type="dxa"/>
          </w:tcPr>
          <w:p w14:paraId="4BE62685"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 xml:space="preserve">Automotores particulares, automotores colectivos, motocicletas, transporte colectivo, </w:t>
            </w:r>
          </w:p>
        </w:tc>
      </w:tr>
      <w:tr w:rsidR="00637863" w:rsidRPr="00B82B2C" w14:paraId="4607EA26" w14:textId="77777777" w:rsidTr="00637863">
        <w:tc>
          <w:tcPr>
            <w:tcW w:w="1843" w:type="dxa"/>
            <w:vMerge/>
          </w:tcPr>
          <w:p w14:paraId="329DA97A"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7B733A"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Generales</w:t>
            </w:r>
          </w:p>
        </w:tc>
        <w:tc>
          <w:tcPr>
            <w:tcW w:w="4901" w:type="dxa"/>
          </w:tcPr>
          <w:p w14:paraId="4C0063F7"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Rotura de cristales, transporte marítimo, transporte aéreo, marítimos cascos, aviación, robo y hurto, fidelidad, seguro de banco, todo riesgo contratistas, rotura de maquinaria, montaje contra todo riesgo, todo riesgo electrónico, calderas, ganadero agrícola, crédito interno y misceláneo.</w:t>
            </w:r>
          </w:p>
        </w:tc>
      </w:tr>
      <w:tr w:rsidR="00637863" w:rsidRPr="00B82B2C" w14:paraId="7371E229" w14:textId="77777777" w:rsidTr="00637863">
        <w:tc>
          <w:tcPr>
            <w:tcW w:w="1843" w:type="dxa"/>
          </w:tcPr>
          <w:p w14:paraId="38AE9177" w14:textId="77777777" w:rsidR="00637863" w:rsidRPr="00B82B2C" w:rsidRDefault="00637863" w:rsidP="00E55232">
            <w:pPr>
              <w:jc w:val="center"/>
              <w:rPr>
                <w:rFonts w:ascii="Museo Sans 300" w:hAnsi="Museo Sans 300"/>
                <w:bCs/>
                <w:color w:val="000000"/>
                <w:sz w:val="22"/>
                <w:szCs w:val="22"/>
              </w:rPr>
            </w:pPr>
          </w:p>
        </w:tc>
        <w:tc>
          <w:tcPr>
            <w:tcW w:w="1984" w:type="dxa"/>
          </w:tcPr>
          <w:p w14:paraId="1C0F5E05" w14:textId="77777777" w:rsidR="00637863" w:rsidRPr="00B82B2C" w:rsidRDefault="00637863" w:rsidP="00E55232">
            <w:pPr>
              <w:jc w:val="center"/>
              <w:rPr>
                <w:rFonts w:ascii="Museo Sans 300" w:hAnsi="Museo Sans 300"/>
                <w:bCs/>
                <w:color w:val="000000"/>
                <w:sz w:val="22"/>
                <w:szCs w:val="22"/>
              </w:rPr>
            </w:pPr>
          </w:p>
        </w:tc>
        <w:tc>
          <w:tcPr>
            <w:tcW w:w="4901" w:type="dxa"/>
          </w:tcPr>
          <w:p w14:paraId="1496ACDA" w14:textId="77777777" w:rsidR="00637863" w:rsidRPr="00B82B2C" w:rsidRDefault="00637863" w:rsidP="00E55232">
            <w:pPr>
              <w:jc w:val="both"/>
              <w:rPr>
                <w:rFonts w:ascii="Museo Sans 300" w:hAnsi="Museo Sans 300"/>
                <w:bCs/>
                <w:color w:val="000000"/>
                <w:sz w:val="22"/>
                <w:szCs w:val="22"/>
              </w:rPr>
            </w:pPr>
          </w:p>
        </w:tc>
      </w:tr>
      <w:tr w:rsidR="00637863" w:rsidRPr="00B82B2C" w14:paraId="6E26DDAB" w14:textId="77777777" w:rsidTr="00637863">
        <w:tc>
          <w:tcPr>
            <w:tcW w:w="1843" w:type="dxa"/>
            <w:vMerge w:val="restart"/>
            <w:vAlign w:val="center"/>
          </w:tcPr>
          <w:p w14:paraId="72FE3D3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Fianzas</w:t>
            </w:r>
          </w:p>
        </w:tc>
        <w:tc>
          <w:tcPr>
            <w:tcW w:w="1984" w:type="dxa"/>
            <w:vAlign w:val="center"/>
          </w:tcPr>
          <w:p w14:paraId="1E7F9724"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Fidelidad</w:t>
            </w:r>
          </w:p>
        </w:tc>
        <w:tc>
          <w:tcPr>
            <w:tcW w:w="4901" w:type="dxa"/>
          </w:tcPr>
          <w:p w14:paraId="1FD5F50E"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Fidelidad</w:t>
            </w:r>
          </w:p>
        </w:tc>
      </w:tr>
      <w:tr w:rsidR="00637863" w:rsidRPr="00B82B2C" w14:paraId="24125B7D" w14:textId="77777777" w:rsidTr="00637863">
        <w:tc>
          <w:tcPr>
            <w:tcW w:w="1843" w:type="dxa"/>
            <w:vMerge/>
          </w:tcPr>
          <w:p w14:paraId="6412E32D"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43A2318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Garantía</w:t>
            </w:r>
          </w:p>
        </w:tc>
        <w:tc>
          <w:tcPr>
            <w:tcW w:w="4901" w:type="dxa"/>
          </w:tcPr>
          <w:p w14:paraId="4051FAE1"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Licitación y oferta, fiel cumplimiento, buena calidad, buena obra, fianza de responsabilidad civil, fianza de construcción, otras fianzas</w:t>
            </w:r>
          </w:p>
        </w:tc>
      </w:tr>
      <w:tr w:rsidR="00637863" w:rsidRPr="00B82B2C" w14:paraId="4A102A8B" w14:textId="77777777" w:rsidTr="00637863">
        <w:tc>
          <w:tcPr>
            <w:tcW w:w="1843" w:type="dxa"/>
            <w:vMerge/>
          </w:tcPr>
          <w:p w14:paraId="6F4C8467"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8053E2"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Motoristas</w:t>
            </w:r>
          </w:p>
        </w:tc>
        <w:tc>
          <w:tcPr>
            <w:tcW w:w="4901" w:type="dxa"/>
          </w:tcPr>
          <w:p w14:paraId="071EF7AC"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Motorista</w:t>
            </w:r>
          </w:p>
        </w:tc>
      </w:tr>
    </w:tbl>
    <w:p w14:paraId="693D0503" w14:textId="77777777" w:rsidR="00637863" w:rsidRPr="00B82B2C" w:rsidRDefault="00637863" w:rsidP="00637863">
      <w:pPr>
        <w:jc w:val="center"/>
        <w:rPr>
          <w:rFonts w:ascii="Museo Sans 300" w:hAnsi="Museo Sans 300"/>
          <w:bCs/>
          <w:color w:val="000000"/>
          <w:sz w:val="22"/>
          <w:szCs w:val="22"/>
        </w:rPr>
      </w:pPr>
    </w:p>
    <w:p w14:paraId="64F64138" w14:textId="77777777" w:rsidR="00637863" w:rsidRPr="00B82B2C" w:rsidRDefault="00637863" w:rsidP="00637863">
      <w:pPr>
        <w:rPr>
          <w:rFonts w:ascii="Museo Sans 300" w:hAnsi="Museo Sans 300"/>
          <w:i/>
          <w:sz w:val="22"/>
          <w:szCs w:val="22"/>
        </w:rPr>
      </w:pPr>
    </w:p>
    <w:p w14:paraId="3D6707E6" w14:textId="56D974E0"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br w:type="page"/>
      </w:r>
    </w:p>
    <w:p w14:paraId="34A6DC8B" w14:textId="3CD40B63"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4</w:t>
      </w:r>
    </w:p>
    <w:p w14:paraId="2275FCF5" w14:textId="77777777" w:rsidR="00637863" w:rsidRPr="00B82B2C" w:rsidRDefault="00637863" w:rsidP="00637863">
      <w:pPr>
        <w:tabs>
          <w:tab w:val="left" w:pos="900"/>
        </w:tabs>
        <w:jc w:val="center"/>
        <w:rPr>
          <w:rFonts w:ascii="Museo Sans 300" w:hAnsi="Museo Sans 300"/>
          <w:b/>
          <w:sz w:val="22"/>
          <w:szCs w:val="22"/>
        </w:rPr>
      </w:pPr>
    </w:p>
    <w:p w14:paraId="237611FB" w14:textId="77777777"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t xml:space="preserve">TABLA DE CONTENIDO DE LA BASE DE DATOS DE REGISTRO DE EVENTOS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463"/>
        <w:gridCol w:w="5919"/>
      </w:tblGrid>
      <w:tr w:rsidR="00637863" w:rsidRPr="00E072D8" w14:paraId="4BF4B0FB" w14:textId="77777777" w:rsidTr="00E072D8">
        <w:tc>
          <w:tcPr>
            <w:tcW w:w="446" w:type="dxa"/>
          </w:tcPr>
          <w:p w14:paraId="0AA2896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w:t>
            </w:r>
          </w:p>
        </w:tc>
        <w:tc>
          <w:tcPr>
            <w:tcW w:w="2497" w:type="dxa"/>
          </w:tcPr>
          <w:p w14:paraId="187EED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Referencia</w:t>
            </w:r>
          </w:p>
        </w:tc>
        <w:tc>
          <w:tcPr>
            <w:tcW w:w="6111" w:type="dxa"/>
          </w:tcPr>
          <w:p w14:paraId="5868EA63"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Código interno que identifique el evento en forma secuencial.</w:t>
            </w:r>
          </w:p>
        </w:tc>
      </w:tr>
      <w:tr w:rsidR="00637863" w:rsidRPr="00E072D8" w14:paraId="3E7A18D2" w14:textId="77777777" w:rsidTr="00E072D8">
        <w:trPr>
          <w:trHeight w:val="195"/>
        </w:trPr>
        <w:tc>
          <w:tcPr>
            <w:tcW w:w="446" w:type="dxa"/>
          </w:tcPr>
          <w:p w14:paraId="05365EE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2</w:t>
            </w:r>
          </w:p>
        </w:tc>
        <w:tc>
          <w:tcPr>
            <w:tcW w:w="2497" w:type="dxa"/>
          </w:tcPr>
          <w:p w14:paraId="11E4B0D2" w14:textId="77777777" w:rsidR="00637863" w:rsidRPr="00E072D8" w:rsidRDefault="00637863" w:rsidP="00E55232">
            <w:pPr>
              <w:pStyle w:val="BodyText21"/>
              <w:tabs>
                <w:tab w:val="clear" w:pos="-720"/>
                <w:tab w:val="left" w:pos="1440"/>
              </w:tabs>
              <w:rPr>
                <w:rFonts w:ascii="Museo Sans 300" w:hAnsi="Museo Sans 300"/>
                <w:sz w:val="21"/>
                <w:szCs w:val="21"/>
              </w:rPr>
            </w:pPr>
            <w:r w:rsidRPr="00E072D8">
              <w:rPr>
                <w:rFonts w:ascii="Museo Sans 300" w:hAnsi="Museo Sans 300"/>
                <w:spacing w:val="0"/>
                <w:sz w:val="21"/>
                <w:szCs w:val="21"/>
              </w:rPr>
              <w:t>Factor de riesgo operacional</w:t>
            </w:r>
          </w:p>
        </w:tc>
        <w:tc>
          <w:tcPr>
            <w:tcW w:w="6111" w:type="dxa"/>
          </w:tcPr>
          <w:p w14:paraId="0D603266" w14:textId="77777777" w:rsidR="00637863" w:rsidRPr="00E072D8" w:rsidRDefault="00637863" w:rsidP="00E55232">
            <w:pPr>
              <w:pStyle w:val="BodyText21"/>
              <w:tabs>
                <w:tab w:val="clear" w:pos="-720"/>
                <w:tab w:val="left" w:pos="1440"/>
                <w:tab w:val="num" w:pos="6432"/>
              </w:tabs>
              <w:rPr>
                <w:rFonts w:ascii="Museo Sans 300" w:hAnsi="Museo Sans 300"/>
                <w:spacing w:val="0"/>
                <w:sz w:val="21"/>
                <w:szCs w:val="21"/>
              </w:rPr>
            </w:pPr>
            <w:r w:rsidRPr="00E072D8">
              <w:rPr>
                <w:rFonts w:ascii="Museo Sans 300" w:hAnsi="Museo Sans 300"/>
                <w:spacing w:val="0"/>
                <w:sz w:val="21"/>
                <w:szCs w:val="21"/>
              </w:rPr>
              <w:t>De acuerdo a la clasificación establecida en Capítulo II de estas Normas.</w:t>
            </w:r>
          </w:p>
        </w:tc>
      </w:tr>
      <w:tr w:rsidR="00637863" w:rsidRPr="00E072D8" w14:paraId="5F9A46F1" w14:textId="77777777" w:rsidTr="00E072D8">
        <w:tc>
          <w:tcPr>
            <w:tcW w:w="446" w:type="dxa"/>
          </w:tcPr>
          <w:p w14:paraId="6D16F8B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3</w:t>
            </w:r>
          </w:p>
        </w:tc>
        <w:tc>
          <w:tcPr>
            <w:tcW w:w="2497" w:type="dxa"/>
          </w:tcPr>
          <w:p w14:paraId="255183A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Tipo de evento de pérdida</w:t>
            </w:r>
          </w:p>
        </w:tc>
        <w:tc>
          <w:tcPr>
            <w:tcW w:w="6111" w:type="dxa"/>
          </w:tcPr>
          <w:p w14:paraId="4334E74D"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 el tipo de pérdida, de acuerdo con la clasificación del Anexo No. 1.</w:t>
            </w:r>
          </w:p>
        </w:tc>
      </w:tr>
      <w:tr w:rsidR="00637863" w:rsidRPr="00E072D8" w14:paraId="60891A43" w14:textId="77777777" w:rsidTr="00E072D8">
        <w:tc>
          <w:tcPr>
            <w:tcW w:w="446" w:type="dxa"/>
          </w:tcPr>
          <w:p w14:paraId="3CA080D0"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4</w:t>
            </w:r>
          </w:p>
        </w:tc>
        <w:tc>
          <w:tcPr>
            <w:tcW w:w="2497" w:type="dxa"/>
          </w:tcPr>
          <w:p w14:paraId="747A8FA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Líneas de negocio </w:t>
            </w:r>
          </w:p>
        </w:tc>
        <w:tc>
          <w:tcPr>
            <w:tcW w:w="6111" w:type="dxa"/>
          </w:tcPr>
          <w:p w14:paraId="1CE6606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Identificación de la línea de negocio que origino el evento</w:t>
            </w:r>
            <w:r w:rsidRPr="00E072D8">
              <w:rPr>
                <w:rFonts w:ascii="Museo Sans 300" w:hAnsi="Museo Sans 300"/>
                <w:b/>
                <w:spacing w:val="0"/>
                <w:sz w:val="21"/>
                <w:szCs w:val="21"/>
              </w:rPr>
              <w:t xml:space="preserve">, </w:t>
            </w:r>
            <w:r w:rsidRPr="00E072D8">
              <w:rPr>
                <w:rFonts w:ascii="Museo Sans 300" w:hAnsi="Museo Sans 300"/>
                <w:spacing w:val="0"/>
                <w:sz w:val="21"/>
                <w:szCs w:val="21"/>
              </w:rPr>
              <w:t>siendo las principales para el caso de bancos, bancos cooperativos y sociedades de ahorro y crédito las detalladas en Anexo No.2.</w:t>
            </w:r>
          </w:p>
          <w:p w14:paraId="4D0C00D7" w14:textId="1B468884" w:rsidR="00637863" w:rsidRPr="00E072D8" w:rsidRDefault="00637863" w:rsidP="00E55232">
            <w:pPr>
              <w:pStyle w:val="BodyText21"/>
              <w:tabs>
                <w:tab w:val="clear" w:pos="-720"/>
                <w:tab w:val="left" w:pos="1440"/>
              </w:tabs>
              <w:rPr>
                <w:rFonts w:ascii="Museo Sans 300" w:hAnsi="Museo Sans 300"/>
                <w:b/>
                <w:spacing w:val="0"/>
                <w:sz w:val="21"/>
                <w:szCs w:val="21"/>
              </w:rPr>
            </w:pPr>
            <w:r w:rsidRPr="00E072D8">
              <w:rPr>
                <w:rFonts w:ascii="Museo Sans 300" w:hAnsi="Museo Sans 300"/>
                <w:spacing w:val="0"/>
                <w:sz w:val="21"/>
                <w:szCs w:val="21"/>
              </w:rPr>
              <w:t>Para las Sociedades de Seguro, las principales líneas de negocios, se detallan en Anexo No.3.</w:t>
            </w:r>
          </w:p>
        </w:tc>
      </w:tr>
      <w:tr w:rsidR="00637863" w:rsidRPr="00E072D8" w14:paraId="6E424CA8" w14:textId="77777777" w:rsidTr="00E072D8">
        <w:tc>
          <w:tcPr>
            <w:tcW w:w="446" w:type="dxa"/>
          </w:tcPr>
          <w:p w14:paraId="06C1543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5</w:t>
            </w:r>
          </w:p>
        </w:tc>
        <w:tc>
          <w:tcPr>
            <w:tcW w:w="2497" w:type="dxa"/>
          </w:tcPr>
          <w:p w14:paraId="41C937B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del evento</w:t>
            </w:r>
          </w:p>
          <w:p w14:paraId="5F6C6BD5"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5D71B53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detallada del evento. Canal de servicio o atención al cliente (cuando aplica) Zona geográfica.</w:t>
            </w:r>
          </w:p>
        </w:tc>
      </w:tr>
      <w:tr w:rsidR="00637863" w:rsidRPr="00E072D8" w14:paraId="5CE77C13" w14:textId="77777777" w:rsidTr="00E072D8">
        <w:tc>
          <w:tcPr>
            <w:tcW w:w="446" w:type="dxa"/>
          </w:tcPr>
          <w:p w14:paraId="0083BA0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6</w:t>
            </w:r>
          </w:p>
        </w:tc>
        <w:tc>
          <w:tcPr>
            <w:tcW w:w="2497" w:type="dxa"/>
          </w:tcPr>
          <w:p w14:paraId="58844EB8" w14:textId="77777777" w:rsidR="00637863" w:rsidRPr="00E072D8" w:rsidRDefault="00637863" w:rsidP="00E55232">
            <w:pPr>
              <w:pStyle w:val="BodyText21"/>
              <w:tabs>
                <w:tab w:val="clear" w:pos="-720"/>
                <w:tab w:val="left" w:pos="10"/>
              </w:tabs>
              <w:ind w:left="10"/>
              <w:rPr>
                <w:rFonts w:ascii="Museo Sans 300" w:hAnsi="Museo Sans 300"/>
                <w:spacing w:val="0"/>
                <w:sz w:val="21"/>
                <w:szCs w:val="21"/>
              </w:rPr>
            </w:pPr>
            <w:r w:rsidRPr="00E072D8">
              <w:rPr>
                <w:rFonts w:ascii="Museo Sans 300" w:hAnsi="Museo Sans 300"/>
                <w:spacing w:val="0"/>
                <w:sz w:val="21"/>
                <w:szCs w:val="21"/>
              </w:rPr>
              <w:t>Fecha de inicio del evento</w:t>
            </w:r>
          </w:p>
        </w:tc>
        <w:tc>
          <w:tcPr>
            <w:tcW w:w="6111" w:type="dxa"/>
          </w:tcPr>
          <w:p w14:paraId="66CCE1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Fecha en que se inicia el evento. Día, mes, año. </w:t>
            </w:r>
          </w:p>
        </w:tc>
      </w:tr>
      <w:tr w:rsidR="00637863" w:rsidRPr="00E072D8" w14:paraId="3A8BCB65" w14:textId="77777777" w:rsidTr="00E072D8">
        <w:tc>
          <w:tcPr>
            <w:tcW w:w="446" w:type="dxa"/>
          </w:tcPr>
          <w:p w14:paraId="378FC0F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7</w:t>
            </w:r>
          </w:p>
        </w:tc>
        <w:tc>
          <w:tcPr>
            <w:tcW w:w="2497" w:type="dxa"/>
          </w:tcPr>
          <w:p w14:paraId="20EB8C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de finalización del evento</w:t>
            </w:r>
          </w:p>
        </w:tc>
        <w:tc>
          <w:tcPr>
            <w:tcW w:w="6111" w:type="dxa"/>
          </w:tcPr>
          <w:p w14:paraId="0785FEC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en que finaliza el evento. Día, mes, año.</w:t>
            </w:r>
          </w:p>
        </w:tc>
      </w:tr>
      <w:tr w:rsidR="00637863" w:rsidRPr="00E072D8" w14:paraId="5D6DB8AF" w14:textId="77777777" w:rsidTr="00E072D8">
        <w:tc>
          <w:tcPr>
            <w:tcW w:w="446" w:type="dxa"/>
          </w:tcPr>
          <w:p w14:paraId="2006B6E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8</w:t>
            </w:r>
          </w:p>
        </w:tc>
        <w:tc>
          <w:tcPr>
            <w:tcW w:w="2497" w:type="dxa"/>
          </w:tcPr>
          <w:p w14:paraId="3CA2EA19"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del descubrimiento</w:t>
            </w:r>
          </w:p>
        </w:tc>
        <w:tc>
          <w:tcPr>
            <w:tcW w:w="6111" w:type="dxa"/>
          </w:tcPr>
          <w:p w14:paraId="50FB8D6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descubre el evento. Día, mes, año.</w:t>
            </w:r>
          </w:p>
        </w:tc>
      </w:tr>
      <w:tr w:rsidR="00637863" w:rsidRPr="00E072D8" w14:paraId="6C90A667" w14:textId="77777777" w:rsidTr="00E072D8">
        <w:tc>
          <w:tcPr>
            <w:tcW w:w="446" w:type="dxa"/>
          </w:tcPr>
          <w:p w14:paraId="5552F7D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9</w:t>
            </w:r>
          </w:p>
        </w:tc>
        <w:tc>
          <w:tcPr>
            <w:tcW w:w="2497" w:type="dxa"/>
          </w:tcPr>
          <w:p w14:paraId="6AFB3DB6"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 contabilización</w:t>
            </w:r>
          </w:p>
        </w:tc>
        <w:tc>
          <w:tcPr>
            <w:tcW w:w="6111" w:type="dxa"/>
          </w:tcPr>
          <w:p w14:paraId="437B4EF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registra contablemente la pérdida económica por el evento. Día, mes, año, hora.</w:t>
            </w:r>
          </w:p>
        </w:tc>
      </w:tr>
      <w:tr w:rsidR="00637863" w:rsidRPr="00E072D8" w14:paraId="56E827EA" w14:textId="77777777" w:rsidTr="00E072D8">
        <w:tc>
          <w:tcPr>
            <w:tcW w:w="446" w:type="dxa"/>
          </w:tcPr>
          <w:p w14:paraId="044CAD5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10</w:t>
            </w:r>
          </w:p>
        </w:tc>
        <w:tc>
          <w:tcPr>
            <w:tcW w:w="2497" w:type="dxa"/>
          </w:tcPr>
          <w:p w14:paraId="0CA38A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Monto </w:t>
            </w:r>
          </w:p>
          <w:p w14:paraId="790ACF2E"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2EBAFF7D" w14:textId="77777777" w:rsidR="00637863" w:rsidRPr="00E072D8" w:rsidRDefault="00637863" w:rsidP="00E55232">
            <w:pPr>
              <w:tabs>
                <w:tab w:val="left" w:pos="540"/>
              </w:tabs>
              <w:jc w:val="both"/>
              <w:rPr>
                <w:rFonts w:ascii="Museo Sans 300" w:hAnsi="Museo Sans 300" w:cs="Arial"/>
                <w:b/>
                <w:i/>
                <w:sz w:val="21"/>
                <w:szCs w:val="21"/>
              </w:rPr>
            </w:pPr>
            <w:r w:rsidRPr="00E072D8">
              <w:rPr>
                <w:rFonts w:ascii="Museo Sans 300" w:hAnsi="Museo Sans 300"/>
                <w:sz w:val="21"/>
                <w:szCs w:val="21"/>
              </w:rPr>
              <w:t>El monto a que asciende la pérdida, cuantificación económica de la ocurrencia del evento de riesgo operacional y los gastos derivados de su atención.</w:t>
            </w:r>
          </w:p>
        </w:tc>
      </w:tr>
      <w:tr w:rsidR="00637863" w:rsidRPr="00E072D8" w14:paraId="05949483" w14:textId="77777777" w:rsidTr="00E072D8">
        <w:tc>
          <w:tcPr>
            <w:tcW w:w="446" w:type="dxa"/>
          </w:tcPr>
          <w:p w14:paraId="23501D1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11</w:t>
            </w:r>
          </w:p>
        </w:tc>
        <w:tc>
          <w:tcPr>
            <w:tcW w:w="2497" w:type="dxa"/>
          </w:tcPr>
          <w:p w14:paraId="5379CAF5"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Divisa</w:t>
            </w:r>
          </w:p>
        </w:tc>
        <w:tc>
          <w:tcPr>
            <w:tcW w:w="6111" w:type="dxa"/>
          </w:tcPr>
          <w:p w14:paraId="026C08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Moneda extranjera en la que se materializa el evento.</w:t>
            </w:r>
          </w:p>
        </w:tc>
      </w:tr>
      <w:tr w:rsidR="00637863" w:rsidRPr="00E072D8" w14:paraId="4558FFE4" w14:textId="77777777" w:rsidTr="00E072D8">
        <w:tc>
          <w:tcPr>
            <w:tcW w:w="446" w:type="dxa"/>
          </w:tcPr>
          <w:p w14:paraId="30120EA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12</w:t>
            </w:r>
          </w:p>
        </w:tc>
        <w:tc>
          <w:tcPr>
            <w:tcW w:w="2497" w:type="dxa"/>
          </w:tcPr>
          <w:p w14:paraId="3FC8FBD1"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Cuentas contables afectadas</w:t>
            </w:r>
          </w:p>
        </w:tc>
        <w:tc>
          <w:tcPr>
            <w:tcW w:w="6111" w:type="dxa"/>
          </w:tcPr>
          <w:p w14:paraId="1C7165BF" w14:textId="2220DE19"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las cuentas del </w:t>
            </w:r>
            <w:r w:rsidR="00D84351" w:rsidRPr="00E072D8">
              <w:rPr>
                <w:rFonts w:ascii="Museo Sans 300" w:hAnsi="Museo Sans 300"/>
                <w:spacing w:val="0"/>
                <w:sz w:val="21"/>
                <w:szCs w:val="21"/>
              </w:rPr>
              <w:t>Cat</w:t>
            </w:r>
            <w:r w:rsidR="00F73B45" w:rsidRPr="00E072D8">
              <w:rPr>
                <w:rFonts w:ascii="Museo Sans 300" w:hAnsi="Museo Sans 300"/>
                <w:spacing w:val="0"/>
                <w:sz w:val="21"/>
                <w:szCs w:val="21"/>
              </w:rPr>
              <w:t>á</w:t>
            </w:r>
            <w:r w:rsidR="00D84351" w:rsidRPr="00E072D8">
              <w:rPr>
                <w:rFonts w:ascii="Museo Sans 300" w:hAnsi="Museo Sans 300"/>
                <w:spacing w:val="0"/>
                <w:sz w:val="21"/>
                <w:szCs w:val="21"/>
              </w:rPr>
              <w:t>logo</w:t>
            </w:r>
            <w:r w:rsidRPr="00E072D8">
              <w:rPr>
                <w:rFonts w:ascii="Museo Sans 300" w:hAnsi="Museo Sans 300"/>
                <w:spacing w:val="0"/>
                <w:sz w:val="21"/>
                <w:szCs w:val="21"/>
              </w:rPr>
              <w:t xml:space="preserve"> de Cuentas afectadas.</w:t>
            </w:r>
          </w:p>
        </w:tc>
      </w:tr>
      <w:tr w:rsidR="00637863" w:rsidRPr="00E072D8" w14:paraId="5161E192" w14:textId="77777777" w:rsidTr="00E072D8">
        <w:tc>
          <w:tcPr>
            <w:tcW w:w="446" w:type="dxa"/>
          </w:tcPr>
          <w:p w14:paraId="025DAD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13</w:t>
            </w:r>
          </w:p>
        </w:tc>
        <w:tc>
          <w:tcPr>
            <w:tcW w:w="2497" w:type="dxa"/>
          </w:tcPr>
          <w:p w14:paraId="5EE1D23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Proceso</w:t>
            </w:r>
          </w:p>
        </w:tc>
        <w:tc>
          <w:tcPr>
            <w:tcW w:w="6111" w:type="dxa"/>
          </w:tcPr>
          <w:p w14:paraId="18495C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Identifica el proceso afectado.</w:t>
            </w:r>
          </w:p>
        </w:tc>
      </w:tr>
      <w:tr w:rsidR="00637863" w:rsidRPr="00E072D8" w14:paraId="28C45D69" w14:textId="77777777" w:rsidTr="00E072D8">
        <w:tc>
          <w:tcPr>
            <w:tcW w:w="446" w:type="dxa"/>
          </w:tcPr>
          <w:p w14:paraId="331772D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14</w:t>
            </w:r>
          </w:p>
        </w:tc>
        <w:tc>
          <w:tcPr>
            <w:tcW w:w="2497" w:type="dxa"/>
          </w:tcPr>
          <w:p w14:paraId="259E2D1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total recuperado</w:t>
            </w:r>
          </w:p>
        </w:tc>
        <w:tc>
          <w:tcPr>
            <w:tcW w:w="6111" w:type="dxa"/>
          </w:tcPr>
          <w:p w14:paraId="403412DC"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El valor total recuperado por la acción directa de la entidad. Incluye los montos recuperados por seguros.</w:t>
            </w:r>
          </w:p>
        </w:tc>
      </w:tr>
      <w:tr w:rsidR="00637863" w:rsidRPr="00E072D8" w14:paraId="1D413004" w14:textId="77777777" w:rsidTr="00E072D8">
        <w:tc>
          <w:tcPr>
            <w:tcW w:w="446" w:type="dxa"/>
          </w:tcPr>
          <w:p w14:paraId="104056AB"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15</w:t>
            </w:r>
          </w:p>
        </w:tc>
        <w:tc>
          <w:tcPr>
            <w:tcW w:w="2497" w:type="dxa"/>
          </w:tcPr>
          <w:p w14:paraId="0F49A99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recuperado por seguros</w:t>
            </w:r>
          </w:p>
        </w:tc>
        <w:tc>
          <w:tcPr>
            <w:tcW w:w="6111" w:type="dxa"/>
          </w:tcPr>
          <w:p w14:paraId="17FB42D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Corresponde al valor recuperado por la cobertura a través de un seguro.</w:t>
            </w:r>
          </w:p>
        </w:tc>
      </w:tr>
      <w:tr w:rsidR="00637863" w:rsidRPr="00E072D8" w14:paraId="5ABBC19D" w14:textId="77777777" w:rsidTr="00E072D8">
        <w:tc>
          <w:tcPr>
            <w:tcW w:w="446" w:type="dxa"/>
          </w:tcPr>
          <w:p w14:paraId="68DBDC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16</w:t>
            </w:r>
          </w:p>
        </w:tc>
        <w:tc>
          <w:tcPr>
            <w:tcW w:w="2497" w:type="dxa"/>
          </w:tcPr>
          <w:p w14:paraId="55A5F1B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Producto o servicio afectado</w:t>
            </w:r>
          </w:p>
        </w:tc>
        <w:tc>
          <w:tcPr>
            <w:tcW w:w="6111" w:type="dxa"/>
          </w:tcPr>
          <w:p w14:paraId="5A35BDB5" w14:textId="77777777" w:rsidR="00637863" w:rsidRPr="00E072D8" w:rsidRDefault="00637863" w:rsidP="00E55232">
            <w:pPr>
              <w:pStyle w:val="BodyText21"/>
              <w:tabs>
                <w:tab w:val="clear" w:pos="-720"/>
                <w:tab w:val="left" w:pos="90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el producto o servicio afectado por el evento de riesgo operacional. </w:t>
            </w:r>
          </w:p>
        </w:tc>
      </w:tr>
      <w:tr w:rsidR="00637863" w:rsidRPr="00E072D8" w14:paraId="490E5F6D" w14:textId="77777777" w:rsidTr="00E072D8">
        <w:tc>
          <w:tcPr>
            <w:tcW w:w="446" w:type="dxa"/>
          </w:tcPr>
          <w:p w14:paraId="6FFF7D5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17</w:t>
            </w:r>
          </w:p>
        </w:tc>
        <w:tc>
          <w:tcPr>
            <w:tcW w:w="2497" w:type="dxa"/>
          </w:tcPr>
          <w:p w14:paraId="3778ACF4"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Cuantificación de la severidad del daño</w:t>
            </w:r>
          </w:p>
        </w:tc>
        <w:tc>
          <w:tcPr>
            <w:tcW w:w="6111" w:type="dxa"/>
          </w:tcPr>
          <w:p w14:paraId="2B8FDC9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Monto a que asciende la pérdida (neta de cualquier mitigante o recuperación)</w:t>
            </w:r>
          </w:p>
        </w:tc>
      </w:tr>
    </w:tbl>
    <w:p w14:paraId="476FB8E1" w14:textId="77777777" w:rsidR="00637863" w:rsidRPr="00B82B2C" w:rsidRDefault="00637863" w:rsidP="00637863">
      <w:pPr>
        <w:tabs>
          <w:tab w:val="left" w:pos="540"/>
        </w:tabs>
        <w:jc w:val="both"/>
        <w:rPr>
          <w:rFonts w:ascii="Museo Sans 300" w:hAnsi="Museo Sans 300"/>
          <w:sz w:val="22"/>
          <w:szCs w:val="22"/>
        </w:rPr>
      </w:pPr>
    </w:p>
    <w:p w14:paraId="2414793D" w14:textId="77777777" w:rsidR="00637863" w:rsidRPr="00B82B2C" w:rsidRDefault="00637863" w:rsidP="00637863">
      <w:pPr>
        <w:tabs>
          <w:tab w:val="left" w:pos="540"/>
        </w:tabs>
        <w:jc w:val="both"/>
        <w:rPr>
          <w:rFonts w:ascii="Museo Sans 300" w:hAnsi="Museo Sans 300"/>
          <w:sz w:val="22"/>
          <w:szCs w:val="22"/>
          <w:lang w:val="es-CO"/>
        </w:rPr>
      </w:pPr>
      <w:r w:rsidRPr="00B82B2C">
        <w:rPr>
          <w:rFonts w:ascii="Museo Sans 300" w:hAnsi="Museo Sans 300"/>
          <w:sz w:val="22"/>
          <w:szCs w:val="22"/>
          <w:lang w:val="es-CO"/>
        </w:rPr>
        <w:t>Para la creación del registro de eventos de riesgo operacional las entidades podrán utilizar, además de los campos descritos anteriormente, otros que se consideren relevantes.</w:t>
      </w:r>
    </w:p>
    <w:p w14:paraId="205794FD" w14:textId="436B935D" w:rsidR="00E072D8" w:rsidRPr="00B82B2C" w:rsidRDefault="00E072D8" w:rsidP="00E072D8">
      <w:pPr>
        <w:jc w:val="right"/>
        <w:rPr>
          <w:rFonts w:ascii="Museo Sans 300" w:hAnsi="Museo Sans 300"/>
          <w:b/>
          <w:sz w:val="22"/>
          <w:szCs w:val="22"/>
        </w:rPr>
      </w:pPr>
      <w:r w:rsidRPr="00B82B2C">
        <w:rPr>
          <w:rFonts w:ascii="Museo Sans 300" w:hAnsi="Museo Sans 300"/>
          <w:b/>
          <w:sz w:val="22"/>
          <w:szCs w:val="22"/>
        </w:rPr>
        <w:t>Anexo No. 4</w:t>
      </w:r>
    </w:p>
    <w:p w14:paraId="005036EB" w14:textId="77777777" w:rsidR="00E072D8" w:rsidRDefault="00E072D8" w:rsidP="00D84351">
      <w:pPr>
        <w:tabs>
          <w:tab w:val="left" w:pos="540"/>
        </w:tabs>
        <w:jc w:val="both"/>
        <w:rPr>
          <w:rFonts w:ascii="Museo Sans 300" w:hAnsi="Museo Sans 300"/>
          <w:sz w:val="22"/>
          <w:szCs w:val="22"/>
        </w:rPr>
      </w:pPr>
    </w:p>
    <w:p w14:paraId="235865DF" w14:textId="40EA872A" w:rsidR="00637863" w:rsidRPr="00B82B2C" w:rsidRDefault="00637863" w:rsidP="00D84351">
      <w:pPr>
        <w:tabs>
          <w:tab w:val="left" w:pos="540"/>
        </w:tabs>
        <w:jc w:val="both"/>
        <w:rPr>
          <w:rFonts w:ascii="Museo Sans 300" w:hAnsi="Museo Sans 300"/>
          <w:sz w:val="22"/>
          <w:szCs w:val="22"/>
        </w:rPr>
      </w:pPr>
      <w:r w:rsidRPr="00B82B2C">
        <w:rPr>
          <w:rFonts w:ascii="Museo Sans 300" w:hAnsi="Museo Sans 300"/>
          <w:sz w:val="22"/>
          <w:szCs w:val="22"/>
        </w:rPr>
        <w:t xml:space="preserve">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de datos internas de la entidad. </w:t>
      </w:r>
    </w:p>
    <w:p w14:paraId="1E398B7B" w14:textId="77777777" w:rsidR="00637863" w:rsidRPr="00B82B2C" w:rsidRDefault="00637863" w:rsidP="00637863">
      <w:pPr>
        <w:tabs>
          <w:tab w:val="left" w:pos="540"/>
        </w:tabs>
        <w:rPr>
          <w:rFonts w:ascii="Museo Sans 300" w:hAnsi="Museo Sans 300"/>
          <w:sz w:val="22"/>
          <w:szCs w:val="22"/>
        </w:rPr>
        <w:sectPr w:rsidR="00637863" w:rsidRPr="00B82B2C">
          <w:pgSz w:w="12240" w:h="15840"/>
          <w:pgMar w:top="1417" w:right="1701" w:bottom="1417" w:left="1701" w:header="708" w:footer="708" w:gutter="0"/>
          <w:cols w:space="708"/>
          <w:docGrid w:linePitch="360"/>
        </w:sectPr>
      </w:pPr>
    </w:p>
    <w:p w14:paraId="0FE12540" w14:textId="2F96801C" w:rsidR="00637863" w:rsidRPr="00B82B2C" w:rsidRDefault="00637863" w:rsidP="00637863">
      <w:pPr>
        <w:tabs>
          <w:tab w:val="left" w:pos="540"/>
        </w:tabs>
        <w:jc w:val="center"/>
        <w:rPr>
          <w:rFonts w:ascii="Museo Sans 300" w:hAnsi="Museo Sans 300"/>
          <w:b/>
          <w:sz w:val="22"/>
          <w:szCs w:val="22"/>
        </w:rPr>
      </w:pPr>
      <w:r w:rsidRPr="00B82B2C">
        <w:rPr>
          <w:rFonts w:ascii="Museo Sans 300" w:hAnsi="Museo Sans 300"/>
          <w:b/>
          <w:sz w:val="22"/>
          <w:szCs w:val="22"/>
        </w:rPr>
        <w:t>GLOSARIO DE TERMINOS</w:t>
      </w:r>
    </w:p>
    <w:p w14:paraId="4B5EBAC0" w14:textId="77777777" w:rsidR="00637863" w:rsidRPr="00B82B2C" w:rsidRDefault="00637863" w:rsidP="00637863">
      <w:pPr>
        <w:tabs>
          <w:tab w:val="left" w:pos="540"/>
        </w:tabs>
        <w:rPr>
          <w:rFonts w:ascii="Museo Sans 300" w:hAnsi="Museo Sans 300"/>
          <w:sz w:val="22"/>
          <w:szCs w:val="22"/>
        </w:rPr>
      </w:pPr>
    </w:p>
    <w:p w14:paraId="0C2F41ED"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Evento de riesgo operacional:</w:t>
      </w:r>
      <w:r w:rsidRPr="00B82B2C">
        <w:rPr>
          <w:rFonts w:ascii="Museo Sans 300" w:hAnsi="Museo Sans 300"/>
          <w:sz w:val="22"/>
          <w:szCs w:val="22"/>
        </w:rPr>
        <w:t xml:space="preserve"> Es un suceso o serie de sucesos, de origen interno o externo, que puede o no derivar en pérdidas financieras para la entidad.</w:t>
      </w:r>
    </w:p>
    <w:p w14:paraId="191E239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Factor de riesgo operacional:</w:t>
      </w:r>
      <w:r w:rsidRPr="00B82B2C">
        <w:rPr>
          <w:rFonts w:ascii="Museo Sans 300" w:hAnsi="Museo Sans 300"/>
          <w:sz w:val="22"/>
          <w:szCs w:val="22"/>
        </w:rPr>
        <w:t xml:space="preserve"> Es la causa primaria o el origen de un evento operacional.</w:t>
      </w:r>
    </w:p>
    <w:p w14:paraId="5B26F26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Línea de negocio</w:t>
      </w:r>
      <w:r w:rsidRPr="00B82B2C">
        <w:rPr>
          <w:rFonts w:ascii="Museo Sans 300" w:hAnsi="Museo Sans 300"/>
          <w:sz w:val="22"/>
          <w:szCs w:val="22"/>
        </w:rPr>
        <w:t>: Es una especialización del negocio que agrupa procesos encaminados a generar productos y servicios para atender un segmento de mercado objetivo.</w:t>
      </w:r>
    </w:p>
    <w:p w14:paraId="1BD831AA" w14:textId="1FF8DD8B"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Mapa de riesgos:</w:t>
      </w:r>
      <w:r w:rsidRPr="00B82B2C">
        <w:rPr>
          <w:rFonts w:ascii="Museo Sans 300" w:hAnsi="Museo Sans 300"/>
          <w:sz w:val="22"/>
          <w:szCs w:val="22"/>
        </w:rPr>
        <w:t xml:space="preserve"> 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relativa</w:t>
      </w:r>
      <w:r w:rsidR="00F87769">
        <w:rPr>
          <w:rFonts w:ascii="Museo Sans 300" w:hAnsi="Museo Sans 300"/>
          <w:sz w:val="22"/>
          <w:szCs w:val="22"/>
        </w:rPr>
        <w:t>,</w:t>
      </w:r>
      <w:r w:rsidRPr="00B82B2C">
        <w:rPr>
          <w:rFonts w:ascii="Museo Sans 300" w:hAnsi="Museo Sans 300"/>
          <w:sz w:val="22"/>
          <w:szCs w:val="22"/>
        </w:rPr>
        <w:t xml:space="preserve"> así como en conjunto, permitiendo a la entidad establecer niveles aceptables de riesgo.</w:t>
      </w:r>
    </w:p>
    <w:p w14:paraId="2F2B1AB4"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Perfil de Riesgo:</w:t>
      </w:r>
      <w:r w:rsidRPr="00B82B2C">
        <w:rPr>
          <w:rFonts w:ascii="Museo Sans 300" w:hAnsi="Museo Sans 300"/>
          <w:sz w:val="22"/>
          <w:szCs w:val="22"/>
        </w:rPr>
        <w:t xml:space="preserve"> Resultado consolidado de la medición de los riesgos a los que se ve expuesta una entidad.</w:t>
      </w:r>
    </w:p>
    <w:p w14:paraId="21422D1E" w14:textId="47D07369" w:rsidR="00637863"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Proceso:</w:t>
      </w:r>
      <w:r w:rsidRPr="00B82B2C">
        <w:rPr>
          <w:rFonts w:ascii="Museo Sans 300" w:hAnsi="Museo Sans 300"/>
          <w:sz w:val="22"/>
          <w:szCs w:val="22"/>
        </w:rPr>
        <w:t xml:space="preserve"> Es el conjunto de actividades que transforman insumos en productos o servicios con valor para el usuario, sea interno o externo.</w:t>
      </w:r>
    </w:p>
    <w:p w14:paraId="22E8503F" w14:textId="2F3D423C" w:rsidR="00A42A84" w:rsidRPr="00B82B2C" w:rsidRDefault="00A42A84" w:rsidP="00D84351">
      <w:pPr>
        <w:numPr>
          <w:ilvl w:val="0"/>
          <w:numId w:val="12"/>
        </w:numPr>
        <w:tabs>
          <w:tab w:val="left" w:pos="540"/>
        </w:tabs>
        <w:ind w:left="425" w:hanging="425"/>
        <w:jc w:val="both"/>
        <w:rPr>
          <w:rFonts w:ascii="Museo Sans 300" w:hAnsi="Museo Sans 300"/>
          <w:sz w:val="22"/>
          <w:szCs w:val="22"/>
        </w:rPr>
      </w:pPr>
      <w:bookmarkStart w:id="5" w:name="_Hlk94258656"/>
      <w:r w:rsidRPr="00A42A84">
        <w:rPr>
          <w:rFonts w:ascii="Museo Sans 300" w:hAnsi="Museo Sans 300"/>
          <w:b/>
          <w:bCs/>
          <w:sz w:val="22"/>
          <w:szCs w:val="22"/>
        </w:rPr>
        <w:t>Procesamiento por lotes:</w:t>
      </w:r>
      <w:r w:rsidRPr="00A42A84">
        <w:rPr>
          <w:rFonts w:ascii="Museo Sans 300" w:hAnsi="Museo Sans 300"/>
          <w:sz w:val="22"/>
          <w:szCs w:val="22"/>
        </w:rPr>
        <w:t xml:space="preserve"> método de ejecución de tareas de forma repetitiva y en gran volumen en términos de cantidad de operaciones o transacciones</w:t>
      </w:r>
      <w:r w:rsidR="00BE4254">
        <w:rPr>
          <w:rFonts w:ascii="Museo Sans 300" w:hAnsi="Museo Sans 300"/>
          <w:sz w:val="22"/>
          <w:szCs w:val="22"/>
        </w:rPr>
        <w:t>.</w:t>
      </w:r>
      <w:r>
        <w:rPr>
          <w:rFonts w:ascii="Museo Sans 300" w:hAnsi="Museo Sans 300"/>
          <w:sz w:val="22"/>
          <w:szCs w:val="22"/>
        </w:rPr>
        <w:t xml:space="preserve"> (4)</w:t>
      </w:r>
    </w:p>
    <w:p w14:paraId="0D6F9FF3"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inherente:</w:t>
      </w:r>
      <w:r w:rsidRPr="00B82B2C">
        <w:rPr>
          <w:rFonts w:ascii="Museo Sans 300" w:hAnsi="Museo Sans 300"/>
          <w:sz w:val="22"/>
          <w:szCs w:val="22"/>
        </w:rPr>
        <w:t xml:space="preserve"> Nivel de riesgo propio de la actividad, sin tener en cuenta el efecto de los controles.</w:t>
      </w:r>
    </w:p>
    <w:p w14:paraId="5D110C61" w14:textId="46ACB705" w:rsidR="00637863" w:rsidRPr="00777976"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residual:</w:t>
      </w:r>
      <w:r w:rsidRPr="00B82B2C">
        <w:rPr>
          <w:rFonts w:ascii="Museo Sans 300" w:hAnsi="Museo Sans 300"/>
          <w:sz w:val="22"/>
          <w:szCs w:val="22"/>
        </w:rPr>
        <w:t xml:space="preserve"> Nivel resultante del riesgo después de aplicar los controles. Es el riesgo que queda, una vez se han instrumentado los controles pertinentes para su tratamiento. En todo caso exige un permanente monitoreo para observar su </w:t>
      </w:r>
      <w:r w:rsidRPr="00777976">
        <w:rPr>
          <w:rFonts w:ascii="Museo Sans 300" w:hAnsi="Museo Sans 300"/>
          <w:sz w:val="22"/>
          <w:szCs w:val="22"/>
        </w:rPr>
        <w:t>evolución.</w:t>
      </w:r>
    </w:p>
    <w:p w14:paraId="6AF602AC" w14:textId="6B2D27AC" w:rsidR="00777976" w:rsidRPr="00A42A84" w:rsidRDefault="00777976" w:rsidP="00777976">
      <w:pPr>
        <w:pStyle w:val="Prrafodelista"/>
        <w:numPr>
          <w:ilvl w:val="0"/>
          <w:numId w:val="12"/>
        </w:numPr>
        <w:ind w:left="426" w:hanging="426"/>
        <w:jc w:val="both"/>
        <w:rPr>
          <w:rFonts w:ascii="Museo Sans 300" w:hAnsi="Museo Sans 300"/>
          <w:sz w:val="22"/>
          <w:szCs w:val="22"/>
          <w:lang w:val="es-SV" w:eastAsia="en-US"/>
        </w:rPr>
      </w:pPr>
      <w:r w:rsidRPr="00A42A84">
        <w:rPr>
          <w:rFonts w:ascii="Museo Sans 300" w:hAnsi="Museo Sans 300"/>
          <w:b/>
          <w:bCs/>
          <w:sz w:val="22"/>
          <w:szCs w:val="22"/>
          <w:lang w:eastAsia="en-US"/>
        </w:rPr>
        <w:t>Evento con afectación masiva:</w:t>
      </w:r>
      <w:r w:rsidRPr="00A42A84">
        <w:rPr>
          <w:rFonts w:ascii="Museo Sans 300" w:hAnsi="Museo Sans 300"/>
          <w:sz w:val="22"/>
          <w:szCs w:val="22"/>
          <w:lang w:eastAsia="en-US"/>
        </w:rPr>
        <w:t xml:space="preserve"> fallas o errores en los procesamientos por lotes que deriva en una afectación a los clientes ya sean propios de la entidad o de otras entidades a las cuales se brinda servicios de procesamiento</w:t>
      </w:r>
      <w:r w:rsidR="00455C4A" w:rsidRPr="00A42A84">
        <w:rPr>
          <w:rFonts w:ascii="Museo Sans 300" w:hAnsi="Museo Sans 300"/>
          <w:sz w:val="22"/>
          <w:szCs w:val="22"/>
          <w:lang w:eastAsia="en-US"/>
        </w:rPr>
        <w:t>, tales como:</w:t>
      </w:r>
      <w:r w:rsidRPr="00A42A84">
        <w:rPr>
          <w:rFonts w:ascii="Museo Sans 300" w:hAnsi="Museo Sans 300"/>
          <w:sz w:val="22"/>
          <w:szCs w:val="22"/>
          <w:lang w:eastAsia="en-US"/>
        </w:rPr>
        <w:t xml:space="preserve"> cargos erróneos aplicados en una tarjeta o cuenta durante un procesamiento por lote.</w:t>
      </w:r>
      <w:r w:rsidR="00B9313B" w:rsidRPr="00A42A84">
        <w:rPr>
          <w:rFonts w:ascii="Museo Sans 300" w:hAnsi="Museo Sans 300"/>
          <w:sz w:val="22"/>
          <w:szCs w:val="22"/>
          <w:lang w:eastAsia="en-US"/>
        </w:rPr>
        <w:t xml:space="preserve"> (4)</w:t>
      </w:r>
    </w:p>
    <w:bookmarkEnd w:id="5"/>
    <w:p w14:paraId="76976281" w14:textId="19D156F5" w:rsidR="00A05798" w:rsidRPr="0076132A" w:rsidRDefault="00A05798" w:rsidP="004D0AC4">
      <w:pPr>
        <w:autoSpaceDE w:val="0"/>
        <w:autoSpaceDN w:val="0"/>
        <w:adjustRightInd w:val="0"/>
        <w:jc w:val="both"/>
        <w:rPr>
          <w:rFonts w:ascii="Museo Sans 300" w:hAnsi="Museo Sans 300"/>
          <w:i/>
          <w:iCs/>
          <w:sz w:val="22"/>
          <w:szCs w:val="22"/>
          <w:u w:val="single"/>
        </w:rPr>
      </w:pPr>
    </w:p>
    <w:p w14:paraId="7214DC99" w14:textId="77777777" w:rsidR="00637863" w:rsidRPr="0076132A" w:rsidRDefault="00637863" w:rsidP="00D84351">
      <w:pPr>
        <w:autoSpaceDE w:val="0"/>
        <w:autoSpaceDN w:val="0"/>
        <w:adjustRightInd w:val="0"/>
        <w:ind w:left="425" w:hanging="425"/>
        <w:jc w:val="both"/>
        <w:rPr>
          <w:rFonts w:ascii="Museo Sans 300" w:hAnsi="Museo Sans 300"/>
          <w:i/>
          <w:iCs/>
          <w:sz w:val="22"/>
          <w:szCs w:val="22"/>
          <w:u w:val="single"/>
        </w:rPr>
      </w:pPr>
    </w:p>
    <w:p w14:paraId="255FC0FC" w14:textId="77777777" w:rsidR="00637863" w:rsidRPr="00B82B2C" w:rsidRDefault="00637863" w:rsidP="00637863">
      <w:pPr>
        <w:tabs>
          <w:tab w:val="left" w:pos="540"/>
        </w:tabs>
        <w:ind w:left="993" w:hanging="284"/>
        <w:jc w:val="both"/>
        <w:rPr>
          <w:rFonts w:ascii="Museo Sans 300" w:hAnsi="Museo Sans 300"/>
          <w:sz w:val="22"/>
          <w:szCs w:val="22"/>
        </w:rPr>
      </w:pPr>
    </w:p>
    <w:p w14:paraId="657B507F" w14:textId="77777777" w:rsidR="00637863" w:rsidRPr="00B82B2C" w:rsidRDefault="00637863" w:rsidP="00637863">
      <w:pPr>
        <w:tabs>
          <w:tab w:val="left" w:pos="540"/>
        </w:tabs>
        <w:ind w:left="993" w:hanging="284"/>
        <w:jc w:val="both"/>
        <w:rPr>
          <w:rFonts w:ascii="Museo Sans 300" w:hAnsi="Museo Sans 300"/>
          <w:sz w:val="22"/>
          <w:szCs w:val="22"/>
        </w:rPr>
      </w:pPr>
    </w:p>
    <w:p w14:paraId="549829E7" w14:textId="77777777" w:rsidR="00993790" w:rsidRPr="00B82B2C" w:rsidRDefault="00993790" w:rsidP="00C31CFE">
      <w:pPr>
        <w:rPr>
          <w:rFonts w:ascii="Museo Sans 300" w:hAnsi="Museo Sans 300"/>
          <w:sz w:val="22"/>
          <w:szCs w:val="22"/>
        </w:rPr>
      </w:pPr>
    </w:p>
    <w:sectPr w:rsidR="00993790" w:rsidRPr="00B82B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120B" w14:textId="77777777" w:rsidR="00597AC4" w:rsidRDefault="00597AC4" w:rsidP="009C24F4">
      <w:r>
        <w:separator/>
      </w:r>
    </w:p>
    <w:p w14:paraId="52B21034" w14:textId="77777777" w:rsidR="00597AC4" w:rsidRDefault="00597AC4"/>
  </w:endnote>
  <w:endnote w:type="continuationSeparator" w:id="0">
    <w:p w14:paraId="56EC6C9A" w14:textId="77777777" w:rsidR="00597AC4" w:rsidRDefault="00597AC4" w:rsidP="009C24F4">
      <w:r>
        <w:continuationSeparator/>
      </w:r>
    </w:p>
    <w:p w14:paraId="470F3E04" w14:textId="77777777" w:rsidR="00597AC4" w:rsidRDefault="00597AC4"/>
  </w:endnote>
  <w:endnote w:type="continuationNotice" w:id="1">
    <w:p w14:paraId="3AD06F2C" w14:textId="77777777" w:rsidR="00597AC4" w:rsidRDefault="0059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1" w:type="dxa"/>
      <w:jc w:val="center"/>
      <w:tblBorders>
        <w:top w:val="triple" w:sz="4" w:space="0" w:color="A6A6A6" w:themeColor="background1" w:themeShade="A6"/>
      </w:tblBorders>
      <w:tblLook w:val="04A0" w:firstRow="1" w:lastRow="0" w:firstColumn="1" w:lastColumn="0" w:noHBand="0" w:noVBand="1"/>
    </w:tblPr>
    <w:tblGrid>
      <w:gridCol w:w="1088"/>
      <w:gridCol w:w="6521"/>
      <w:gridCol w:w="1912"/>
    </w:tblGrid>
    <w:tr w:rsidR="00597AC4" w:rsidRPr="00B82B2C" w14:paraId="15409CD0" w14:textId="77777777" w:rsidTr="00233DD0">
      <w:trPr>
        <w:trHeight w:val="822"/>
        <w:jc w:val="center"/>
      </w:trPr>
      <w:tc>
        <w:tcPr>
          <w:tcW w:w="1088" w:type="dxa"/>
          <w:tcBorders>
            <w:top w:val="nil"/>
            <w:left w:val="nil"/>
            <w:bottom w:val="nil"/>
            <w:right w:val="nil"/>
          </w:tcBorders>
          <w:vAlign w:val="bottom"/>
        </w:tcPr>
        <w:p w14:paraId="541A978D" w14:textId="77777777" w:rsidR="00597AC4" w:rsidRDefault="00597AC4" w:rsidP="00840418">
          <w:pPr>
            <w:pStyle w:val="Piedepgina"/>
            <w:ind w:firstLine="34"/>
            <w:jc w:val="center"/>
            <w:rPr>
              <w:rFonts w:ascii="Arial Narrow" w:hAnsi="Arial Narrow"/>
              <w:sz w:val="20"/>
            </w:rPr>
          </w:pPr>
        </w:p>
        <w:p w14:paraId="1B34CCD9" w14:textId="77777777" w:rsidR="00597AC4" w:rsidRDefault="00597AC4" w:rsidP="00840418">
          <w:pPr>
            <w:pStyle w:val="Piedepgina"/>
            <w:ind w:firstLine="34"/>
            <w:jc w:val="center"/>
            <w:rPr>
              <w:rFonts w:ascii="Arial Narrow" w:hAnsi="Arial Narrow"/>
              <w:sz w:val="20"/>
            </w:rPr>
          </w:pPr>
        </w:p>
        <w:p w14:paraId="53A36564" w14:textId="77777777" w:rsidR="00597AC4" w:rsidRDefault="00597AC4" w:rsidP="00840418">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3E758EE3" w14:textId="77777777" w:rsidR="00597AC4" w:rsidRPr="00B82B2C" w:rsidRDefault="00597AC4" w:rsidP="00840418">
          <w:pPr>
            <w:pStyle w:val="Piedepgina"/>
            <w:jc w:val="center"/>
            <w:rPr>
              <w:rFonts w:ascii="Museo Sans 300" w:hAnsi="Museo Sans 300" w:cs="Arial"/>
              <w:color w:val="818284"/>
              <w:sz w:val="18"/>
              <w:szCs w:val="18"/>
              <w:lang w:val="es-MX"/>
            </w:rPr>
          </w:pPr>
          <w:r w:rsidRPr="00B82B2C">
            <w:rPr>
              <w:rFonts w:ascii="Museo Sans 300" w:hAnsi="Museo Sans 300" w:cs="Arial"/>
              <w:color w:val="818284"/>
              <w:sz w:val="18"/>
              <w:szCs w:val="18"/>
              <w:lang w:val="es-MX"/>
            </w:rPr>
            <w:t>Alameda Juan Pablo II, entre 15 y 17 Av. Norte, San Salvador, El Salvador.</w:t>
          </w:r>
        </w:p>
        <w:p w14:paraId="3EF760F9" w14:textId="77777777" w:rsidR="00597AC4" w:rsidRPr="00B82B2C" w:rsidRDefault="00597AC4" w:rsidP="00840418">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Tel. (503) 2281-8000</w:t>
          </w:r>
        </w:p>
        <w:p w14:paraId="33500760" w14:textId="77777777" w:rsidR="00597AC4" w:rsidRPr="00B82B2C" w:rsidRDefault="00597AC4" w:rsidP="00840418">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www.bcr.gob.sv</w:t>
          </w:r>
        </w:p>
      </w:tc>
      <w:tc>
        <w:tcPr>
          <w:tcW w:w="1912" w:type="dxa"/>
          <w:tcBorders>
            <w:top w:val="triple" w:sz="4" w:space="0" w:color="A6A6A6" w:themeColor="background1" w:themeShade="A6"/>
            <w:left w:val="nil"/>
            <w:bottom w:val="nil"/>
            <w:right w:val="nil"/>
          </w:tcBorders>
          <w:vAlign w:val="center"/>
          <w:hideMark/>
        </w:tcPr>
        <w:p w14:paraId="2037BC54" w14:textId="77777777" w:rsidR="00597AC4" w:rsidRPr="00B82B2C" w:rsidRDefault="00A55FB4" w:rsidP="00840418">
          <w:pPr>
            <w:pStyle w:val="Piedepgina"/>
            <w:jc w:val="center"/>
            <w:rPr>
              <w:rFonts w:ascii="Museo Sans 300" w:hAnsi="Museo Sans 300" w:cs="Arial"/>
              <w:color w:val="818284"/>
              <w:sz w:val="18"/>
              <w:szCs w:val="18"/>
              <w:lang w:val="es-ES"/>
            </w:rPr>
          </w:pPr>
          <w:sdt>
            <w:sdtPr>
              <w:rPr>
                <w:rFonts w:ascii="Museo Sans 300" w:hAnsi="Museo Sans 300" w:cs="Arial"/>
                <w:sz w:val="18"/>
                <w:szCs w:val="18"/>
              </w:rPr>
              <w:id w:val="1885758791"/>
              <w:docPartObj>
                <w:docPartGallery w:val="Page Numbers (Bottom of Page)"/>
                <w:docPartUnique/>
              </w:docPartObj>
            </w:sdtPr>
            <w:sdtEndPr/>
            <w:sdtContent>
              <w:sdt>
                <w:sdtPr>
                  <w:rPr>
                    <w:rFonts w:ascii="Museo Sans 300" w:hAnsi="Museo Sans 300" w:cs="Arial"/>
                    <w:sz w:val="18"/>
                    <w:szCs w:val="18"/>
                  </w:rPr>
                  <w:id w:val="-1542890956"/>
                  <w:docPartObj>
                    <w:docPartGallery w:val="Page Numbers (Top of Page)"/>
                    <w:docPartUnique/>
                  </w:docPartObj>
                </w:sdtPr>
                <w:sdtEndPr/>
                <w:sdtContent>
                  <w:r w:rsidR="00597AC4" w:rsidRPr="00B82B2C">
                    <w:rPr>
                      <w:rFonts w:ascii="Museo Sans 300" w:hAnsi="Museo Sans 300" w:cs="Arial"/>
                      <w:color w:val="818284"/>
                      <w:sz w:val="18"/>
                      <w:szCs w:val="18"/>
                    </w:rPr>
                    <w:t xml:space="preserve">Página </w:t>
                  </w:r>
                  <w:r w:rsidR="00597AC4" w:rsidRPr="00B82B2C">
                    <w:rPr>
                      <w:rFonts w:ascii="Museo Sans 300" w:hAnsi="Museo Sans 300" w:cs="Arial"/>
                      <w:color w:val="818284"/>
                      <w:sz w:val="18"/>
                      <w:szCs w:val="18"/>
                    </w:rPr>
                    <w:fldChar w:fldCharType="begin"/>
                  </w:r>
                  <w:r w:rsidR="00597AC4" w:rsidRPr="00B82B2C">
                    <w:rPr>
                      <w:rFonts w:ascii="Museo Sans 300" w:hAnsi="Museo Sans 300" w:cs="Arial"/>
                      <w:color w:val="818284"/>
                      <w:sz w:val="18"/>
                      <w:szCs w:val="18"/>
                    </w:rPr>
                    <w:instrText>PAGE</w:instrText>
                  </w:r>
                  <w:r w:rsidR="00597AC4" w:rsidRPr="00B82B2C">
                    <w:rPr>
                      <w:rFonts w:ascii="Museo Sans 300" w:hAnsi="Museo Sans 300" w:cs="Arial"/>
                      <w:color w:val="818284"/>
                      <w:sz w:val="18"/>
                      <w:szCs w:val="18"/>
                    </w:rPr>
                    <w:fldChar w:fldCharType="separate"/>
                  </w:r>
                  <w:r w:rsidR="00597AC4">
                    <w:rPr>
                      <w:rFonts w:ascii="Museo Sans 300" w:hAnsi="Museo Sans 300" w:cs="Arial"/>
                      <w:color w:val="818284"/>
                      <w:sz w:val="18"/>
                      <w:szCs w:val="18"/>
                    </w:rPr>
                    <w:t>1</w:t>
                  </w:r>
                  <w:r w:rsidR="00597AC4" w:rsidRPr="00B82B2C">
                    <w:rPr>
                      <w:rFonts w:ascii="Museo Sans 300" w:hAnsi="Museo Sans 300" w:cs="Arial"/>
                      <w:color w:val="818284"/>
                      <w:sz w:val="18"/>
                      <w:szCs w:val="18"/>
                    </w:rPr>
                    <w:fldChar w:fldCharType="end"/>
                  </w:r>
                  <w:r w:rsidR="00597AC4" w:rsidRPr="00B82B2C">
                    <w:rPr>
                      <w:rFonts w:ascii="Museo Sans 300" w:hAnsi="Museo Sans 300" w:cs="Arial"/>
                      <w:color w:val="818284"/>
                      <w:sz w:val="18"/>
                      <w:szCs w:val="18"/>
                    </w:rPr>
                    <w:t xml:space="preserve"> de </w:t>
                  </w:r>
                  <w:r w:rsidR="00597AC4" w:rsidRPr="00B82B2C">
                    <w:rPr>
                      <w:rFonts w:ascii="Museo Sans 300" w:hAnsi="Museo Sans 300" w:cs="Arial"/>
                      <w:color w:val="818284"/>
                      <w:sz w:val="18"/>
                      <w:szCs w:val="18"/>
                    </w:rPr>
                    <w:fldChar w:fldCharType="begin"/>
                  </w:r>
                  <w:r w:rsidR="00597AC4" w:rsidRPr="00B82B2C">
                    <w:rPr>
                      <w:rFonts w:ascii="Museo Sans 300" w:hAnsi="Museo Sans 300" w:cs="Arial"/>
                      <w:color w:val="818284"/>
                      <w:sz w:val="18"/>
                      <w:szCs w:val="18"/>
                    </w:rPr>
                    <w:instrText>NUMPAGES</w:instrText>
                  </w:r>
                  <w:r w:rsidR="00597AC4" w:rsidRPr="00B82B2C">
                    <w:rPr>
                      <w:rFonts w:ascii="Museo Sans 300" w:hAnsi="Museo Sans 300" w:cs="Arial"/>
                      <w:color w:val="818284"/>
                      <w:sz w:val="18"/>
                      <w:szCs w:val="18"/>
                    </w:rPr>
                    <w:fldChar w:fldCharType="separate"/>
                  </w:r>
                  <w:r w:rsidR="00597AC4">
                    <w:rPr>
                      <w:rFonts w:ascii="Museo Sans 300" w:hAnsi="Museo Sans 300" w:cs="Arial"/>
                      <w:color w:val="818284"/>
                      <w:sz w:val="18"/>
                      <w:szCs w:val="18"/>
                    </w:rPr>
                    <w:t>17</w:t>
                  </w:r>
                  <w:r w:rsidR="00597AC4" w:rsidRPr="00B82B2C">
                    <w:rPr>
                      <w:rFonts w:ascii="Museo Sans 300" w:hAnsi="Museo Sans 300" w:cs="Arial"/>
                      <w:color w:val="818284"/>
                      <w:sz w:val="18"/>
                      <w:szCs w:val="18"/>
                    </w:rPr>
                    <w:fldChar w:fldCharType="end"/>
                  </w:r>
                </w:sdtContent>
              </w:sdt>
            </w:sdtContent>
          </w:sdt>
        </w:p>
      </w:tc>
    </w:tr>
  </w:tbl>
  <w:p w14:paraId="5D8ACC7D" w14:textId="77777777" w:rsidR="00597AC4" w:rsidRPr="00840418" w:rsidRDefault="00597AC4" w:rsidP="008404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E723" w14:textId="77777777" w:rsidR="00597AC4" w:rsidRDefault="00597AC4" w:rsidP="009C24F4">
      <w:r>
        <w:separator/>
      </w:r>
    </w:p>
    <w:p w14:paraId="1664E55C" w14:textId="77777777" w:rsidR="00597AC4" w:rsidRDefault="00597AC4"/>
  </w:footnote>
  <w:footnote w:type="continuationSeparator" w:id="0">
    <w:p w14:paraId="52DD7B6E" w14:textId="77777777" w:rsidR="00597AC4" w:rsidRDefault="00597AC4" w:rsidP="009C24F4">
      <w:r>
        <w:continuationSeparator/>
      </w:r>
    </w:p>
    <w:p w14:paraId="15D4FBA9" w14:textId="77777777" w:rsidR="00597AC4" w:rsidRDefault="00597AC4"/>
  </w:footnote>
  <w:footnote w:type="continuationNotice" w:id="1">
    <w:p w14:paraId="4705342B" w14:textId="77777777" w:rsidR="00597AC4" w:rsidRDefault="00597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379"/>
      <w:gridCol w:w="1559"/>
    </w:tblGrid>
    <w:tr w:rsidR="00597AC4" w:rsidRPr="00B82B2C" w14:paraId="782BF652" w14:textId="77777777" w:rsidTr="00233DD0">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6C7957"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CDSSF-22/2011</w:t>
          </w:r>
        </w:p>
      </w:tc>
      <w:tc>
        <w:tcPr>
          <w:tcW w:w="637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2A77B528"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NPB4-50</w:t>
          </w:r>
        </w:p>
        <w:p w14:paraId="4D6D7BFF"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NORMAS PARA LA GESTIÓN DEL RIESGO OPERACIONAL DE LAS ENTIDADES FINANCIERAS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7C3AD5E0"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p>
      </w:tc>
    </w:tr>
    <w:tr w:rsidR="00597AC4" w:rsidRPr="00B82B2C" w14:paraId="244BB012" w14:textId="77777777" w:rsidTr="00233DD0">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995A30C"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Aprobación: 29/06/2011</w:t>
          </w:r>
        </w:p>
      </w:tc>
      <w:tc>
        <w:tcPr>
          <w:tcW w:w="6379" w:type="dxa"/>
          <w:vMerge/>
          <w:tcBorders>
            <w:left w:val="triple" w:sz="4" w:space="0" w:color="A6A6A6" w:themeColor="background1" w:themeShade="A6"/>
            <w:right w:val="triple" w:sz="4" w:space="0" w:color="BFBFBF" w:themeColor="background1" w:themeShade="BF"/>
          </w:tcBorders>
          <w:vAlign w:val="center"/>
          <w:hideMark/>
        </w:tcPr>
        <w:p w14:paraId="0C9CD58F" w14:textId="77777777" w:rsidR="00597AC4" w:rsidRPr="00B82B2C" w:rsidRDefault="00597AC4" w:rsidP="00840418">
          <w:pPr>
            <w:rPr>
              <w:rFonts w:ascii="Museo Sans 300" w:hAnsi="Museo Sans 300" w:cs="Arial"/>
              <w:sz w:val="18"/>
              <w:szCs w:val="18"/>
            </w:rPr>
          </w:pPr>
        </w:p>
      </w:tc>
      <w:tc>
        <w:tcPr>
          <w:tcW w:w="1559" w:type="dxa"/>
          <w:vMerge/>
          <w:tcBorders>
            <w:left w:val="triple" w:sz="4" w:space="0" w:color="BFBFBF" w:themeColor="background1" w:themeShade="BF"/>
            <w:right w:val="triple" w:sz="4" w:space="0" w:color="A6A6A6" w:themeColor="background1" w:themeShade="A6"/>
          </w:tcBorders>
          <w:vAlign w:val="center"/>
        </w:tcPr>
        <w:p w14:paraId="77B98C63" w14:textId="77777777" w:rsidR="00597AC4" w:rsidRPr="00B82B2C" w:rsidRDefault="00597AC4" w:rsidP="00840418">
          <w:pPr>
            <w:rPr>
              <w:rFonts w:ascii="Museo Sans 300" w:hAnsi="Museo Sans 300" w:cs="Arial"/>
              <w:sz w:val="18"/>
              <w:szCs w:val="18"/>
            </w:rPr>
          </w:pPr>
        </w:p>
      </w:tc>
    </w:tr>
    <w:tr w:rsidR="00597AC4" w:rsidRPr="00B82B2C" w14:paraId="6364D2BF" w14:textId="77777777" w:rsidTr="00233DD0">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AE70FE"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Vigencia: 01/08/2011</w:t>
          </w:r>
        </w:p>
      </w:tc>
      <w:tc>
        <w:tcPr>
          <w:tcW w:w="637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6D317A91" w14:textId="77777777" w:rsidR="00597AC4" w:rsidRPr="00B82B2C" w:rsidRDefault="00597AC4" w:rsidP="00840418">
          <w:pPr>
            <w:rPr>
              <w:rFonts w:ascii="Museo Sans 300" w:hAnsi="Museo Sans 300" w:cs="Arial"/>
              <w:sz w:val="18"/>
              <w:szCs w:val="18"/>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1E37F2A8" w14:textId="77777777" w:rsidR="00597AC4" w:rsidRPr="00B82B2C" w:rsidRDefault="00597AC4" w:rsidP="00840418">
          <w:pPr>
            <w:rPr>
              <w:rFonts w:ascii="Museo Sans 300" w:hAnsi="Museo Sans 300" w:cs="Arial"/>
              <w:sz w:val="18"/>
              <w:szCs w:val="18"/>
            </w:rPr>
          </w:pPr>
        </w:p>
      </w:tc>
    </w:tr>
  </w:tbl>
  <w:p w14:paraId="5DB87F5F" w14:textId="77777777" w:rsidR="00597AC4" w:rsidRPr="00260C2E" w:rsidRDefault="00597AC4" w:rsidP="00840418">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8E962B6"/>
    <w:multiLevelType w:val="hybridMultilevel"/>
    <w:tmpl w:val="343E7CA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92A078C"/>
    <w:multiLevelType w:val="hybridMultilevel"/>
    <w:tmpl w:val="313EA398"/>
    <w:lvl w:ilvl="0" w:tplc="A150EF7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A20FE2"/>
    <w:multiLevelType w:val="hybridMultilevel"/>
    <w:tmpl w:val="22962CFA"/>
    <w:lvl w:ilvl="0" w:tplc="A34052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15:restartNumberingAfterBreak="0">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2571A3"/>
    <w:multiLevelType w:val="hybridMultilevel"/>
    <w:tmpl w:val="93FE146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8C85741"/>
    <w:multiLevelType w:val="hybridMultilevel"/>
    <w:tmpl w:val="279280CE"/>
    <w:lvl w:ilvl="0" w:tplc="D47C49E2">
      <w:start w:val="1"/>
      <w:numFmt w:val="lowerLetter"/>
      <w:lvlText w:val="%1)"/>
      <w:lvlJc w:val="left"/>
      <w:pPr>
        <w:ind w:left="720" w:hanging="360"/>
      </w:pPr>
      <w:rPr>
        <w:rFonts w:hint="default"/>
        <w:b/>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D8403D"/>
    <w:multiLevelType w:val="hybridMultilevel"/>
    <w:tmpl w:val="6ECABBB6"/>
    <w:lvl w:ilvl="0" w:tplc="440A001B">
      <w:start w:val="1"/>
      <w:numFmt w:val="lowerRoman"/>
      <w:lvlText w:val="%1."/>
      <w:lvlJc w:val="right"/>
      <w:pPr>
        <w:ind w:left="2912" w:hanging="360"/>
      </w:pPr>
    </w:lvl>
    <w:lvl w:ilvl="1" w:tplc="440A0019">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2" w15:restartNumberingAfterBreak="0">
    <w:nsid w:val="51FB529F"/>
    <w:multiLevelType w:val="hybridMultilevel"/>
    <w:tmpl w:val="C0DAE3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0"/>
  </w:num>
  <w:num w:numId="6">
    <w:abstractNumId w:val="9"/>
  </w:num>
  <w:num w:numId="7">
    <w:abstractNumId w:val="5"/>
  </w:num>
  <w:num w:numId="8">
    <w:abstractNumId w:val="15"/>
  </w:num>
  <w:num w:numId="9">
    <w:abstractNumId w:val="12"/>
  </w:num>
  <w:num w:numId="10">
    <w:abstractNumId w:val="4"/>
  </w:num>
  <w:num w:numId="11">
    <w:abstractNumId w:val="11"/>
  </w:num>
  <w:num w:numId="12">
    <w:abstractNumId w:val="8"/>
  </w:num>
  <w:num w:numId="13">
    <w:abstractNumId w:val="3"/>
  </w:num>
  <w:num w:numId="14">
    <w:abstractNumId w:val="2"/>
  </w:num>
  <w:num w:numId="15">
    <w:abstractNumId w:val="7"/>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20A1"/>
    <w:rsid w:val="00014582"/>
    <w:rsid w:val="00022EBA"/>
    <w:rsid w:val="00054D2B"/>
    <w:rsid w:val="00093257"/>
    <w:rsid w:val="000940F5"/>
    <w:rsid w:val="000B73A8"/>
    <w:rsid w:val="000C2F8A"/>
    <w:rsid w:val="000D0C16"/>
    <w:rsid w:val="000D5C1F"/>
    <w:rsid w:val="00101C12"/>
    <w:rsid w:val="00117510"/>
    <w:rsid w:val="00123960"/>
    <w:rsid w:val="001313E8"/>
    <w:rsid w:val="00134838"/>
    <w:rsid w:val="0014677C"/>
    <w:rsid w:val="0016721E"/>
    <w:rsid w:val="001B05DC"/>
    <w:rsid w:val="001C518F"/>
    <w:rsid w:val="001F3A0F"/>
    <w:rsid w:val="00203C1C"/>
    <w:rsid w:val="00233DD0"/>
    <w:rsid w:val="00260C2E"/>
    <w:rsid w:val="00286E90"/>
    <w:rsid w:val="002939FF"/>
    <w:rsid w:val="002A4677"/>
    <w:rsid w:val="002C3325"/>
    <w:rsid w:val="002C7FA9"/>
    <w:rsid w:val="002D260A"/>
    <w:rsid w:val="002D34B5"/>
    <w:rsid w:val="002D42E5"/>
    <w:rsid w:val="00301EE8"/>
    <w:rsid w:val="00335000"/>
    <w:rsid w:val="003360CB"/>
    <w:rsid w:val="00340BB6"/>
    <w:rsid w:val="003435CD"/>
    <w:rsid w:val="00357877"/>
    <w:rsid w:val="0036048D"/>
    <w:rsid w:val="00363B92"/>
    <w:rsid w:val="00387311"/>
    <w:rsid w:val="003C7795"/>
    <w:rsid w:val="003F6E89"/>
    <w:rsid w:val="004273B9"/>
    <w:rsid w:val="00442488"/>
    <w:rsid w:val="00455C4A"/>
    <w:rsid w:val="00486C3D"/>
    <w:rsid w:val="00492D79"/>
    <w:rsid w:val="004A7777"/>
    <w:rsid w:val="004B1EFD"/>
    <w:rsid w:val="004C3E9D"/>
    <w:rsid w:val="004C5488"/>
    <w:rsid w:val="004D064C"/>
    <w:rsid w:val="004D0AC4"/>
    <w:rsid w:val="00500680"/>
    <w:rsid w:val="00503D8F"/>
    <w:rsid w:val="00505D5F"/>
    <w:rsid w:val="0050660C"/>
    <w:rsid w:val="0051706B"/>
    <w:rsid w:val="005219CF"/>
    <w:rsid w:val="00530E93"/>
    <w:rsid w:val="00535344"/>
    <w:rsid w:val="00535FF7"/>
    <w:rsid w:val="00537D0F"/>
    <w:rsid w:val="005475C3"/>
    <w:rsid w:val="005909FA"/>
    <w:rsid w:val="00591E4E"/>
    <w:rsid w:val="00597AC4"/>
    <w:rsid w:val="005A52A7"/>
    <w:rsid w:val="005B3E08"/>
    <w:rsid w:val="005C0297"/>
    <w:rsid w:val="005E7A77"/>
    <w:rsid w:val="00612255"/>
    <w:rsid w:val="00612589"/>
    <w:rsid w:val="00612866"/>
    <w:rsid w:val="00621880"/>
    <w:rsid w:val="006268CA"/>
    <w:rsid w:val="00632CFD"/>
    <w:rsid w:val="00637863"/>
    <w:rsid w:val="006479F3"/>
    <w:rsid w:val="006505C9"/>
    <w:rsid w:val="00652FDB"/>
    <w:rsid w:val="006759D1"/>
    <w:rsid w:val="0068381B"/>
    <w:rsid w:val="00686F50"/>
    <w:rsid w:val="00687BA3"/>
    <w:rsid w:val="00692E21"/>
    <w:rsid w:val="00693E18"/>
    <w:rsid w:val="006A4F03"/>
    <w:rsid w:val="006B1D36"/>
    <w:rsid w:val="006D32E4"/>
    <w:rsid w:val="006D68A0"/>
    <w:rsid w:val="006E2580"/>
    <w:rsid w:val="006F3F2B"/>
    <w:rsid w:val="00702CBC"/>
    <w:rsid w:val="00717B0F"/>
    <w:rsid w:val="00757132"/>
    <w:rsid w:val="0076132A"/>
    <w:rsid w:val="00762C99"/>
    <w:rsid w:val="00775495"/>
    <w:rsid w:val="00775E1C"/>
    <w:rsid w:val="00777976"/>
    <w:rsid w:val="00780749"/>
    <w:rsid w:val="0078148D"/>
    <w:rsid w:val="007852BA"/>
    <w:rsid w:val="007A0839"/>
    <w:rsid w:val="007A23F2"/>
    <w:rsid w:val="007B2F42"/>
    <w:rsid w:val="007E2C9E"/>
    <w:rsid w:val="007E3A2E"/>
    <w:rsid w:val="00800020"/>
    <w:rsid w:val="00820781"/>
    <w:rsid w:val="008263D9"/>
    <w:rsid w:val="00840418"/>
    <w:rsid w:val="00851B52"/>
    <w:rsid w:val="00856DD6"/>
    <w:rsid w:val="00861ED6"/>
    <w:rsid w:val="008703CA"/>
    <w:rsid w:val="008716F9"/>
    <w:rsid w:val="00883BD6"/>
    <w:rsid w:val="008A322A"/>
    <w:rsid w:val="008E0041"/>
    <w:rsid w:val="008E1704"/>
    <w:rsid w:val="008F6FEC"/>
    <w:rsid w:val="009013BB"/>
    <w:rsid w:val="00902379"/>
    <w:rsid w:val="00917334"/>
    <w:rsid w:val="00940C2E"/>
    <w:rsid w:val="00941C7C"/>
    <w:rsid w:val="00961DFF"/>
    <w:rsid w:val="00985AAD"/>
    <w:rsid w:val="00993790"/>
    <w:rsid w:val="00997827"/>
    <w:rsid w:val="009A1A3B"/>
    <w:rsid w:val="009C031D"/>
    <w:rsid w:val="009C24F4"/>
    <w:rsid w:val="009E1151"/>
    <w:rsid w:val="00A05798"/>
    <w:rsid w:val="00A13A70"/>
    <w:rsid w:val="00A35670"/>
    <w:rsid w:val="00A368D9"/>
    <w:rsid w:val="00A37694"/>
    <w:rsid w:val="00A42A84"/>
    <w:rsid w:val="00A55FB4"/>
    <w:rsid w:val="00A570B9"/>
    <w:rsid w:val="00A914C3"/>
    <w:rsid w:val="00A93E54"/>
    <w:rsid w:val="00AA0ED8"/>
    <w:rsid w:val="00AB0720"/>
    <w:rsid w:val="00AC4A44"/>
    <w:rsid w:val="00AC604B"/>
    <w:rsid w:val="00AC6837"/>
    <w:rsid w:val="00AE37DB"/>
    <w:rsid w:val="00AE6E9C"/>
    <w:rsid w:val="00AF3302"/>
    <w:rsid w:val="00AF70A1"/>
    <w:rsid w:val="00B4275B"/>
    <w:rsid w:val="00B7019F"/>
    <w:rsid w:val="00B745D2"/>
    <w:rsid w:val="00B82B2C"/>
    <w:rsid w:val="00B9313B"/>
    <w:rsid w:val="00B93156"/>
    <w:rsid w:val="00B96A9B"/>
    <w:rsid w:val="00BB3160"/>
    <w:rsid w:val="00BC1A8A"/>
    <w:rsid w:val="00BC6667"/>
    <w:rsid w:val="00BE4254"/>
    <w:rsid w:val="00BF7BD9"/>
    <w:rsid w:val="00C00742"/>
    <w:rsid w:val="00C27B33"/>
    <w:rsid w:val="00C31CFE"/>
    <w:rsid w:val="00C42A7B"/>
    <w:rsid w:val="00C53658"/>
    <w:rsid w:val="00C53BD8"/>
    <w:rsid w:val="00C60900"/>
    <w:rsid w:val="00C61EFC"/>
    <w:rsid w:val="00C75427"/>
    <w:rsid w:val="00CB25DD"/>
    <w:rsid w:val="00CB6B97"/>
    <w:rsid w:val="00CE43AE"/>
    <w:rsid w:val="00CF7AD6"/>
    <w:rsid w:val="00D00DEE"/>
    <w:rsid w:val="00D109A1"/>
    <w:rsid w:val="00D12929"/>
    <w:rsid w:val="00D23C16"/>
    <w:rsid w:val="00D36754"/>
    <w:rsid w:val="00D40C22"/>
    <w:rsid w:val="00D52133"/>
    <w:rsid w:val="00D63A5E"/>
    <w:rsid w:val="00D84351"/>
    <w:rsid w:val="00D96F2E"/>
    <w:rsid w:val="00D97B83"/>
    <w:rsid w:val="00DE7B42"/>
    <w:rsid w:val="00E072D8"/>
    <w:rsid w:val="00E1361D"/>
    <w:rsid w:val="00E14158"/>
    <w:rsid w:val="00E444F9"/>
    <w:rsid w:val="00E44B39"/>
    <w:rsid w:val="00E44E3F"/>
    <w:rsid w:val="00E4532C"/>
    <w:rsid w:val="00E54D0E"/>
    <w:rsid w:val="00E54D91"/>
    <w:rsid w:val="00E55232"/>
    <w:rsid w:val="00E7382F"/>
    <w:rsid w:val="00E764E1"/>
    <w:rsid w:val="00E83918"/>
    <w:rsid w:val="00EA77E0"/>
    <w:rsid w:val="00EB3579"/>
    <w:rsid w:val="00EB5F24"/>
    <w:rsid w:val="00ED2785"/>
    <w:rsid w:val="00EE5756"/>
    <w:rsid w:val="00F02EA2"/>
    <w:rsid w:val="00F42398"/>
    <w:rsid w:val="00F45F70"/>
    <w:rsid w:val="00F46820"/>
    <w:rsid w:val="00F73B45"/>
    <w:rsid w:val="00F83973"/>
    <w:rsid w:val="00F83B92"/>
    <w:rsid w:val="00F86A2F"/>
    <w:rsid w:val="00F87769"/>
    <w:rsid w:val="00F97EBB"/>
    <w:rsid w:val="00FB052D"/>
    <w:rsid w:val="00FB2505"/>
    <w:rsid w:val="00FC7155"/>
    <w:rsid w:val="00FD127B"/>
    <w:rsid w:val="00FD4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3C45E1"/>
  <w15:docId w15:val="{82F62B89-3188-4CE7-922C-B69574C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paragraph" w:customStyle="1" w:styleId="BodyText21">
    <w:name w:val="Body Text 21"/>
    <w:basedOn w:val="Normal"/>
    <w:rsid w:val="00637863"/>
    <w:pPr>
      <w:tabs>
        <w:tab w:val="left" w:pos="-720"/>
      </w:tabs>
      <w:jc w:val="both"/>
    </w:pPr>
    <w:rPr>
      <w:spacing w:val="20"/>
      <w:sz w:val="16"/>
      <w:lang w:val="es-CO" w:eastAsia="es-CO"/>
    </w:rPr>
  </w:style>
  <w:style w:type="character" w:styleId="Refdecomentario">
    <w:name w:val="annotation reference"/>
    <w:basedOn w:val="Fuentedeprrafopredeter"/>
    <w:uiPriority w:val="99"/>
    <w:semiHidden/>
    <w:unhideWhenUsed/>
    <w:rsid w:val="000120A1"/>
    <w:rPr>
      <w:sz w:val="16"/>
      <w:szCs w:val="16"/>
    </w:rPr>
  </w:style>
  <w:style w:type="paragraph" w:styleId="Textocomentario">
    <w:name w:val="annotation text"/>
    <w:basedOn w:val="Normal"/>
    <w:link w:val="TextocomentarioCar"/>
    <w:uiPriority w:val="99"/>
    <w:semiHidden/>
    <w:unhideWhenUsed/>
    <w:rsid w:val="000120A1"/>
    <w:rPr>
      <w:sz w:val="20"/>
    </w:rPr>
  </w:style>
  <w:style w:type="character" w:customStyle="1" w:styleId="TextocomentarioCar">
    <w:name w:val="Texto comentario Car"/>
    <w:basedOn w:val="Fuentedeprrafopredeter"/>
    <w:link w:val="Textocomentario"/>
    <w:uiPriority w:val="99"/>
    <w:semiHidden/>
    <w:rsid w:val="000120A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120A1"/>
    <w:rPr>
      <w:b/>
      <w:bCs/>
    </w:rPr>
  </w:style>
  <w:style w:type="character" w:customStyle="1" w:styleId="AsuntodelcomentarioCar">
    <w:name w:val="Asunto del comentario Car"/>
    <w:basedOn w:val="TextocomentarioCar"/>
    <w:link w:val="Asuntodelcomentario"/>
    <w:uiPriority w:val="99"/>
    <w:semiHidden/>
    <w:rsid w:val="000120A1"/>
    <w:rPr>
      <w:rFonts w:ascii="Arial" w:eastAsia="Times New Roman" w:hAnsi="Arial" w:cs="Times New Roman"/>
      <w:b/>
      <w:bCs/>
      <w:sz w:val="20"/>
      <w:szCs w:val="20"/>
      <w:lang w:val="es-ES_tradnl" w:eastAsia="es-ES"/>
    </w:rPr>
  </w:style>
  <w:style w:type="paragraph" w:styleId="Revisin">
    <w:name w:val="Revision"/>
    <w:hidden/>
    <w:uiPriority w:val="99"/>
    <w:semiHidden/>
    <w:rsid w:val="00917334"/>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9814">
      <w:bodyDiv w:val="1"/>
      <w:marLeft w:val="0"/>
      <w:marRight w:val="0"/>
      <w:marTop w:val="0"/>
      <w:marBottom w:val="0"/>
      <w:divBdr>
        <w:top w:val="none" w:sz="0" w:space="0" w:color="auto"/>
        <w:left w:val="none" w:sz="0" w:space="0" w:color="auto"/>
        <w:bottom w:val="none" w:sz="0" w:space="0" w:color="auto"/>
        <w:right w:val="none" w:sz="0" w:space="0" w:color="auto"/>
      </w:divBdr>
    </w:div>
    <w:div w:id="818495133">
      <w:bodyDiv w:val="1"/>
      <w:marLeft w:val="0"/>
      <w:marRight w:val="0"/>
      <w:marTop w:val="0"/>
      <w:marBottom w:val="0"/>
      <w:divBdr>
        <w:top w:val="none" w:sz="0" w:space="0" w:color="auto"/>
        <w:left w:val="none" w:sz="0" w:space="0" w:color="auto"/>
        <w:bottom w:val="none" w:sz="0" w:space="0" w:color="auto"/>
        <w:right w:val="none" w:sz="0" w:space="0" w:color="auto"/>
      </w:divBdr>
    </w:div>
    <w:div w:id="1025986368">
      <w:bodyDiv w:val="1"/>
      <w:marLeft w:val="0"/>
      <w:marRight w:val="0"/>
      <w:marTop w:val="0"/>
      <w:marBottom w:val="0"/>
      <w:divBdr>
        <w:top w:val="none" w:sz="0" w:space="0" w:color="auto"/>
        <w:left w:val="none" w:sz="0" w:space="0" w:color="auto"/>
        <w:bottom w:val="none" w:sz="0" w:space="0" w:color="auto"/>
        <w:right w:val="none" w:sz="0" w:space="0" w:color="auto"/>
      </w:divBdr>
    </w:div>
    <w:div w:id="1210530248">
      <w:bodyDiv w:val="1"/>
      <w:marLeft w:val="0"/>
      <w:marRight w:val="0"/>
      <w:marTop w:val="0"/>
      <w:marBottom w:val="0"/>
      <w:divBdr>
        <w:top w:val="none" w:sz="0" w:space="0" w:color="auto"/>
        <w:left w:val="none" w:sz="0" w:space="0" w:color="auto"/>
        <w:bottom w:val="none" w:sz="0" w:space="0" w:color="auto"/>
        <w:right w:val="none" w:sz="0" w:space="0" w:color="auto"/>
      </w:divBdr>
    </w:div>
    <w:div w:id="20814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TAK2XWSQXAVX-289417016-6426</_dlc_DocId>
    <_dlc_DocIdUrl xmlns="925361b9-3a0c-4c35-ae0e-5f5ef97db517">
      <Url>http://sis/cn/_layouts/15/DocIdRedir.aspx?ID=TAK2XWSQXAVX-289417016-6426</Url>
      <Description>TAK2XWSQXAVX-289417016-6426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82608-7771-42DB-9982-01F5A617548E}">
  <ds:schemaRefs>
    <ds:schemaRef ds:uri="http://schemas.openxmlformats.org/officeDocument/2006/bibliography"/>
  </ds:schemaRefs>
</ds:datastoreItem>
</file>

<file path=customXml/itemProps2.xml><?xml version="1.0" encoding="utf-8"?>
<ds:datastoreItem xmlns:ds="http://schemas.openxmlformats.org/officeDocument/2006/customXml" ds:itemID="{3AD0A70C-F28F-42D7-BB66-D9008FEAA274}"/>
</file>

<file path=customXml/itemProps3.xml><?xml version="1.0" encoding="utf-8"?>
<ds:datastoreItem xmlns:ds="http://schemas.openxmlformats.org/officeDocument/2006/customXml" ds:itemID="{3402F9C3-BDAD-48DE-A983-5658FE7FF051}">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0287c0b5-b5c5-4019-839b-c1f429e15169"/>
    <ds:schemaRef ds:uri="http://schemas.microsoft.com/office/infopath/2007/PartnerControls"/>
    <ds:schemaRef ds:uri="925361b9-3a0c-4c35-ae0e-5f5ef97db517"/>
    <ds:schemaRef ds:uri="http://purl.org/dc/terms/"/>
    <ds:schemaRef ds:uri="http://purl.org/dc/elements/1.1/"/>
  </ds:schemaRefs>
</ds:datastoreItem>
</file>

<file path=customXml/itemProps4.xml><?xml version="1.0" encoding="utf-8"?>
<ds:datastoreItem xmlns:ds="http://schemas.openxmlformats.org/officeDocument/2006/customXml" ds:itemID="{5879C274-8EAF-4950-BA2A-D60E6C01A4AD}">
  <ds:schemaRefs>
    <ds:schemaRef ds:uri="http://schemas.microsoft.com/sharepoint/events"/>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5801</Words>
  <Characters>31907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dcterms:created xsi:type="dcterms:W3CDTF">2022-02-22T00:19:00Z</dcterms:created>
  <dcterms:modified xsi:type="dcterms:W3CDTF">2022-02-22T00:19:00Z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d0f9808e-e912-428d-a9c8-67e9f7f65cda</vt:lpwstr>
  </property>
</Properties>
</file>