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6C96" w14:textId="51BD5766" w:rsidR="00026A00" w:rsidRPr="00403BA6" w:rsidRDefault="00A201BA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El Consejo Directivo de</w:t>
      </w:r>
      <w:r w:rsidR="000C4C94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la</w:t>
      </w:r>
      <w:r w:rsidR="000C4C94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 xml:space="preserve">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Superintendencia del Sistema Financiero, para dar cumplimiento al artículo 26 de la Ley de Sociedades de Seguros, emite el:</w:t>
      </w:r>
    </w:p>
    <w:p w14:paraId="47386C97" w14:textId="77777777" w:rsidR="00A201BA" w:rsidRPr="00403BA6" w:rsidRDefault="00A201BA" w:rsidP="00B66745">
      <w:pPr>
        <w:keepNext/>
        <w:keepLines/>
        <w:spacing w:after="0" w:line="240" w:lineRule="auto"/>
        <w:jc w:val="right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</w:pPr>
    </w:p>
    <w:p w14:paraId="47386C98" w14:textId="5C6637CB" w:rsidR="00E1655E" w:rsidRPr="00403BA6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>INSTRUCTIVO PARA LA ENAJENACI</w:t>
      </w:r>
      <w:r w:rsidR="006E4BB2"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>Ó</w:t>
      </w: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  <w:t>N Y ADQUISICIÓN  DE BIENES POR SOCIEDADES DE SEGUROS</w:t>
      </w:r>
    </w:p>
    <w:p w14:paraId="47386C99" w14:textId="77777777" w:rsidR="00E1655E" w:rsidRPr="00403BA6" w:rsidRDefault="00E1655E" w:rsidP="00B66745">
      <w:pPr>
        <w:keepNext/>
        <w:keepLines/>
        <w:spacing w:after="0" w:line="240" w:lineRule="auto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lang w:val="es-ES_tradnl"/>
        </w:rPr>
      </w:pPr>
    </w:p>
    <w:p w14:paraId="7ADB6A5C" w14:textId="658B9C06" w:rsidR="006E4BB2" w:rsidRPr="00403BA6" w:rsidRDefault="00E1655E" w:rsidP="00B66745">
      <w:pPr>
        <w:pStyle w:val="Prrafodelista"/>
        <w:keepNext/>
        <w:keepLines/>
        <w:numPr>
          <w:ilvl w:val="0"/>
          <w:numId w:val="3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OBJETO</w:t>
      </w:r>
    </w:p>
    <w:p w14:paraId="3E687545" w14:textId="77777777" w:rsidR="008740BC" w:rsidRDefault="008740BC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9B" w14:textId="3A072021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El objeto del presente Instructivo es establecer los requisitos que deben cumplir las sociedades de seguros, al efectuar transacciones de toda clase de bienes, con sus gerentes, directores, administradores, accionistas y  con las sociedades en las cuales éstos participen en más del veinticinco por ciento (25%) del capital social.</w:t>
      </w:r>
    </w:p>
    <w:p w14:paraId="47386C9C" w14:textId="77777777" w:rsidR="00E1655E" w:rsidRPr="00403BA6" w:rsidRDefault="00E1655E" w:rsidP="00B66745">
      <w:pPr>
        <w:keepNext/>
        <w:keepLines/>
        <w:spacing w:after="0" w:line="240" w:lineRule="auto"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9D" w14:textId="77777777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El término sociedades de seguros comprende las sociedades de seguros constituidas en El Salvador, las sucursales de aseguradoras extranjeras y las asociaciones cooperativas que prestan servicios de seguros.</w:t>
      </w:r>
    </w:p>
    <w:p w14:paraId="47386C9E" w14:textId="77777777" w:rsidR="00E1655E" w:rsidRPr="00403BA6" w:rsidRDefault="00E1655E" w:rsidP="00B66745">
      <w:pPr>
        <w:keepNext/>
        <w:keepLines/>
        <w:spacing w:after="0" w:line="240" w:lineRule="auto"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9F" w14:textId="77777777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  <w:t>Cuando en este Instructivo se haga mención de la Superintendencia, se entenderá que se trata de la Superintendencia del Sistema Financiero.</w:t>
      </w:r>
    </w:p>
    <w:p w14:paraId="47386CA0" w14:textId="77777777" w:rsidR="00E1655E" w:rsidRPr="00403BA6" w:rsidRDefault="00E1655E" w:rsidP="00B66745">
      <w:pPr>
        <w:pStyle w:val="Prrafodelista"/>
        <w:keepNext/>
        <w:keepLines/>
        <w:ind w:left="284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</w:p>
    <w:p w14:paraId="47386CA1" w14:textId="77777777" w:rsidR="00E1655E" w:rsidRPr="00403BA6" w:rsidRDefault="00E1655E" w:rsidP="00B66745">
      <w:pPr>
        <w:pStyle w:val="Prrafodelista"/>
        <w:keepNext/>
        <w:keepLines/>
        <w:numPr>
          <w:ilvl w:val="0"/>
          <w:numId w:val="3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TRANSACCIONES REGULADAS Y EXCEPCIONES</w:t>
      </w:r>
    </w:p>
    <w:p w14:paraId="68C4655F" w14:textId="77777777" w:rsidR="00EF430E" w:rsidRPr="00403BA6" w:rsidRDefault="00EF430E" w:rsidP="00B66745">
      <w:pPr>
        <w:pStyle w:val="Prrafodelista"/>
        <w:keepNext/>
        <w:keepLines/>
        <w:ind w:left="425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</w:p>
    <w:p w14:paraId="47386CA2" w14:textId="77777777" w:rsidR="00E1655E" w:rsidRPr="00403BA6" w:rsidRDefault="00E1655E" w:rsidP="00B66745">
      <w:pPr>
        <w:pStyle w:val="Prrafodelista"/>
        <w:keepNext/>
        <w:keepLines/>
        <w:numPr>
          <w:ilvl w:val="0"/>
          <w:numId w:val="6"/>
        </w:numPr>
        <w:spacing w:after="120"/>
        <w:ind w:left="709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Son objeto de regulación, las transacciones que las sociedades de seguros realicen con las siguientes personas:</w:t>
      </w:r>
    </w:p>
    <w:p w14:paraId="47386CA3" w14:textId="3E7BF577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Accionistas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</w:p>
    <w:p w14:paraId="47386CA4" w14:textId="5D0D77ED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Directores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</w:p>
    <w:p w14:paraId="47386CA5" w14:textId="71C26AE0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Gerentes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</w:p>
    <w:p w14:paraId="47386CA6" w14:textId="398B9AF4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Administradores</w:t>
      </w:r>
      <w:r w:rsidR="00EF430E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  <w:r w:rsidR="00715F52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y</w:t>
      </w:r>
    </w:p>
    <w:p w14:paraId="47386CA8" w14:textId="0A5238EA" w:rsidR="00E1655E" w:rsidRPr="00403BA6" w:rsidRDefault="00E1655E" w:rsidP="006822A7">
      <w:pPr>
        <w:pStyle w:val="Prrafodelista"/>
        <w:keepNext/>
        <w:keepLines/>
        <w:numPr>
          <w:ilvl w:val="0"/>
          <w:numId w:val="5"/>
        </w:numPr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Las sociedades en las que las personas mencionados en los literales anteriores, participen directa o indirectamente en más del veinticinco por ciento (25%) del capital social.</w:t>
      </w:r>
    </w:p>
    <w:p w14:paraId="5D25B309" w14:textId="77777777" w:rsidR="00EF430E" w:rsidRPr="00403BA6" w:rsidRDefault="00EF430E" w:rsidP="00B66745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7386CA9" w14:textId="12428D97" w:rsidR="00E1655E" w:rsidRPr="00403BA6" w:rsidRDefault="00E1655E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</w:rPr>
        <w:t>Se incluyen como un mismo sujeto los cónyuges y parientes hasta el tercer grado de consanguinidad y segundo de afinidad, de las personas antes mencionadas.</w:t>
      </w:r>
    </w:p>
    <w:p w14:paraId="22D5971E" w14:textId="77777777" w:rsidR="00035E8D" w:rsidRPr="00403BA6" w:rsidRDefault="00035E8D" w:rsidP="00B66745">
      <w:pPr>
        <w:keepNext/>
        <w:keepLines/>
        <w:spacing w:after="0" w:line="240" w:lineRule="auto"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CAA" w14:textId="77777777" w:rsidR="00E1655E" w:rsidRPr="00403BA6" w:rsidRDefault="00E1655E" w:rsidP="00B66745">
      <w:pPr>
        <w:pStyle w:val="Prrafodelista"/>
        <w:keepNext/>
        <w:keepLines/>
        <w:numPr>
          <w:ilvl w:val="0"/>
          <w:numId w:val="6"/>
        </w:numPr>
        <w:spacing w:after="120"/>
        <w:ind w:left="709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transferencia de bienes de cualquier naturaleza, por parte de las sociedades de seguros con las personas antes mencionadas, estará sujeta a las siguientes regulaciones:</w:t>
      </w:r>
    </w:p>
    <w:p w14:paraId="3BB8CF14" w14:textId="30597F97" w:rsidR="002C6D80" w:rsidRDefault="00E1655E" w:rsidP="002C6D80">
      <w:pPr>
        <w:pStyle w:val="Prrafodelista"/>
        <w:keepNext/>
        <w:keepLines/>
        <w:numPr>
          <w:ilvl w:val="0"/>
          <w:numId w:val="7"/>
        </w:numPr>
        <w:spacing w:after="12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el caso de bienes, cuyo valor exceda de un medio por ciento (0.5%) y hasta el dos por ciento (2%) de su capital y reservas de capital, deberá contar previamente con:</w:t>
      </w:r>
    </w:p>
    <w:p w14:paraId="74808EA2" w14:textId="02ECC156" w:rsidR="002C6D80" w:rsidRPr="006822A7" w:rsidRDefault="002C6D80" w:rsidP="006822A7">
      <w:pPr>
        <w:tabs>
          <w:tab w:val="left" w:pos="3398"/>
        </w:tabs>
      </w:pPr>
      <w:r>
        <w:rPr>
          <w:lang w:val="es-ES_tradnl" w:eastAsia="es-ES"/>
        </w:rPr>
        <w:tab/>
      </w:r>
    </w:p>
    <w:p w14:paraId="47386CAD" w14:textId="16DE0351" w:rsidR="00E1655E" w:rsidRDefault="00E1655E" w:rsidP="006822A7">
      <w:pPr>
        <w:pStyle w:val="Prrafodelista"/>
        <w:keepNext/>
        <w:keepLines/>
        <w:numPr>
          <w:ilvl w:val="0"/>
          <w:numId w:val="8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lastRenderedPageBreak/>
        <w:t>Acuerdo de la junta directiva de la entidad, tomado por unanimidad o del organismo que corresponda</w:t>
      </w:r>
      <w:r w:rsidR="00035E8D"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;</w:t>
      </w:r>
      <w:r w:rsidR="00715F52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y</w:t>
      </w:r>
    </w:p>
    <w:p w14:paraId="47386CAE" w14:textId="1A6B63DB" w:rsidR="00E1655E" w:rsidRDefault="00E1655E" w:rsidP="006822A7">
      <w:pPr>
        <w:pStyle w:val="Prrafodelista"/>
        <w:keepNext/>
        <w:keepLines/>
        <w:numPr>
          <w:ilvl w:val="0"/>
          <w:numId w:val="8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Autorización de la Superintendencia, fundamentada en la verificación de los requisitos correspondientes.</w:t>
      </w:r>
    </w:p>
    <w:p w14:paraId="24E27E22" w14:textId="77777777" w:rsidR="007C35C2" w:rsidRDefault="007C35C2" w:rsidP="00B66745">
      <w:pPr>
        <w:pStyle w:val="Prrafodelista"/>
        <w:keepNext/>
        <w:keepLines/>
        <w:ind w:left="170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7386CB0" w14:textId="2656568C" w:rsidR="00E1655E" w:rsidRPr="00403BA6" w:rsidRDefault="00E1655E" w:rsidP="006822A7">
      <w:pPr>
        <w:pStyle w:val="Prrafodelista"/>
        <w:keepNext/>
        <w:keepLines/>
        <w:numPr>
          <w:ilvl w:val="0"/>
          <w:numId w:val="7"/>
        </w:numPr>
        <w:spacing w:after="12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el caso de bienes, cuyo valor exceda el dos por ciento (2%) de su capital y reservas de capital, deberá contar previamente con:</w:t>
      </w:r>
    </w:p>
    <w:p w14:paraId="47386CB2" w14:textId="77777777" w:rsidR="00E1655E" w:rsidRPr="00403BA6" w:rsidRDefault="00E1655E" w:rsidP="006822A7">
      <w:pPr>
        <w:pStyle w:val="Prrafodelista"/>
        <w:keepNext/>
        <w:keepLines/>
        <w:numPr>
          <w:ilvl w:val="1"/>
          <w:numId w:val="7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Aprobación de la junta general ordinaria de accionistas acordada con la simple mayoría de votos de las acciones presentes; y</w:t>
      </w:r>
    </w:p>
    <w:p w14:paraId="47386CB3" w14:textId="60DA65EC" w:rsidR="00E1655E" w:rsidRDefault="00E1655E" w:rsidP="006822A7">
      <w:pPr>
        <w:pStyle w:val="Prrafodelista"/>
        <w:keepNext/>
        <w:keepLines/>
        <w:numPr>
          <w:ilvl w:val="1"/>
          <w:numId w:val="7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Autorización de la Superintendencia, quien la otorgará siempre que tales operaciones se realicen en las mismas condiciones aplicables a terceros en casos similares.</w:t>
      </w:r>
    </w:p>
    <w:p w14:paraId="47386CB5" w14:textId="3C8278A7" w:rsidR="00E1655E" w:rsidRDefault="00E1655E" w:rsidP="006822A7">
      <w:pPr>
        <w:keepNext/>
        <w:keepLines/>
        <w:spacing w:after="0" w:line="240" w:lineRule="auto"/>
        <w:ind w:left="851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</w:rPr>
        <w:t>El saldo del capital social y reservas de capital, que servirá de referencia para determinar los límites de transferencia de bienes de la institución respectiva, será el que presenten a la fecha de cada operación.</w:t>
      </w:r>
    </w:p>
    <w:p w14:paraId="745B7B20" w14:textId="77777777" w:rsidR="00A85C11" w:rsidRPr="00403BA6" w:rsidRDefault="00A85C11" w:rsidP="00B66745">
      <w:pPr>
        <w:keepNext/>
        <w:keepLines/>
        <w:spacing w:after="0" w:line="240" w:lineRule="auto"/>
        <w:ind w:left="127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CB7" w14:textId="7AE75C4E" w:rsidR="00E1655E" w:rsidRPr="00403BA6" w:rsidRDefault="00E1655E" w:rsidP="006822A7">
      <w:pPr>
        <w:pStyle w:val="Prrafodelista"/>
        <w:keepNext/>
        <w:keepLines/>
        <w:numPr>
          <w:ilvl w:val="0"/>
          <w:numId w:val="7"/>
        </w:numPr>
        <w:spacing w:after="120"/>
        <w:ind w:left="993" w:hanging="284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Para efectos de las relaciones porcentuales del numeral 2 anterior, en el caso de bienes inmuebles arrendados sujetos a ser adquiridos por la sociedad de seguros,</w:t>
      </w:r>
      <w:r w:rsid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en los cuales dicha entidad haya hecho inversiones en construcciones, su valor de adquisición estará conformado por:</w:t>
      </w:r>
    </w:p>
    <w:p w14:paraId="47386CB9" w14:textId="77777777" w:rsidR="00E1655E" w:rsidRPr="00403BA6" w:rsidRDefault="00E1655E" w:rsidP="006822A7">
      <w:pPr>
        <w:pStyle w:val="Prrafodelista"/>
        <w:keepNext/>
        <w:keepLines/>
        <w:numPr>
          <w:ilvl w:val="0"/>
          <w:numId w:val="9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desembolso a realizar a la fecha de compra;</w:t>
      </w:r>
    </w:p>
    <w:p w14:paraId="47386CBA" w14:textId="77777777" w:rsidR="00E1655E" w:rsidRPr="00403BA6" w:rsidRDefault="00E1655E" w:rsidP="006822A7">
      <w:pPr>
        <w:pStyle w:val="Prrafodelista"/>
        <w:keepNext/>
        <w:keepLines/>
        <w:numPr>
          <w:ilvl w:val="0"/>
          <w:numId w:val="9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El valor de las inversiones realizadas en el inmueble; y</w:t>
      </w:r>
    </w:p>
    <w:p w14:paraId="47386CBB" w14:textId="5942F3FA" w:rsidR="00E1655E" w:rsidRPr="00403BA6" w:rsidRDefault="00E1655E" w:rsidP="006822A7">
      <w:pPr>
        <w:pStyle w:val="Prrafodelista"/>
        <w:keepNext/>
        <w:keepLines/>
        <w:numPr>
          <w:ilvl w:val="0"/>
          <w:numId w:val="9"/>
        </w:numPr>
        <w:ind w:left="1276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costos financieros y administrativos de tales inversiones, como si se hubiese otorgado el financiamiento a los propietarios del inmueble.  </w:t>
      </w:r>
    </w:p>
    <w:p w14:paraId="47386CBC" w14:textId="77777777" w:rsidR="00E1655E" w:rsidRPr="00403BA6" w:rsidRDefault="00E1655E" w:rsidP="00B66745">
      <w:pPr>
        <w:keepNext/>
        <w:keepLines/>
        <w:spacing w:after="0" w:line="240" w:lineRule="auto"/>
        <w:ind w:left="1701" w:hanging="567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BD" w14:textId="748F805E" w:rsidR="00E1655E" w:rsidRDefault="00E1655E" w:rsidP="00B66745">
      <w:pPr>
        <w:pStyle w:val="Prrafodelista"/>
        <w:keepNext/>
        <w:keepLines/>
        <w:numPr>
          <w:ilvl w:val="0"/>
          <w:numId w:val="6"/>
        </w:numPr>
        <w:ind w:left="709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Quedan exceptuadas de este Instructivo, las transacciones de cualquier clase de bienes, entre las sociedades de seguros y los sujetos mencionados anteriormente, cuyo valor no exceda de un medio por ciento (0.5%) del capital y reservas de capital de la respectiva institución.</w:t>
      </w:r>
    </w:p>
    <w:p w14:paraId="4404BA82" w14:textId="0473DD2E" w:rsidR="00A85C11" w:rsidRDefault="00A85C11" w:rsidP="00B66745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47386CBF" w14:textId="09600A93" w:rsidR="00E1655E" w:rsidRPr="00403BA6" w:rsidRDefault="00E1655E" w:rsidP="00B66745">
      <w:pPr>
        <w:pStyle w:val="Prrafodelista"/>
        <w:keepNext/>
        <w:keepLines/>
        <w:numPr>
          <w:ilvl w:val="0"/>
          <w:numId w:val="3"/>
        </w:numPr>
        <w:ind w:left="425" w:hanging="141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SOLICITUD DE AUTORIZACI</w:t>
      </w:r>
      <w:r w:rsidR="006E4BB2"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Ó</w:t>
      </w: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N</w:t>
      </w:r>
      <w:r w:rsidR="003A7EFB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 xml:space="preserve"> </w:t>
      </w:r>
      <w:r w:rsidR="003A7EFB" w:rsidRPr="006822A7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(1)</w:t>
      </w:r>
    </w:p>
    <w:p w14:paraId="47386CC0" w14:textId="77777777" w:rsidR="00E1655E" w:rsidRPr="00403BA6" w:rsidRDefault="00E1655E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47386CC1" w14:textId="1603921C" w:rsidR="00E1655E" w:rsidRPr="00403BA6" w:rsidRDefault="00E1655E" w:rsidP="00B66745">
      <w:pPr>
        <w:pStyle w:val="Prrafodelista"/>
        <w:keepNext/>
        <w:keepLines/>
        <w:numPr>
          <w:ilvl w:val="0"/>
          <w:numId w:val="10"/>
        </w:numPr>
        <w:ind w:left="709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sociedad de seguros deberá presentar </w:t>
      </w:r>
      <w:r w:rsidR="0023699D" w:rsidRPr="00D40243">
        <w:rPr>
          <w:rFonts w:ascii="Museo Sans 300" w:eastAsiaTheme="majorEastAsia" w:hAnsi="Museo Sans 300" w:cstheme="majorBidi"/>
          <w:iCs/>
          <w:sz w:val="22"/>
          <w:szCs w:val="22"/>
        </w:rPr>
        <w:t xml:space="preserve">a la Superintendencia </w:t>
      </w: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correspondiente solicitud para realizar la transacción, firmada por el representante legal y en el caso de bienes inmuebles, acompañada del valúo realizado por un perito independiente, inscrito en el Registro de Peritos Valuadores de la Superintendencia.</w:t>
      </w:r>
      <w:r w:rsidR="002F244B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2E7861F4" w14:textId="77777777" w:rsidR="00E2588E" w:rsidRPr="00403BA6" w:rsidRDefault="00E2588E" w:rsidP="00B66745">
      <w:pPr>
        <w:pStyle w:val="Prrafodelista"/>
        <w:keepNext/>
        <w:keepLines/>
        <w:ind w:left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64AC6961" w14:textId="148C6BD9" w:rsidR="00E62CA5" w:rsidRPr="00D40243" w:rsidRDefault="00E62CA5" w:rsidP="00B66745">
      <w:pPr>
        <w:pStyle w:val="Prrafodelista"/>
        <w:keepNext/>
        <w:keepLines/>
        <w:ind w:left="709"/>
        <w:jc w:val="both"/>
        <w:outlineLvl w:val="5"/>
        <w:rPr>
          <w:rFonts w:ascii="Museo Sans 300" w:eastAsiaTheme="majorEastAsia" w:hAnsi="Museo Sans 300" w:cstheme="majorBidi"/>
          <w:iCs/>
          <w:strike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informe </w:t>
      </w:r>
      <w:r w:rsidR="00494E0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 valuación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deberá cumplir con los requerimientos mínimos establecidos en las “Normas Técnicas para el Registro de Peritos Valuadores y sus Obligaciones Profesionales” (NRP-27)</w:t>
      </w:r>
      <w:r w:rsidR="00975787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="00303D37" w:rsidRPr="00D40243">
        <w:rPr>
          <w:iCs/>
          <w:lang w:val="es-MX"/>
        </w:rPr>
        <w:t xml:space="preserve"> </w:t>
      </w:r>
      <w:r w:rsidR="00303D37" w:rsidRPr="00D40243">
        <w:rPr>
          <w:rFonts w:ascii="Museo Sans 300" w:hAnsi="Museo Sans 300"/>
          <w:iCs/>
          <w:sz w:val="22"/>
          <w:szCs w:val="22"/>
          <w:lang w:val="es-MX"/>
        </w:rPr>
        <w:t xml:space="preserve">aprobadas por el Banco Central </w:t>
      </w:r>
      <w:r w:rsidR="00975787">
        <w:rPr>
          <w:rFonts w:ascii="Museo Sans 300" w:hAnsi="Museo Sans 300"/>
          <w:iCs/>
          <w:sz w:val="22"/>
          <w:szCs w:val="22"/>
          <w:lang w:val="es-MX"/>
        </w:rPr>
        <w:t xml:space="preserve">de Reserva de El Salvador </w:t>
      </w:r>
      <w:r w:rsidR="00303D37" w:rsidRPr="00D40243">
        <w:rPr>
          <w:rFonts w:ascii="Museo Sans 300" w:hAnsi="Museo Sans 300"/>
          <w:iCs/>
          <w:sz w:val="22"/>
          <w:szCs w:val="22"/>
          <w:lang w:val="es-MX"/>
        </w:rPr>
        <w:t>por medio de su Comité de Normas</w:t>
      </w:r>
      <w:r w:rsidR="00E3470C" w:rsidRPr="00D40243">
        <w:rPr>
          <w:rFonts w:ascii="Museo Sans 300" w:hAnsi="Museo Sans 300"/>
          <w:iCs/>
          <w:sz w:val="22"/>
          <w:szCs w:val="22"/>
          <w:lang w:val="es-MX"/>
        </w:rPr>
        <w:t>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47386CC4" w14:textId="536C720E" w:rsidR="00E1655E" w:rsidRDefault="00E1655E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solicitud debe anexar la certificación del acta de junta directiva o de asamblea de accionistas, según corresponda, en la cual se haya aprobado la transacción de los bienes; además debe contener los argumentos que sustentan la decisión de comprar o vender determinado bien y el valor de la transacción según se estipula en el literal c) del numeral 2, romano II de este Instructivo.</w:t>
      </w:r>
    </w:p>
    <w:p w14:paraId="559FDB54" w14:textId="77777777" w:rsidR="00A85C11" w:rsidRPr="00A85C11" w:rsidRDefault="00A85C11" w:rsidP="00B66745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strike/>
          <w:color w:val="000000" w:themeColor="text1"/>
          <w:sz w:val="22"/>
          <w:szCs w:val="22"/>
        </w:rPr>
      </w:pPr>
    </w:p>
    <w:p w14:paraId="3F9A2516" w14:textId="5FCE2517" w:rsidR="00FD5064" w:rsidRPr="00D40243" w:rsidRDefault="00CE2360" w:rsidP="00B66745">
      <w:pPr>
        <w:pStyle w:val="Prrafodelista"/>
        <w:keepNext/>
        <w:keepLines/>
        <w:numPr>
          <w:ilvl w:val="0"/>
          <w:numId w:val="23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solicitud y documentación podrán ser presentadas a través de los medios que ponga a disposición la Superintendencia, los cuales podrán ser electrónicos. En todo caso</w:t>
      </w:r>
      <w:r w:rsidR="008C6998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el plazo a que se refiere el primer inciso del numeral </w:t>
      </w:r>
      <w:r w:rsidR="00E81AC3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093A5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del romano </w:t>
      </w:r>
      <w:r w:rsidR="001B241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E81AC3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-A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="00975787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empezará a contar a partir del día hábil siguiente de haber presentado la solicitud.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375FDC6A" w14:textId="77777777" w:rsidR="00FD5064" w:rsidRDefault="00FD5064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</w:p>
    <w:p w14:paraId="720310FE" w14:textId="45E47E19" w:rsidR="00FD5064" w:rsidRPr="00D40243" w:rsidRDefault="00FD5064" w:rsidP="00B66745">
      <w:pPr>
        <w:keepNext/>
        <w:keepLines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</w:rPr>
      </w:pPr>
      <w:r w:rsidRPr="00D40243">
        <w:rPr>
          <w:rFonts w:ascii="Museo Sans 300" w:eastAsiaTheme="majorEastAsia" w:hAnsi="Museo Sans 300" w:cstheme="majorBidi"/>
          <w:b/>
          <w:iCs/>
          <w:color w:val="000000" w:themeColor="text1"/>
        </w:rPr>
        <w:t>III-A. TRÁMITE DE LA SOLICITUD DE AUTORIZACIÓN</w:t>
      </w:r>
      <w:r w:rsidR="003A7EFB" w:rsidRPr="00D40243">
        <w:rPr>
          <w:rFonts w:ascii="Museo Sans 300" w:eastAsiaTheme="majorEastAsia" w:hAnsi="Museo Sans 300" w:cstheme="majorBidi"/>
          <w:b/>
          <w:iCs/>
          <w:color w:val="000000" w:themeColor="text1"/>
        </w:rPr>
        <w:t xml:space="preserve"> (1)</w:t>
      </w:r>
    </w:p>
    <w:p w14:paraId="44FC1FD5" w14:textId="77777777" w:rsidR="00FD5064" w:rsidRPr="00AB1857" w:rsidRDefault="00FD5064" w:rsidP="00B66745">
      <w:pPr>
        <w:pStyle w:val="Prrafodelista"/>
        <w:keepNext/>
        <w:keepLines/>
        <w:ind w:left="993"/>
        <w:jc w:val="both"/>
        <w:outlineLvl w:val="5"/>
        <w:rPr>
          <w:rFonts w:ascii="Museo Sans 300" w:eastAsiaTheme="majorEastAsia" w:hAnsi="Museo Sans 300" w:cstheme="majorBidi"/>
          <w:i/>
          <w:color w:val="000000" w:themeColor="text1"/>
          <w:sz w:val="22"/>
          <w:szCs w:val="22"/>
          <w:u w:val="single"/>
        </w:rPr>
      </w:pPr>
    </w:p>
    <w:p w14:paraId="34ED1830" w14:textId="20019431" w:rsidR="00CE0498" w:rsidRPr="00D40243" w:rsidRDefault="00CE0498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Recibida la solicitud para realizar transacciones con bienes, de acuerdo a lo establecido en el numeral 1 del romano III del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nstructivo, la Superintendencia procederá a verificar el cumplimiento de los requisitos definidos por la Ley de Sociedades de Seguros y este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nstructivo, disponiendo de un plazo de hasta veinte días hábiles para la autorización o denegatoria para realizar transacciones con bienes. Una vez vencido este plazo y de no comunicar observaciones a la entidad solicitante, la Superintendencia procederá </w:t>
      </w:r>
      <w:r w:rsidR="004C365B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a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autorizar la solicitud para realizar transacciones con bienes.</w:t>
      </w:r>
      <w:r w:rsidR="00D40243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5D9582B8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strike/>
          <w:color w:val="000000" w:themeColor="text1"/>
          <w:sz w:val="22"/>
          <w:szCs w:val="22"/>
        </w:rPr>
      </w:pPr>
    </w:p>
    <w:p w14:paraId="4BC4A3D6" w14:textId="230CA242" w:rsidR="00CE2360" w:rsidRPr="00D40243" w:rsidRDefault="00CE2360" w:rsidP="00B66745">
      <w:pPr>
        <w:pStyle w:val="Prrafodelista"/>
        <w:keepNext/>
        <w:keepLines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la solicitud no viene acompañada de la información completa y en debida forma, que se detalla en el </w:t>
      </w:r>
      <w:r w:rsidR="00C8174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C8174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 romano </w:t>
      </w:r>
      <w:r w:rsidR="00B46D7A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III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del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ante la falta de requisitos necesarios, podrá requerir a </w:t>
      </w:r>
      <w:r w:rsidR="00F6374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las sociedades de seguros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que en el plazo de diez días hábiles contados a partir del día siguiente al de la notificación, presente los documentos que faltaren, plazo que podrá ampliarse a solicitud de las entidades interesadas cuando existan razones que así lo justifiquen.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51CE1E29" w14:textId="77777777" w:rsidR="00CE2360" w:rsidRPr="00D40243" w:rsidRDefault="00CE2360" w:rsidP="00B66745">
      <w:pPr>
        <w:widowControl w:val="0"/>
        <w:spacing w:after="0" w:line="240" w:lineRule="auto"/>
        <w:jc w:val="both"/>
        <w:outlineLvl w:val="0"/>
        <w:rPr>
          <w:rFonts w:ascii="Museo Sans 300" w:hAnsi="Museo Sans 300"/>
          <w:iCs/>
          <w:strike/>
          <w:color w:val="000000" w:themeColor="text1"/>
        </w:rPr>
      </w:pPr>
    </w:p>
    <w:p w14:paraId="6B67E76E" w14:textId="6EBA5339" w:rsidR="00CE2360" w:rsidRPr="00D40243" w:rsidRDefault="00D22F4F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Superintendencia en la misma prevención indicará a </w:t>
      </w:r>
      <w:r w:rsidR="00CE236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Sociedad de Seguros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que de </w:t>
      </w:r>
      <w:r w:rsidR="00CE236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no completa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rse</w:t>
      </w:r>
      <w:r w:rsidR="00CE236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la información en el plazo antes mencionado, la Superintendencia procederá, sin más trámite, a archivar la solicitud, quedándole a salvo su derecho de presentar una nueva solicitud.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0C264D51" w14:textId="77777777" w:rsidR="00CE2360" w:rsidRPr="00D40243" w:rsidRDefault="00CE2360" w:rsidP="00B66745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3470D4B3" w14:textId="08108977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Si luego del análisis de la documentación presentada de acuerdo al </w:t>
      </w:r>
      <w:r w:rsidR="00472D1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numeral 1 del romano III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444DA2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la Superintendencia tuviere observaciones o cuando la documentación o información que haya sido presentada, no resultare suficiente para establecer los hechos o información que pretenda acreditarse, la Superintendencia </w:t>
      </w:r>
      <w:r w:rsidR="00B52EEF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podrá prevenir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a la Sociedad de Seguros respectiva para que subsane las deficiencias que se le comuniquen o presente documentación o información adicional que se le requiera.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7DD8CD3E" w14:textId="0D5159B1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La Sociedad</w:t>
      </w:r>
      <w:r w:rsidR="00865EAC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Seguros dispondrá de un plazo máximo de diez días hábiles contados a partir del día siguiente al de la notificación, para solventar las observaciones o presentar la información adicional requerida por la Superintendencia.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</w:p>
    <w:p w14:paraId="0146D018" w14:textId="77777777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14A9D2E8" w14:textId="33A79D88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Superintendencia podrá mediante resolución fundamentada ampliar hasta por otros diez días hábiles, el plazo señalado en el inciso anterior, cuando la naturaleza de las observaciones o deficiencias prevenidas lo exijan. 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520CCBDF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color w:val="000000" w:themeColor="text1"/>
          <w:sz w:val="22"/>
          <w:szCs w:val="22"/>
        </w:rPr>
      </w:pPr>
    </w:p>
    <w:p w14:paraId="2F7DFB9F" w14:textId="5A74ED37" w:rsidR="00CE2360" w:rsidRPr="00D40243" w:rsidRDefault="00CE2360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bookmarkStart w:id="0" w:name="_Hlk76740734"/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Sociedad de Seguros podrá presentar a la Superintendencia una solicitud de prórroga del plazo señalado en el inciso quinto del </w:t>
      </w:r>
      <w:r w:rsidR="00A344FA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1 del </w:t>
      </w:r>
      <w:r w:rsidR="00BA0B97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presente</w:t>
      </w:r>
      <w:r w:rsidR="003A7EF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romano,</w:t>
      </w:r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6372AD" w:rsidRPr="00D40243">
        <w:rPr>
          <w:rFonts w:ascii="Museo Sans 300" w:hAnsi="Museo Sans 300"/>
          <w:iCs/>
          <w:sz w:val="22"/>
          <w:szCs w:val="22"/>
        </w:rPr>
        <w:t>antes del vencimiento de dicho plazo,</w:t>
      </w:r>
      <w:r w:rsidR="001B241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debiendo expresar los motivos en que se fundamenta y proponer, en su caso, la prueba pertinente. </w:t>
      </w:r>
      <w:bookmarkEnd w:id="0"/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0F2ACDEB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782A6AF6" w14:textId="0582BC9D" w:rsidR="00CE2360" w:rsidRPr="00D40243" w:rsidRDefault="00CE2360" w:rsidP="00B66745">
      <w:pPr>
        <w:pStyle w:val="Prrafodelista"/>
        <w:widowControl w:val="0"/>
        <w:ind w:left="709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plazo de la prórroga no podrá exceder de diez días hábiles e iniciará a partir del día hábil siguiente a la fecha de vencimiento del plazo original. 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(1)</w:t>
      </w:r>
    </w:p>
    <w:p w14:paraId="0E566139" w14:textId="77777777" w:rsidR="00CE2360" w:rsidRPr="00D40243" w:rsidRDefault="00CE2360" w:rsidP="00B66745">
      <w:pPr>
        <w:pStyle w:val="Prrafodelista"/>
        <w:widowControl w:val="0"/>
        <w:ind w:left="0"/>
        <w:outlineLvl w:val="0"/>
        <w:rPr>
          <w:rFonts w:ascii="Museo Sans 300" w:hAnsi="Museo Sans 300"/>
          <w:iCs/>
          <w:color w:val="000000" w:themeColor="text1"/>
          <w:sz w:val="22"/>
          <w:szCs w:val="22"/>
          <w:lang w:val="es-MX"/>
        </w:rPr>
      </w:pPr>
    </w:p>
    <w:p w14:paraId="7E3259F8" w14:textId="49F20236" w:rsidR="00CE2360" w:rsidRPr="00D40243" w:rsidRDefault="00CE2360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plazo de </w:t>
      </w:r>
      <w:r w:rsidR="00AE7A8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veinte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días hábiles señalado en el inciso primero del </w:t>
      </w:r>
      <w:r w:rsidR="00472D1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numeral </w:t>
      </w:r>
      <w:r w:rsidR="003B223C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1</w:t>
      </w:r>
      <w:r w:rsidR="001B241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</w:t>
      </w:r>
      <w:r w:rsidR="003B223C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del presente </w:t>
      </w:r>
      <w:r w:rsidR="00472D10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romano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, se suspenderá por los días que medien entre la notificación del requerimiento de </w:t>
      </w:r>
      <w:r w:rsidR="00F7675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completar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información o documentación a que se refieren </w:t>
      </w:r>
      <w:r w:rsidR="00F7675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los incisos segundo y quinto de dicho numeral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hasta que se subsanen las observaciones requeridas por la Superintendencia.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504B6ED0" w14:textId="77777777" w:rsidR="00F7675B" w:rsidRPr="00D40243" w:rsidRDefault="00F7675B" w:rsidP="00B66745">
      <w:pPr>
        <w:pStyle w:val="Prrafodelista"/>
        <w:widowControl w:val="0"/>
        <w:ind w:left="99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</w:p>
    <w:p w14:paraId="582B1E6D" w14:textId="0D59B987" w:rsidR="00CE2360" w:rsidRPr="00D40243" w:rsidRDefault="00CE2360" w:rsidP="00B66745">
      <w:pPr>
        <w:pStyle w:val="Prrafodelista"/>
        <w:keepNext/>
        <w:keepLines/>
        <w:numPr>
          <w:ilvl w:val="0"/>
          <w:numId w:val="20"/>
        </w:numPr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Una vez presenta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l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documen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tación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complet</w:t>
      </w:r>
      <w:r w:rsidR="002F244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y en debida forma, la Superintendencia </w:t>
      </w:r>
      <w:r w:rsidR="003A7EF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emitirá resolución sobre la solicitud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para realizar transacciones con los bienes, </w:t>
      </w:r>
      <w:r w:rsidR="003A7EFB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la cual notificará 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en un plazo máximo de tres días hábiles a partir </w:t>
      </w:r>
      <w:r w:rsidR="00E93877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de la fecha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de emitida la resolución.</w:t>
      </w:r>
      <w:r w:rsidR="00596A51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 (1)</w:t>
      </w:r>
    </w:p>
    <w:p w14:paraId="2CC7E91B" w14:textId="33941707" w:rsidR="00FC359B" w:rsidRPr="00A93D6F" w:rsidRDefault="00FC359B" w:rsidP="00B66745">
      <w:pPr>
        <w:pStyle w:val="Prrafodelista"/>
        <w:widowControl w:val="0"/>
        <w:ind w:left="0"/>
        <w:outlineLvl w:val="0"/>
        <w:rPr>
          <w:rFonts w:ascii="Museo Sans 300" w:hAnsi="Museo Sans 300"/>
          <w:i/>
          <w:color w:val="000000" w:themeColor="text1"/>
          <w:sz w:val="22"/>
          <w:szCs w:val="18"/>
          <w:u w:val="single"/>
        </w:rPr>
      </w:pPr>
    </w:p>
    <w:p w14:paraId="47386CCA" w14:textId="77777777" w:rsidR="00E1655E" w:rsidRPr="00403BA6" w:rsidRDefault="00E1655E" w:rsidP="00B66745">
      <w:pPr>
        <w:pStyle w:val="Prrafodelista"/>
        <w:widowControl w:val="0"/>
        <w:numPr>
          <w:ilvl w:val="0"/>
          <w:numId w:val="3"/>
        </w:numPr>
        <w:ind w:left="567" w:hanging="284"/>
        <w:jc w:val="both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</w:pPr>
      <w:r w:rsidRPr="00403BA6">
        <w:rPr>
          <w:rFonts w:ascii="Museo Sans 300" w:eastAsiaTheme="majorEastAsia" w:hAnsi="Museo Sans 300" w:cstheme="majorBidi"/>
          <w:b/>
          <w:iCs/>
          <w:color w:val="000000" w:themeColor="text1"/>
          <w:sz w:val="22"/>
          <w:szCs w:val="22"/>
        </w:rPr>
        <w:t>OTRAS DISPOSICIONES</w:t>
      </w:r>
    </w:p>
    <w:p w14:paraId="47386CCB" w14:textId="62D1D963" w:rsidR="00E1655E" w:rsidRDefault="00E1655E" w:rsidP="00B66745">
      <w:pPr>
        <w:widowControl w:val="0"/>
        <w:spacing w:after="0"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/>
        </w:rPr>
      </w:pPr>
    </w:p>
    <w:p w14:paraId="203DC732" w14:textId="522B095A" w:rsidR="006372AD" w:rsidRPr="00D40243" w:rsidRDefault="006372AD" w:rsidP="00B66745">
      <w:pPr>
        <w:pStyle w:val="Prrafodelista"/>
        <w:numPr>
          <w:ilvl w:val="0"/>
          <w:numId w:val="22"/>
        </w:numPr>
        <w:jc w:val="both"/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Los aspectos no previstos en materia de regulación en 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 xml:space="preserve">el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I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nstructivo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sz w:val="22"/>
          <w:szCs w:val="22"/>
        </w:rPr>
        <w:t>, serán resueltos por el Banco Central de Reserva de El Salvador por medio de su Comité de Normas. (1)</w:t>
      </w:r>
    </w:p>
    <w:p w14:paraId="38C279D4" w14:textId="77777777" w:rsidR="006372AD" w:rsidRPr="00D40243" w:rsidRDefault="006372AD" w:rsidP="00B66745">
      <w:pPr>
        <w:spacing w:after="0" w:line="240" w:lineRule="auto"/>
        <w:jc w:val="both"/>
        <w:rPr>
          <w:rFonts w:ascii="Museo Sans 300" w:eastAsia="Times New Roman" w:hAnsi="Museo Sans 300" w:cs="Times New Roman"/>
          <w:b/>
          <w:iCs/>
          <w:lang w:eastAsia="es-ES"/>
        </w:rPr>
      </w:pPr>
    </w:p>
    <w:p w14:paraId="0D672D20" w14:textId="3EA129A6" w:rsidR="004C51D6" w:rsidRPr="00D40243" w:rsidRDefault="004C51D6" w:rsidP="00B66745">
      <w:pPr>
        <w:widowControl w:val="0"/>
        <w:spacing w:after="0" w:line="240" w:lineRule="auto"/>
        <w:ind w:left="703" w:hanging="346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</w:pPr>
      <w:r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1</w:t>
      </w:r>
      <w:r w:rsidR="00AB1857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-</w:t>
      </w:r>
      <w:r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A. </w:t>
      </w:r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Los incumplimientos a las disposiciones contenidas en 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 xml:space="preserve">el presente </w:t>
      </w:r>
      <w:r w:rsidR="0066609C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I</w:t>
      </w:r>
      <w:r w:rsidR="00EF18C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nstructivo</w:t>
      </w:r>
      <w:r w:rsidR="006372AD" w:rsidRPr="00D40243">
        <w:rPr>
          <w:rFonts w:ascii="Museo Sans 300" w:eastAsiaTheme="majorEastAsia" w:hAnsi="Museo Sans 300" w:cstheme="majorBidi"/>
          <w:iCs/>
          <w:color w:val="000000" w:themeColor="text1"/>
          <w:lang w:val="es-ES_tradnl" w:eastAsia="es-ES"/>
        </w:rPr>
        <w:t>, serán sancionados de conformidad a lo establecido en la Ley de Supervisión y Regulación del Sistema Financiero. (1)</w:t>
      </w:r>
    </w:p>
    <w:p w14:paraId="0E87F3A6" w14:textId="77777777" w:rsidR="00AB1857" w:rsidRPr="00FC359B" w:rsidRDefault="00AB1857" w:rsidP="00B66745">
      <w:pPr>
        <w:widowControl w:val="0"/>
        <w:spacing w:after="0" w:line="240" w:lineRule="auto"/>
        <w:ind w:left="708" w:right="357" w:hanging="348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Cs w:val="18"/>
          <w:u w:val="single"/>
        </w:rPr>
      </w:pPr>
    </w:p>
    <w:p w14:paraId="108147E2" w14:textId="3535762E" w:rsidR="001E65BF" w:rsidRPr="00FC359B" w:rsidRDefault="001E65BF" w:rsidP="00B66745">
      <w:pPr>
        <w:pStyle w:val="Prrafodelista"/>
        <w:widowControl w:val="0"/>
        <w:numPr>
          <w:ilvl w:val="0"/>
          <w:numId w:val="22"/>
        </w:numPr>
        <w:ind w:left="709" w:hanging="283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2"/>
          <w:szCs w:val="18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2"/>
          <w:szCs w:val="18"/>
        </w:rPr>
        <w:t>El presente Instructivo entrarán en vigencia a partir del 16 de septiembre de 1998.</w:t>
      </w:r>
    </w:p>
    <w:p w14:paraId="1F121B28" w14:textId="57208871" w:rsidR="00D40243" w:rsidRDefault="00D40243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161F3BD5" w14:textId="77777777" w:rsidR="002C6D80" w:rsidRDefault="002C6D80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0539F275" w14:textId="03FEBE54" w:rsidR="00D40243" w:rsidRDefault="00D40243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5ED84CB1" w14:textId="77777777" w:rsidR="002C6D80" w:rsidRDefault="002C6D80" w:rsidP="00B66745">
      <w:pPr>
        <w:spacing w:after="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</w:p>
    <w:p w14:paraId="7BD6E61A" w14:textId="6AA034AF" w:rsidR="0098598A" w:rsidRPr="00FC359B" w:rsidRDefault="0098598A" w:rsidP="006822A7">
      <w:pPr>
        <w:spacing w:after="120" w:line="240" w:lineRule="auto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</w:pPr>
      <w:r w:rsidRPr="00FC359B"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20"/>
        </w:rPr>
        <w:t>MODIFICACIONES:</w:t>
      </w:r>
    </w:p>
    <w:p w14:paraId="6D6460A7" w14:textId="19E047BB" w:rsidR="00D40243" w:rsidRPr="009247F7" w:rsidRDefault="00D40243" w:rsidP="00D40243">
      <w:pPr>
        <w:pStyle w:val="Prrafodelista"/>
        <w:numPr>
          <w:ilvl w:val="0"/>
          <w:numId w:val="24"/>
        </w:numPr>
        <w:ind w:left="426" w:hanging="426"/>
        <w:jc w:val="both"/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</w:pP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Modificaciones </w:t>
      </w:r>
      <w:r w:rsidR="008D0E0F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al </w:t>
      </w:r>
      <w:r w:rsidR="009D758C" w:rsidRPr="009D758C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Romano III,</w:t>
      </w:r>
      <w:r w:rsidR="008D0E0F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IV</w:t>
      </w:r>
      <w:r w:rsidR="00092306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e</w:t>
      </w:r>
      <w:r w:rsidR="009D758C" w:rsidRPr="009D758C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incorporación del Romano III-A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, aprobadas por el Banco Central de Reserva de El Salvador por medio de su Comité de Normas, en Sesión No. CN-05/2022, del </w:t>
      </w:r>
      <w:r w:rsidR="008B772A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10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de </w:t>
      </w:r>
      <w:r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juni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o de dos mil veintidós, con vigencia a partir del </w:t>
      </w:r>
      <w:r w:rsidR="008B772A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>29</w:t>
      </w:r>
      <w:r w:rsidRPr="009247F7">
        <w:rPr>
          <w:rFonts w:ascii="Museo Sans 300" w:eastAsiaTheme="minorHAnsi" w:hAnsi="Museo Sans 300" w:cs="Arial"/>
          <w:b/>
          <w:bCs/>
          <w:color w:val="000000"/>
          <w:sz w:val="20"/>
          <w:lang w:val="es-CL" w:eastAsia="en-US"/>
        </w:rPr>
        <w:t xml:space="preserve"> de junio de dos mil veintidós.</w:t>
      </w:r>
    </w:p>
    <w:p w14:paraId="3F79B805" w14:textId="77777777" w:rsidR="00D40243" w:rsidRPr="00D40243" w:rsidRDefault="00D40243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Cs/>
          <w:color w:val="000000" w:themeColor="text1"/>
          <w:sz w:val="20"/>
          <w:szCs w:val="16"/>
        </w:rPr>
      </w:pPr>
    </w:p>
    <w:p w14:paraId="121A3A2E" w14:textId="1336AD69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3A75F8D" w14:textId="370965D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E958741" w14:textId="34DAAA86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3CC9A7D" w14:textId="1B4F960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573ABA72" w14:textId="030F7A97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3DE97CD" w14:textId="0D7235A5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180BED0" w14:textId="7325383E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5EBA2B9" w14:textId="53842851" w:rsidR="007C35C2" w:rsidRDefault="002C6D80" w:rsidP="006822A7">
      <w:pPr>
        <w:pStyle w:val="Prrafodelista"/>
        <w:tabs>
          <w:tab w:val="left" w:pos="7638"/>
        </w:tabs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  <w:r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  <w:tab/>
      </w:r>
    </w:p>
    <w:p w14:paraId="6DC382DB" w14:textId="0080031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A029897" w14:textId="60A4A488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748EC3F" w14:textId="339BE38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E73DC06" w14:textId="3DCCBE4D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2AD6E01" w14:textId="02621AFF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8B25B38" w14:textId="3D6217C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773668F2" w14:textId="7D650A04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83E3045" w14:textId="74CE816F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1486C45" w14:textId="426E711A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1F5CAB7" w14:textId="6D6E80E8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354277D" w14:textId="0E7BACC5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99FCA8C" w14:textId="422A338D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68088821" w14:textId="2A5B4703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ABFFC95" w14:textId="0249A657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5E7F12A6" w14:textId="4BFB493E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2359F53" w14:textId="5E2DF7C9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487C28D" w14:textId="073F4E41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2A9BB7A" w14:textId="648A0312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1DA4BBE2" w14:textId="53C8879F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F07B348" w14:textId="7575A6C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D8CD18D" w14:textId="5E4FE85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3A91FEF8" w14:textId="0DEF3901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2D6A84BA" w14:textId="6A72913C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483A9771" w14:textId="77777777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51C00091" w14:textId="4DE2AD51" w:rsidR="007C35C2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0"/>
          <w:szCs w:val="16"/>
        </w:rPr>
      </w:pPr>
    </w:p>
    <w:p w14:paraId="0C1FD2D2" w14:textId="77777777" w:rsidR="007C35C2" w:rsidRPr="003E2F1C" w:rsidRDefault="007C35C2" w:rsidP="00B66745">
      <w:pPr>
        <w:pStyle w:val="Prrafodelista"/>
        <w:ind w:left="426"/>
        <w:rPr>
          <w:rFonts w:ascii="Museo Sans 300" w:eastAsiaTheme="majorEastAsia" w:hAnsi="Museo Sans 300" w:cstheme="majorBidi"/>
          <w:b/>
          <w:bCs/>
          <w:i/>
          <w:color w:val="000000" w:themeColor="text1"/>
          <w:sz w:val="22"/>
          <w:szCs w:val="16"/>
        </w:rPr>
      </w:pPr>
    </w:p>
    <w:p w14:paraId="47386CEF" w14:textId="2B31A52E" w:rsidR="00E1655E" w:rsidRPr="00FC359B" w:rsidRDefault="00E1655E" w:rsidP="00B66745">
      <w:pPr>
        <w:keepNext/>
        <w:keepLines/>
        <w:spacing w:after="0" w:line="240" w:lineRule="auto"/>
        <w:jc w:val="right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</w:pPr>
      <w:r w:rsidRPr="00FC359B"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  <w:t>Anexo</w:t>
      </w:r>
      <w:r w:rsidR="000C4C94"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  <w:t xml:space="preserve"> No. 1</w:t>
      </w:r>
    </w:p>
    <w:p w14:paraId="47386CF0" w14:textId="77777777" w:rsidR="00E1655E" w:rsidRPr="00FC359B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</w:pPr>
    </w:p>
    <w:p w14:paraId="47386CF1" w14:textId="77777777" w:rsidR="00E1655E" w:rsidRPr="00FC359B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</w:pPr>
      <w:r w:rsidRPr="00FC359B">
        <w:rPr>
          <w:rFonts w:ascii="Museo Sans 300" w:eastAsiaTheme="majorEastAsia" w:hAnsi="Museo Sans 300" w:cstheme="majorBidi"/>
          <w:b/>
          <w:iCs/>
          <w:color w:val="000000" w:themeColor="text1"/>
          <w:sz w:val="20"/>
          <w:szCs w:val="20"/>
          <w:lang w:val="es-ES_tradnl"/>
        </w:rPr>
        <w:t>PARENTESCOS POR CONSANGUINIDAD Y POR AFINIDAD</w:t>
      </w:r>
    </w:p>
    <w:p w14:paraId="47386CF2" w14:textId="5316F21F" w:rsidR="00E1655E" w:rsidRDefault="00E1655E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  <w:szCs w:val="20"/>
          <w:lang w:val="es-ES_tradnl"/>
        </w:rPr>
      </w:pPr>
    </w:p>
    <w:p w14:paraId="3253697A" w14:textId="77777777" w:rsidR="000C4C94" w:rsidRPr="00FC359B" w:rsidRDefault="000C4C94" w:rsidP="00B66745">
      <w:pPr>
        <w:keepNext/>
        <w:keepLines/>
        <w:spacing w:after="0" w:line="240" w:lineRule="auto"/>
        <w:jc w:val="center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  <w:szCs w:val="20"/>
          <w:lang w:val="es-ES_tradnl"/>
        </w:rPr>
      </w:pPr>
    </w:p>
    <w:p w14:paraId="47386CF5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Primer grado de consanguinidad es el parentesco entre padre (madre) e hijo (a).</w:t>
      </w:r>
    </w:p>
    <w:p w14:paraId="47386CF6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7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Segundo grado de consanguinidad es el que existe entre abuelo (a)  y  nieto (a), y entre hermanos (as).</w:t>
      </w:r>
    </w:p>
    <w:p w14:paraId="47386CF8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9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Tercer grado de consanguinidad es el que existe entre bisabuelo(a) y bisnieto(a), y entre tíos (as) y sobrinos (as).</w:t>
      </w:r>
    </w:p>
    <w:p w14:paraId="47386CFA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B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Primer grado de afinidad es el que existe entre el suegro (a) y nuera (yerno), y entre padrastro (madrastra) y entenado (a).</w:t>
      </w:r>
    </w:p>
    <w:p w14:paraId="47386CFC" w14:textId="77777777" w:rsidR="00E1655E" w:rsidRPr="00FC359B" w:rsidRDefault="00E1655E" w:rsidP="00B66745">
      <w:pPr>
        <w:pStyle w:val="Prrafodelista"/>
        <w:keepNext/>
        <w:keepLines/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</w:p>
    <w:p w14:paraId="47386CFD" w14:textId="77777777" w:rsidR="00E1655E" w:rsidRPr="00FC359B" w:rsidRDefault="00E1655E" w:rsidP="00B66745">
      <w:pPr>
        <w:pStyle w:val="Prrafodelista"/>
        <w:keepNext/>
        <w:keepLines/>
        <w:numPr>
          <w:ilvl w:val="0"/>
          <w:numId w:val="4"/>
        </w:numPr>
        <w:ind w:left="425" w:hanging="425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  <w:sz w:val="20"/>
        </w:rPr>
      </w:pPr>
      <w:r w:rsidRPr="00FC359B">
        <w:rPr>
          <w:rFonts w:ascii="Museo Sans 300" w:eastAsiaTheme="majorEastAsia" w:hAnsi="Museo Sans 300" w:cstheme="majorBidi"/>
          <w:iCs/>
          <w:color w:val="000000" w:themeColor="text1"/>
          <w:sz w:val="20"/>
        </w:rPr>
        <w:t>Segundo grado de afinidad es el que existe entre cuñados (as).</w:t>
      </w:r>
    </w:p>
    <w:p w14:paraId="47386CFE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CFF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0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1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2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3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4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5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6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7" w14:textId="77777777" w:rsidR="00E1655E" w:rsidRPr="00403BA6" w:rsidRDefault="00E1655E" w:rsidP="00B66745">
      <w:pPr>
        <w:keepNext/>
        <w:keepLines/>
        <w:spacing w:line="240" w:lineRule="auto"/>
        <w:jc w:val="both"/>
        <w:outlineLvl w:val="5"/>
        <w:rPr>
          <w:rFonts w:ascii="Museo Sans 300" w:eastAsiaTheme="majorEastAsia" w:hAnsi="Museo Sans 300" w:cstheme="majorBidi"/>
          <w:iCs/>
          <w:color w:val="000000" w:themeColor="text1"/>
        </w:rPr>
      </w:pPr>
    </w:p>
    <w:p w14:paraId="47386D08" w14:textId="77777777" w:rsidR="00134137" w:rsidRPr="00403BA6" w:rsidRDefault="00134137" w:rsidP="00B66745">
      <w:pPr>
        <w:keepNext/>
        <w:keepLines/>
        <w:spacing w:after="0" w:line="240" w:lineRule="auto"/>
        <w:outlineLvl w:val="5"/>
        <w:rPr>
          <w:rFonts w:ascii="Museo Sans 300" w:hAnsi="Museo Sans 300" w:cs="Arial"/>
          <w:b/>
        </w:rPr>
      </w:pPr>
    </w:p>
    <w:sectPr w:rsidR="00134137" w:rsidRPr="00403BA6" w:rsidSect="00715F52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418" w:right="1701" w:bottom="1418" w:left="1701" w:header="709" w:footer="709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299D" w14:textId="77777777" w:rsidR="00713A96" w:rsidRDefault="00713A96" w:rsidP="00C16EF4">
      <w:pPr>
        <w:spacing w:after="0" w:line="240" w:lineRule="auto"/>
      </w:pPr>
      <w:r>
        <w:separator/>
      </w:r>
    </w:p>
  </w:endnote>
  <w:endnote w:type="continuationSeparator" w:id="0">
    <w:p w14:paraId="4E8FF6A2" w14:textId="77777777" w:rsidR="00713A96" w:rsidRDefault="00713A96" w:rsidP="00C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4633" w14:textId="77777777" w:rsidR="002C6D80" w:rsidRPr="002C6D80" w:rsidRDefault="002C6D80" w:rsidP="002C6D80">
    <w:pPr>
      <w:pStyle w:val="Piedepgina"/>
      <w:jc w:val="right"/>
      <w:rPr>
        <w:rFonts w:ascii="Museo Sans 300" w:hAnsi="Museo Sans 300"/>
        <w:sz w:val="18"/>
        <w:szCs w:val="18"/>
      </w:rPr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2C6D80" w:rsidRPr="002C6D80" w14:paraId="45B49EB8" w14:textId="77777777" w:rsidTr="006A276C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1529B6DF" w14:textId="77777777" w:rsidR="002C6D80" w:rsidRPr="002C6D80" w:rsidRDefault="002C6D80" w:rsidP="002C6D80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18"/>
            </w:rPr>
          </w:pPr>
        </w:p>
      </w:tc>
      <w:tc>
        <w:tcPr>
          <w:tcW w:w="6521" w:type="dxa"/>
          <w:vAlign w:val="center"/>
        </w:tcPr>
        <w:p w14:paraId="7C594028" w14:textId="77777777" w:rsidR="002C6D80" w:rsidRPr="002C6D80" w:rsidRDefault="002C6D8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C6D80">
            <w:rPr>
              <w:rFonts w:ascii="Museo Sans 300" w:hAnsi="Museo Sans 300" w:cs="Arial"/>
              <w:color w:val="818284"/>
              <w:sz w:val="18"/>
              <w:szCs w:val="18"/>
            </w:rPr>
            <w:t>Alameda Juan Pablo II, entre 15 y 17 Av. Norte, San Salvador, El Salvador.</w:t>
          </w:r>
        </w:p>
        <w:p w14:paraId="06FF32C0" w14:textId="77777777" w:rsidR="002C6D80" w:rsidRPr="002C6D80" w:rsidRDefault="002C6D8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C6D80">
            <w:rPr>
              <w:rFonts w:ascii="Museo Sans 300" w:hAnsi="Museo Sans 300" w:cs="Arial"/>
              <w:color w:val="818284"/>
              <w:sz w:val="18"/>
              <w:szCs w:val="18"/>
            </w:rPr>
            <w:t>Tel. (503) 2281-8000</w:t>
          </w:r>
        </w:p>
        <w:p w14:paraId="074A98BD" w14:textId="77777777" w:rsidR="002C6D80" w:rsidRPr="002C6D80" w:rsidRDefault="002C6D8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2C6D80">
            <w:rPr>
              <w:rFonts w:ascii="Museo Sans 300" w:hAnsi="Museo Sans 300" w:cs="Arial"/>
              <w:color w:val="818284"/>
              <w:sz w:val="18"/>
              <w:szCs w:val="18"/>
            </w:rPr>
            <w:t>www.bcr.gob.sv</w:t>
          </w:r>
        </w:p>
      </w:tc>
      <w:tc>
        <w:tcPr>
          <w:tcW w:w="2126" w:type="dxa"/>
          <w:vAlign w:val="center"/>
        </w:tcPr>
        <w:p w14:paraId="53D24BD9" w14:textId="77777777" w:rsidR="002C6D80" w:rsidRPr="002C6D80" w:rsidRDefault="00000000" w:rsidP="002C6D80">
          <w:pPr>
            <w:pStyle w:val="Piedepgina"/>
            <w:jc w:val="center"/>
            <w:rPr>
              <w:rFonts w:ascii="Museo Sans 300" w:hAnsi="Museo Sans 300" w:cs="Arial"/>
              <w:color w:val="818284"/>
              <w:sz w:val="18"/>
              <w:szCs w:val="18"/>
            </w:rPr>
          </w:pPr>
          <w:sdt>
            <w:sdtPr>
              <w:rPr>
                <w:rFonts w:ascii="Museo Sans 300" w:hAnsi="Museo Sans 300" w:cs="Arial"/>
                <w:sz w:val="18"/>
                <w:szCs w:val="18"/>
              </w:rPr>
              <w:id w:val="55829162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Museo Sans 300" w:hAnsi="Museo Sans 300" w:cs="Arial"/>
                    <w:sz w:val="18"/>
                    <w:szCs w:val="18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Content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Página 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PAGE</w:instrTex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1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 xml:space="preserve"> de 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begin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instrText>NUMPAGES</w:instrTex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separate"/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t>9</w:t>
                  </w:r>
                  <w:r w:rsidR="002C6D80" w:rsidRPr="002C6D80">
                    <w:rPr>
                      <w:rFonts w:ascii="Museo Sans 300" w:hAnsi="Museo Sans 300" w:cs="Arial"/>
                      <w:color w:val="818284"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47386D27" w14:textId="77777777" w:rsidR="009C33BD" w:rsidRDefault="009C33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EE88" w14:textId="77777777" w:rsidR="00C35AB8" w:rsidRPr="00AC1FAA" w:rsidRDefault="00C35AB8" w:rsidP="00C35AB8">
    <w:pPr>
      <w:widowControl w:val="0"/>
      <w:tabs>
        <w:tab w:val="left" w:pos="3192"/>
        <w:tab w:val="center" w:pos="4550"/>
        <w:tab w:val="left" w:pos="5818"/>
        <w:tab w:val="right" w:pos="8578"/>
        <w:tab w:val="right" w:pos="10088"/>
      </w:tabs>
      <w:ind w:right="260"/>
      <w:rPr>
        <w:rFonts w:ascii="Museo Sans 300" w:hAnsi="Museo Sans 300" w:cstheme="minorHAnsi"/>
        <w:sz w:val="18"/>
        <w:szCs w:val="18"/>
        <w:lang w:val="en-US"/>
      </w:rPr>
    </w:pPr>
    <w:r w:rsidRPr="002700EA">
      <w:rPr>
        <w:rFonts w:ascii="Museo Sans 300" w:hAnsi="Museo Sans 300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3F58B67" wp14:editId="2DF1F0DF">
              <wp:simplePos x="0" y="0"/>
              <wp:positionH relativeFrom="column">
                <wp:posOffset>-13335</wp:posOffset>
              </wp:positionH>
              <wp:positionV relativeFrom="paragraph">
                <wp:posOffset>87437</wp:posOffset>
              </wp:positionV>
              <wp:extent cx="5076825" cy="9525"/>
              <wp:effectExtent l="0" t="0" r="28575" b="2857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76825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91E3A" id="Conector recto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6.9pt" to="398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" strokecolor="#5b9bd5">
              <v:stroke joinstyle="miter"/>
            </v:line>
          </w:pict>
        </mc:Fallback>
      </mc:AlternateContent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tab/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PAGE 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2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 w:rsidRPr="002700EA">
      <w:rPr>
        <w:rFonts w:ascii="Museo Sans 300" w:hAnsi="Museo Sans 300" w:cstheme="minorHAnsi"/>
        <w:sz w:val="18"/>
        <w:szCs w:val="18"/>
      </w:rPr>
      <w:t xml:space="preserve"> /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begin"/>
    </w:r>
    <w:r w:rsidRPr="002700EA">
      <w:rPr>
        <w:rFonts w:ascii="Museo Sans 300" w:hAnsi="Museo Sans 300" w:cstheme="minorHAnsi"/>
        <w:sz w:val="18"/>
        <w:szCs w:val="18"/>
        <w:lang w:val="en-US"/>
      </w:rPr>
      <w:instrText>NUMPAGES  \* Arabic  \* MERGEFORMAT</w:instrTex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separate"/>
    </w:r>
    <w:r>
      <w:rPr>
        <w:rFonts w:ascii="Museo Sans 300" w:hAnsi="Museo Sans 300" w:cstheme="minorHAnsi"/>
        <w:sz w:val="18"/>
        <w:szCs w:val="18"/>
        <w:lang w:val="en-US"/>
      </w:rPr>
      <w:t>6</w:t>
    </w:r>
    <w:r w:rsidRPr="002700EA">
      <w:rPr>
        <w:rFonts w:ascii="Museo Sans 300" w:hAnsi="Museo Sans 300" w:cstheme="minorHAnsi"/>
        <w:sz w:val="18"/>
        <w:szCs w:val="18"/>
        <w:lang w:val="en-US"/>
      </w:rPr>
      <w:fldChar w:fldCharType="end"/>
    </w:r>
    <w:r>
      <w:rPr>
        <w:rFonts w:ascii="Museo Sans 300" w:hAnsi="Museo Sans 300" w:cstheme="minorHAnsi"/>
        <w:sz w:val="18"/>
        <w:szCs w:val="18"/>
        <w:lang w:val="en-US"/>
      </w:rPr>
      <w:tab/>
    </w:r>
  </w:p>
  <w:p w14:paraId="47386D3E" w14:textId="59FEE8B9" w:rsidR="00E1655E" w:rsidRPr="00C35AB8" w:rsidRDefault="00E1655E" w:rsidP="00C35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7F23" w14:textId="77777777" w:rsidR="00713A96" w:rsidRDefault="00713A96" w:rsidP="00C16EF4">
      <w:pPr>
        <w:spacing w:after="0" w:line="240" w:lineRule="auto"/>
      </w:pPr>
      <w:r>
        <w:separator/>
      </w:r>
    </w:p>
  </w:footnote>
  <w:footnote w:type="continuationSeparator" w:id="0">
    <w:p w14:paraId="0394CFC3" w14:textId="77777777" w:rsidR="00713A96" w:rsidRDefault="00713A96" w:rsidP="00C1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9356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410"/>
      <w:gridCol w:w="5495"/>
      <w:gridCol w:w="1451"/>
    </w:tblGrid>
    <w:tr w:rsidR="00B66745" w:rsidRPr="002F7E69" w14:paraId="3CFC3B88" w14:textId="77777777" w:rsidTr="00415EEB">
      <w:trPr>
        <w:trHeight w:val="371"/>
      </w:trPr>
      <w:tc>
        <w:tcPr>
          <w:tcW w:w="2410" w:type="dxa"/>
          <w:vAlign w:val="center"/>
          <w:hideMark/>
        </w:tcPr>
        <w:p w14:paraId="7ABC41C5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CDSSF-57/1998</w:t>
          </w:r>
        </w:p>
      </w:tc>
      <w:tc>
        <w:tcPr>
          <w:tcW w:w="5495" w:type="dxa"/>
          <w:vMerge w:val="restart"/>
          <w:vAlign w:val="center"/>
          <w:hideMark/>
        </w:tcPr>
        <w:p w14:paraId="233414C2" w14:textId="77777777" w:rsidR="00B66745" w:rsidRPr="006822A7" w:rsidRDefault="00B66745" w:rsidP="00B66745">
          <w:pPr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ES_tradnl"/>
            </w:rPr>
            <w:t>NPS4-06</w:t>
          </w:r>
        </w:p>
        <w:p w14:paraId="200D296D" w14:textId="77777777" w:rsidR="00B66745" w:rsidRPr="006822A7" w:rsidRDefault="00B66745" w:rsidP="00B66745">
          <w:pPr>
            <w:jc w:val="center"/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</w:pPr>
          <w:r w:rsidRPr="006822A7">
            <w:rPr>
              <w:rFonts w:ascii="Museo Sans 300" w:hAnsi="Museo Sans 300" w:cs="Arial"/>
              <w:iCs/>
              <w:color w:val="808080" w:themeColor="background1" w:themeShade="80"/>
              <w:sz w:val="18"/>
              <w:szCs w:val="18"/>
              <w:lang w:val="es-ES_tradnl"/>
            </w:rPr>
            <w:t>INSTRUCTIVO PARA LA ENAJENACIÓN Y ADQUISICIÓN  DE BIENES POR SOCIEDADES DE SEGUROS</w:t>
          </w:r>
        </w:p>
      </w:tc>
      <w:tc>
        <w:tcPr>
          <w:tcW w:w="1451" w:type="dxa"/>
          <w:vMerge w:val="restart"/>
          <w:vAlign w:val="center"/>
          <w:hideMark/>
        </w:tcPr>
        <w:p w14:paraId="33FAF0FF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B66745" w:rsidRPr="002F7E69" w14:paraId="6EFE81F2" w14:textId="77777777" w:rsidTr="00415EEB">
      <w:trPr>
        <w:trHeight w:val="371"/>
      </w:trPr>
      <w:tc>
        <w:tcPr>
          <w:tcW w:w="2410" w:type="dxa"/>
          <w:vAlign w:val="center"/>
          <w:hideMark/>
        </w:tcPr>
        <w:p w14:paraId="3384A287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Aprobación: 31/08/1998</w:t>
          </w:r>
        </w:p>
      </w:tc>
      <w:tc>
        <w:tcPr>
          <w:tcW w:w="5495" w:type="dxa"/>
          <w:vMerge/>
          <w:vAlign w:val="center"/>
          <w:hideMark/>
        </w:tcPr>
        <w:p w14:paraId="025BF1E2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51" w:type="dxa"/>
          <w:vMerge/>
          <w:vAlign w:val="center"/>
          <w:hideMark/>
        </w:tcPr>
        <w:p w14:paraId="1C5B209A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  <w:tr w:rsidR="00B66745" w:rsidRPr="002F7E69" w14:paraId="6A579AA2" w14:textId="77777777" w:rsidTr="00415EEB">
      <w:trPr>
        <w:trHeight w:val="371"/>
      </w:trPr>
      <w:tc>
        <w:tcPr>
          <w:tcW w:w="2410" w:type="dxa"/>
          <w:vAlign w:val="center"/>
          <w:hideMark/>
        </w:tcPr>
        <w:p w14:paraId="34CC1521" w14:textId="77777777" w:rsidR="00B66745" w:rsidRPr="006822A7" w:rsidRDefault="00B66745" w:rsidP="00B66745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  <w:r w:rsidRPr="006822A7"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/>
            </w:rPr>
            <w:t>Vigencia: 16/09/1998</w:t>
          </w:r>
        </w:p>
      </w:tc>
      <w:tc>
        <w:tcPr>
          <w:tcW w:w="5495" w:type="dxa"/>
          <w:vMerge/>
          <w:vAlign w:val="center"/>
          <w:hideMark/>
        </w:tcPr>
        <w:p w14:paraId="14536257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  <w:tc>
        <w:tcPr>
          <w:tcW w:w="1451" w:type="dxa"/>
          <w:vMerge/>
          <w:vAlign w:val="center"/>
          <w:hideMark/>
        </w:tcPr>
        <w:p w14:paraId="5DF064CB" w14:textId="77777777" w:rsidR="00B66745" w:rsidRPr="006822A7" w:rsidRDefault="00B66745" w:rsidP="00B66745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  <w:lang w:val="es-MX" w:eastAsia="es-ES"/>
            </w:rPr>
          </w:pPr>
        </w:p>
      </w:tc>
    </w:tr>
  </w:tbl>
  <w:p w14:paraId="56EBE09A" w14:textId="52452080" w:rsidR="00251A73" w:rsidRPr="006822A7" w:rsidRDefault="00251A73" w:rsidP="00B66745">
    <w:pPr>
      <w:pStyle w:val="Encabezado"/>
      <w:rPr>
        <w:rStyle w:val="Estilo1"/>
        <w:rFonts w:asciiTheme="minorHAnsi" w:hAnsiTheme="minorHAnsi"/>
        <w:b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tblInd w:w="-34" w:type="dxa"/>
      <w:tblLook w:val="04A0" w:firstRow="1" w:lastRow="0" w:firstColumn="1" w:lastColumn="0" w:noHBand="0" w:noVBand="1"/>
    </w:tblPr>
    <w:tblGrid>
      <w:gridCol w:w="9068"/>
      <w:gridCol w:w="1559"/>
    </w:tblGrid>
    <w:tr w:rsidR="00414DDD" w:rsidRPr="00C477B5" w14:paraId="05844F42" w14:textId="77777777" w:rsidTr="009A66B6">
      <w:trPr>
        <w:trHeight w:val="366"/>
      </w:trPr>
      <w:tc>
        <w:tcPr>
          <w:tcW w:w="9068" w:type="dxa"/>
          <w:vAlign w:val="center"/>
        </w:tcPr>
        <w:p w14:paraId="0A0040BA" w14:textId="616CFFFA" w:rsidR="00172B31" w:rsidRPr="001C0F34" w:rsidRDefault="00172B31" w:rsidP="00172B31">
          <w:pPr>
            <w:pStyle w:val="Encabezado"/>
            <w:jc w:val="both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1C0F34">
            <w:rPr>
              <w:rFonts w:ascii="Museo Sans 300" w:hAnsi="Museo Sans 300" w:cs="Arial"/>
              <w:b/>
              <w:noProof/>
              <w:color w:val="818284"/>
              <w:sz w:val="18"/>
              <w:szCs w:val="18"/>
            </w:rPr>
            <w:drawing>
              <wp:anchor distT="0" distB="0" distL="114300" distR="114300" simplePos="0" relativeHeight="251678720" behindDoc="0" locked="0" layoutInCell="1" allowOverlap="1" wp14:anchorId="42E8B23C" wp14:editId="740A8082">
                <wp:simplePos x="0" y="0"/>
                <wp:positionH relativeFrom="margin">
                  <wp:posOffset>4778328</wp:posOffset>
                </wp:positionH>
                <wp:positionV relativeFrom="paragraph">
                  <wp:posOffset>-3810</wp:posOffset>
                </wp:positionV>
                <wp:extent cx="966470" cy="650875"/>
                <wp:effectExtent l="0" t="0" r="5080" b="0"/>
                <wp:wrapThrough wrapText="bothSides">
                  <wp:wrapPolygon edited="0">
                    <wp:start x="0" y="0"/>
                    <wp:lineTo x="0" y="20862"/>
                    <wp:lineTo x="21288" y="20862"/>
                    <wp:lineTo x="21288" y="0"/>
                    <wp:lineTo x="0" y="0"/>
                  </wp:wrapPolygon>
                </wp:wrapThrough>
                <wp:docPr id="12" name="Imagen 12" descr="http://bcr.intranet/imagenes/PLANTILLAS%20ppt-06(1)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E6D6A9-0572-4974-9FF1-12DC6B3650B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http://bcr.intranet/imagenes/PLANTILLAS%20ppt-06(1).jpg">
                          <a:extLst>
                            <a:ext uri="{FF2B5EF4-FFF2-40B4-BE49-F238E27FC236}">
                              <a16:creationId xmlns:a16="http://schemas.microsoft.com/office/drawing/2014/main" id="{BBE6D6A9-0572-4974-9FF1-12DC6B3650B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DOCUMENTO COMPILADO QUE INCLUYE PROPUESTA DE MODIFICACIÓN A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 xml:space="preserve">l </w:t>
          </w:r>
          <w:r w:rsidRPr="00172B31">
            <w:rPr>
              <w:rFonts w:ascii="Museo Sans 300" w:hAnsi="Museo Sans 300" w:cs="Arial"/>
              <w:color w:val="818284"/>
              <w:sz w:val="18"/>
              <w:szCs w:val="18"/>
            </w:rPr>
            <w:t xml:space="preserve">INSTRUCTIVO PARA LA ENAJENACIÓN Y ADQUISICIÓN  DE BIENES POR SOCIEDADES DE SEGUROS 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(N</w:t>
          </w:r>
          <w:r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S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P</w:t>
          </w:r>
          <w:r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4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-0</w:t>
          </w:r>
          <w:r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6</w:t>
          </w:r>
          <w:r w:rsidRPr="00CA1511">
            <w:rPr>
              <w:rFonts w:ascii="Museo Sans 300" w:hAnsi="Museo Sans 300" w:cs="Arial"/>
              <w:b/>
              <w:bCs/>
              <w:color w:val="818284"/>
              <w:sz w:val="18"/>
              <w:szCs w:val="18"/>
            </w:rPr>
            <w:t>)</w:t>
          </w:r>
          <w:r w:rsidRPr="00703C75">
            <w:rPr>
              <w:rFonts w:ascii="Museo Sans 300" w:hAnsi="Museo Sans 300" w:cs="Arial"/>
              <w:color w:val="818284"/>
              <w:sz w:val="18"/>
              <w:szCs w:val="18"/>
            </w:rPr>
            <w:t>,</w:t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 xml:space="preserve"> 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 xml:space="preserve">EN SUS ROMANOS III Y IV </w:t>
          </w:r>
          <w:r w:rsidRPr="00853D31">
            <w:rPr>
              <w:rFonts w:ascii="Museo Sans 300" w:hAnsi="Museo Sans 300" w:cs="Arial"/>
              <w:color w:val="818284"/>
              <w:sz w:val="18"/>
              <w:szCs w:val="18"/>
            </w:rPr>
            <w:t>SOMETIDOS A CONSULTA.</w:t>
          </w:r>
        </w:p>
        <w:p w14:paraId="46BFD525" w14:textId="77777777" w:rsidR="00172B31" w:rsidRPr="001C0F34" w:rsidRDefault="00172B31" w:rsidP="00172B31">
          <w:pPr>
            <w:pStyle w:val="Encabezado"/>
            <w:rPr>
              <w:rFonts w:ascii="Museo Sans 300" w:hAnsi="Museo Sans 300" w:cs="Arial"/>
              <w:color w:val="818284"/>
              <w:sz w:val="18"/>
              <w:szCs w:val="18"/>
            </w:rPr>
          </w:pP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“Versión para comentarios”</w:t>
          </w:r>
          <w:r w:rsidRPr="001C0F34">
            <w:rPr>
              <w:rFonts w:ascii="Museo Sans 300" w:hAnsi="Museo Sans 300"/>
              <w:noProof/>
              <w:sz w:val="18"/>
              <w:szCs w:val="18"/>
            </w:rPr>
            <w:t xml:space="preserve"> </w:t>
          </w:r>
        </w:p>
        <w:p w14:paraId="4860C169" w14:textId="77777777" w:rsidR="00172B31" w:rsidRPr="00681F72" w:rsidRDefault="00172B31" w:rsidP="00172B31">
          <w:pPr>
            <w:pStyle w:val="Encabezado"/>
            <w:rPr>
              <w:rFonts w:ascii="Museo Sans 300" w:hAnsi="Museo Sans 300" w:cs="Arial"/>
              <w:color w:val="818284"/>
              <w:sz w:val="18"/>
              <w:szCs w:val="18"/>
            </w:rPr>
          </w:pPr>
          <w:r>
            <w:rPr>
              <w:rFonts w:ascii="Museo Sans 300" w:hAnsi="Museo Sans 300" w:cs="Arial"/>
              <w:color w:val="818284"/>
              <w:sz w:val="18"/>
              <w:szCs w:val="18"/>
            </w:rPr>
            <w:t>XX</w:t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-</w:t>
          </w:r>
          <w:r>
            <w:rPr>
              <w:rFonts w:ascii="Museo Sans 300" w:hAnsi="Museo Sans 300" w:cs="Arial"/>
              <w:color w:val="818284"/>
              <w:sz w:val="18"/>
              <w:szCs w:val="18"/>
            </w:rPr>
            <w:t>XX</w:t>
          </w:r>
          <w:r w:rsidRPr="001C0F34">
            <w:rPr>
              <w:rFonts w:ascii="Museo Sans 300" w:hAnsi="Museo Sans 300" w:cs="Arial"/>
              <w:color w:val="818284"/>
              <w:sz w:val="18"/>
              <w:szCs w:val="18"/>
            </w:rPr>
            <w:t>-2021</w:t>
          </w:r>
        </w:p>
        <w:p w14:paraId="5001499A" w14:textId="0039DE48" w:rsidR="00414DDD" w:rsidRPr="00C477B5" w:rsidRDefault="00172B31" w:rsidP="00414DDD">
          <w:pPr>
            <w:pStyle w:val="Encabezado"/>
            <w:rPr>
              <w:rFonts w:ascii="Museo Sans 300" w:hAnsi="Museo Sans 300"/>
            </w:rPr>
          </w:pPr>
          <w:r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4711128C" wp14:editId="75016D02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16510</wp:posOffset>
                    </wp:positionV>
                    <wp:extent cx="5830570" cy="12065"/>
                    <wp:effectExtent l="19050" t="19050" r="17780" b="2603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30570" cy="1206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35D12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.25pt;margin-top:1.3pt;width:459.1pt;height: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" strokecolor="#4f81bd [3204]" strokeweight="3pt">
                    <v:shadow color="#868686"/>
                  </v:shape>
                </w:pict>
              </mc:Fallback>
            </mc:AlternateContent>
          </w:r>
        </w:p>
      </w:tc>
      <w:tc>
        <w:tcPr>
          <w:tcW w:w="1559" w:type="dxa"/>
          <w:vAlign w:val="center"/>
        </w:tcPr>
        <w:p w14:paraId="5C7166DF" w14:textId="77777777" w:rsidR="00414DDD" w:rsidRPr="00C477B5" w:rsidRDefault="00414DDD" w:rsidP="00414DDD">
          <w:pPr>
            <w:pStyle w:val="Encabezado"/>
            <w:rPr>
              <w:rFonts w:ascii="Museo Sans 300" w:hAnsi="Museo Sans 300"/>
            </w:rPr>
          </w:pPr>
        </w:p>
      </w:tc>
    </w:tr>
  </w:tbl>
  <w:p w14:paraId="38414856" w14:textId="77777777" w:rsidR="00414DDD" w:rsidRDefault="00414DDD" w:rsidP="00172B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FD893D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455847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D44E1"/>
    <w:multiLevelType w:val="hybridMultilevel"/>
    <w:tmpl w:val="0DE42B1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E013E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1" w:hanging="360"/>
      </w:pPr>
    </w:lvl>
    <w:lvl w:ilvl="1" w:tplc="440A0019" w:tentative="1">
      <w:start w:val="1"/>
      <w:numFmt w:val="lowerLetter"/>
      <w:lvlText w:val="%2."/>
      <w:lvlJc w:val="left"/>
      <w:pPr>
        <w:ind w:left="731" w:hanging="360"/>
      </w:pPr>
    </w:lvl>
    <w:lvl w:ilvl="2" w:tplc="440A001B" w:tentative="1">
      <w:start w:val="1"/>
      <w:numFmt w:val="lowerRoman"/>
      <w:lvlText w:val="%3."/>
      <w:lvlJc w:val="right"/>
      <w:pPr>
        <w:ind w:left="1451" w:hanging="180"/>
      </w:pPr>
    </w:lvl>
    <w:lvl w:ilvl="3" w:tplc="440A000F" w:tentative="1">
      <w:start w:val="1"/>
      <w:numFmt w:val="decimal"/>
      <w:lvlText w:val="%4."/>
      <w:lvlJc w:val="left"/>
      <w:pPr>
        <w:ind w:left="2171" w:hanging="360"/>
      </w:pPr>
    </w:lvl>
    <w:lvl w:ilvl="4" w:tplc="440A0019" w:tentative="1">
      <w:start w:val="1"/>
      <w:numFmt w:val="lowerLetter"/>
      <w:lvlText w:val="%5."/>
      <w:lvlJc w:val="left"/>
      <w:pPr>
        <w:ind w:left="2891" w:hanging="360"/>
      </w:pPr>
    </w:lvl>
    <w:lvl w:ilvl="5" w:tplc="440A001B" w:tentative="1">
      <w:start w:val="1"/>
      <w:numFmt w:val="lowerRoman"/>
      <w:lvlText w:val="%6."/>
      <w:lvlJc w:val="right"/>
      <w:pPr>
        <w:ind w:left="3611" w:hanging="180"/>
      </w:pPr>
    </w:lvl>
    <w:lvl w:ilvl="6" w:tplc="440A000F" w:tentative="1">
      <w:start w:val="1"/>
      <w:numFmt w:val="decimal"/>
      <w:lvlText w:val="%7."/>
      <w:lvlJc w:val="left"/>
      <w:pPr>
        <w:ind w:left="4331" w:hanging="360"/>
      </w:pPr>
    </w:lvl>
    <w:lvl w:ilvl="7" w:tplc="440A0019" w:tentative="1">
      <w:start w:val="1"/>
      <w:numFmt w:val="lowerLetter"/>
      <w:lvlText w:val="%8."/>
      <w:lvlJc w:val="left"/>
      <w:pPr>
        <w:ind w:left="5051" w:hanging="360"/>
      </w:pPr>
    </w:lvl>
    <w:lvl w:ilvl="8" w:tplc="4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095F37DC"/>
    <w:multiLevelType w:val="hybridMultilevel"/>
    <w:tmpl w:val="4CEEA358"/>
    <w:lvl w:ilvl="0" w:tplc="DE420D80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856" w:hanging="360"/>
      </w:pPr>
    </w:lvl>
    <w:lvl w:ilvl="2" w:tplc="440A001B" w:tentative="1">
      <w:start w:val="1"/>
      <w:numFmt w:val="lowerRoman"/>
      <w:lvlText w:val="%3."/>
      <w:lvlJc w:val="right"/>
      <w:pPr>
        <w:ind w:left="3576" w:hanging="180"/>
      </w:pPr>
    </w:lvl>
    <w:lvl w:ilvl="3" w:tplc="440A000F" w:tentative="1">
      <w:start w:val="1"/>
      <w:numFmt w:val="decimal"/>
      <w:lvlText w:val="%4."/>
      <w:lvlJc w:val="left"/>
      <w:pPr>
        <w:ind w:left="4296" w:hanging="360"/>
      </w:pPr>
    </w:lvl>
    <w:lvl w:ilvl="4" w:tplc="440A0019" w:tentative="1">
      <w:start w:val="1"/>
      <w:numFmt w:val="lowerLetter"/>
      <w:lvlText w:val="%5."/>
      <w:lvlJc w:val="left"/>
      <w:pPr>
        <w:ind w:left="5016" w:hanging="360"/>
      </w:pPr>
    </w:lvl>
    <w:lvl w:ilvl="5" w:tplc="440A001B" w:tentative="1">
      <w:start w:val="1"/>
      <w:numFmt w:val="lowerRoman"/>
      <w:lvlText w:val="%6."/>
      <w:lvlJc w:val="right"/>
      <w:pPr>
        <w:ind w:left="5736" w:hanging="180"/>
      </w:pPr>
    </w:lvl>
    <w:lvl w:ilvl="6" w:tplc="440A000F" w:tentative="1">
      <w:start w:val="1"/>
      <w:numFmt w:val="decimal"/>
      <w:lvlText w:val="%7."/>
      <w:lvlJc w:val="left"/>
      <w:pPr>
        <w:ind w:left="6456" w:hanging="360"/>
      </w:pPr>
    </w:lvl>
    <w:lvl w:ilvl="7" w:tplc="440A0019" w:tentative="1">
      <w:start w:val="1"/>
      <w:numFmt w:val="lowerLetter"/>
      <w:lvlText w:val="%8."/>
      <w:lvlJc w:val="left"/>
      <w:pPr>
        <w:ind w:left="7176" w:hanging="360"/>
      </w:pPr>
    </w:lvl>
    <w:lvl w:ilvl="8" w:tplc="4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D436D38"/>
    <w:multiLevelType w:val="hybridMultilevel"/>
    <w:tmpl w:val="B6EC2120"/>
    <w:lvl w:ilvl="0" w:tplc="1B02A240">
      <w:start w:val="1"/>
      <w:numFmt w:val="decimal"/>
      <w:suff w:val="space"/>
      <w:lvlText w:val="Art. %1.-"/>
      <w:lvlJc w:val="left"/>
      <w:pPr>
        <w:ind w:left="360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46321"/>
    <w:multiLevelType w:val="hybridMultilevel"/>
    <w:tmpl w:val="9AA2DAFA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612AD9"/>
    <w:multiLevelType w:val="hybridMultilevel"/>
    <w:tmpl w:val="C4B2522C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DE420D80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07A3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19B4"/>
    <w:multiLevelType w:val="hybridMultilevel"/>
    <w:tmpl w:val="89AE5D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3C8F"/>
    <w:multiLevelType w:val="hybridMultilevel"/>
    <w:tmpl w:val="FD1CA15A"/>
    <w:lvl w:ilvl="0" w:tplc="797E769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80F01"/>
    <w:multiLevelType w:val="hybridMultilevel"/>
    <w:tmpl w:val="9678110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92A31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A3238"/>
    <w:multiLevelType w:val="hybridMultilevel"/>
    <w:tmpl w:val="3ADC5B26"/>
    <w:lvl w:ilvl="0" w:tplc="39F034B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5C9F"/>
    <w:multiLevelType w:val="hybridMultilevel"/>
    <w:tmpl w:val="FDD22D9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6D11"/>
    <w:multiLevelType w:val="hybridMultilevel"/>
    <w:tmpl w:val="CE6209D4"/>
    <w:lvl w:ilvl="0" w:tplc="DE420D80">
      <w:start w:val="1"/>
      <w:numFmt w:val="lowerRoman"/>
      <w:lvlText w:val="%1."/>
      <w:lvlJc w:val="left"/>
      <w:pPr>
        <w:ind w:left="171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33" w:hanging="360"/>
      </w:pPr>
    </w:lvl>
    <w:lvl w:ilvl="2" w:tplc="440A001B" w:tentative="1">
      <w:start w:val="1"/>
      <w:numFmt w:val="lowerRoman"/>
      <w:lvlText w:val="%3."/>
      <w:lvlJc w:val="right"/>
      <w:pPr>
        <w:ind w:left="3153" w:hanging="180"/>
      </w:pPr>
    </w:lvl>
    <w:lvl w:ilvl="3" w:tplc="440A000F" w:tentative="1">
      <w:start w:val="1"/>
      <w:numFmt w:val="decimal"/>
      <w:lvlText w:val="%4."/>
      <w:lvlJc w:val="left"/>
      <w:pPr>
        <w:ind w:left="3873" w:hanging="360"/>
      </w:pPr>
    </w:lvl>
    <w:lvl w:ilvl="4" w:tplc="440A0019" w:tentative="1">
      <w:start w:val="1"/>
      <w:numFmt w:val="lowerLetter"/>
      <w:lvlText w:val="%5."/>
      <w:lvlJc w:val="left"/>
      <w:pPr>
        <w:ind w:left="4593" w:hanging="360"/>
      </w:pPr>
    </w:lvl>
    <w:lvl w:ilvl="5" w:tplc="440A001B" w:tentative="1">
      <w:start w:val="1"/>
      <w:numFmt w:val="lowerRoman"/>
      <w:lvlText w:val="%6."/>
      <w:lvlJc w:val="right"/>
      <w:pPr>
        <w:ind w:left="5313" w:hanging="180"/>
      </w:pPr>
    </w:lvl>
    <w:lvl w:ilvl="6" w:tplc="440A000F" w:tentative="1">
      <w:start w:val="1"/>
      <w:numFmt w:val="decimal"/>
      <w:lvlText w:val="%7."/>
      <w:lvlJc w:val="left"/>
      <w:pPr>
        <w:ind w:left="6033" w:hanging="360"/>
      </w:pPr>
    </w:lvl>
    <w:lvl w:ilvl="7" w:tplc="440A0019" w:tentative="1">
      <w:start w:val="1"/>
      <w:numFmt w:val="lowerLetter"/>
      <w:lvlText w:val="%8."/>
      <w:lvlJc w:val="left"/>
      <w:pPr>
        <w:ind w:left="6753" w:hanging="360"/>
      </w:pPr>
    </w:lvl>
    <w:lvl w:ilvl="8" w:tplc="4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71620EF"/>
    <w:multiLevelType w:val="hybridMultilevel"/>
    <w:tmpl w:val="DE46AD14"/>
    <w:lvl w:ilvl="0" w:tplc="2EA24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7320B"/>
    <w:multiLevelType w:val="hybridMultilevel"/>
    <w:tmpl w:val="3ADC5B26"/>
    <w:lvl w:ilvl="0" w:tplc="39F034B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E6D55"/>
    <w:multiLevelType w:val="hybridMultilevel"/>
    <w:tmpl w:val="BFB64492"/>
    <w:lvl w:ilvl="0" w:tplc="1D28F1D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1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C23EA"/>
    <w:multiLevelType w:val="hybridMultilevel"/>
    <w:tmpl w:val="26FC054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B6472"/>
    <w:multiLevelType w:val="hybridMultilevel"/>
    <w:tmpl w:val="49E09FE2"/>
    <w:lvl w:ilvl="0" w:tplc="9120008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5072"/>
    <w:multiLevelType w:val="hybridMultilevel"/>
    <w:tmpl w:val="323C7854"/>
    <w:lvl w:ilvl="0" w:tplc="440A000F">
      <w:start w:val="1"/>
      <w:numFmt w:val="decimal"/>
      <w:lvlText w:val="%1."/>
      <w:lvlJc w:val="left"/>
      <w:pPr>
        <w:ind w:left="718" w:hanging="360"/>
      </w:pPr>
    </w:lvl>
    <w:lvl w:ilvl="1" w:tplc="440A0019" w:tentative="1">
      <w:start w:val="1"/>
      <w:numFmt w:val="lowerLetter"/>
      <w:lvlText w:val="%2."/>
      <w:lvlJc w:val="left"/>
      <w:pPr>
        <w:ind w:left="1438" w:hanging="360"/>
      </w:pPr>
    </w:lvl>
    <w:lvl w:ilvl="2" w:tplc="440A001B" w:tentative="1">
      <w:start w:val="1"/>
      <w:numFmt w:val="lowerRoman"/>
      <w:lvlText w:val="%3."/>
      <w:lvlJc w:val="right"/>
      <w:pPr>
        <w:ind w:left="2158" w:hanging="180"/>
      </w:pPr>
    </w:lvl>
    <w:lvl w:ilvl="3" w:tplc="440A000F" w:tentative="1">
      <w:start w:val="1"/>
      <w:numFmt w:val="decimal"/>
      <w:lvlText w:val="%4."/>
      <w:lvlJc w:val="left"/>
      <w:pPr>
        <w:ind w:left="2878" w:hanging="360"/>
      </w:pPr>
    </w:lvl>
    <w:lvl w:ilvl="4" w:tplc="440A0019" w:tentative="1">
      <w:start w:val="1"/>
      <w:numFmt w:val="lowerLetter"/>
      <w:lvlText w:val="%5."/>
      <w:lvlJc w:val="left"/>
      <w:pPr>
        <w:ind w:left="3598" w:hanging="360"/>
      </w:pPr>
    </w:lvl>
    <w:lvl w:ilvl="5" w:tplc="440A001B" w:tentative="1">
      <w:start w:val="1"/>
      <w:numFmt w:val="lowerRoman"/>
      <w:lvlText w:val="%6."/>
      <w:lvlJc w:val="right"/>
      <w:pPr>
        <w:ind w:left="4318" w:hanging="180"/>
      </w:pPr>
    </w:lvl>
    <w:lvl w:ilvl="6" w:tplc="440A000F" w:tentative="1">
      <w:start w:val="1"/>
      <w:numFmt w:val="decimal"/>
      <w:lvlText w:val="%7."/>
      <w:lvlJc w:val="left"/>
      <w:pPr>
        <w:ind w:left="5038" w:hanging="360"/>
      </w:pPr>
    </w:lvl>
    <w:lvl w:ilvl="7" w:tplc="440A0019" w:tentative="1">
      <w:start w:val="1"/>
      <w:numFmt w:val="lowerLetter"/>
      <w:lvlText w:val="%8."/>
      <w:lvlJc w:val="left"/>
      <w:pPr>
        <w:ind w:left="5758" w:hanging="360"/>
      </w:pPr>
    </w:lvl>
    <w:lvl w:ilvl="8" w:tplc="4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7B007466"/>
    <w:multiLevelType w:val="hybridMultilevel"/>
    <w:tmpl w:val="7F765BFE"/>
    <w:lvl w:ilvl="0" w:tplc="32C87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27669">
    <w:abstractNumId w:val="17"/>
  </w:num>
  <w:num w:numId="2" w16cid:durableId="2053458359">
    <w:abstractNumId w:val="0"/>
  </w:num>
  <w:num w:numId="3" w16cid:durableId="1589847378">
    <w:abstractNumId w:val="2"/>
  </w:num>
  <w:num w:numId="4" w16cid:durableId="1647976413">
    <w:abstractNumId w:val="11"/>
  </w:num>
  <w:num w:numId="5" w16cid:durableId="931669291">
    <w:abstractNumId w:val="20"/>
  </w:num>
  <w:num w:numId="6" w16cid:durableId="1777631131">
    <w:abstractNumId w:val="22"/>
  </w:num>
  <w:num w:numId="7" w16cid:durableId="1393120687">
    <w:abstractNumId w:val="7"/>
  </w:num>
  <w:num w:numId="8" w16cid:durableId="274102056">
    <w:abstractNumId w:val="15"/>
  </w:num>
  <w:num w:numId="9" w16cid:durableId="1727606748">
    <w:abstractNumId w:val="4"/>
  </w:num>
  <w:num w:numId="10" w16cid:durableId="341854484">
    <w:abstractNumId w:val="21"/>
  </w:num>
  <w:num w:numId="11" w16cid:durableId="503936495">
    <w:abstractNumId w:val="14"/>
  </w:num>
  <w:num w:numId="12" w16cid:durableId="1572110123">
    <w:abstractNumId w:val="8"/>
  </w:num>
  <w:num w:numId="13" w16cid:durableId="15692097">
    <w:abstractNumId w:val="5"/>
  </w:num>
  <w:num w:numId="14" w16cid:durableId="567422629">
    <w:abstractNumId w:val="12"/>
  </w:num>
  <w:num w:numId="15" w16cid:durableId="1629429229">
    <w:abstractNumId w:val="6"/>
  </w:num>
  <w:num w:numId="16" w16cid:durableId="1898512909">
    <w:abstractNumId w:val="19"/>
  </w:num>
  <w:num w:numId="17" w16cid:durableId="455174384">
    <w:abstractNumId w:val="9"/>
  </w:num>
  <w:num w:numId="18" w16cid:durableId="1753816553">
    <w:abstractNumId w:val="13"/>
  </w:num>
  <w:num w:numId="19" w16cid:durableId="900873178">
    <w:abstractNumId w:val="3"/>
  </w:num>
  <w:num w:numId="20" w16cid:durableId="1282302822">
    <w:abstractNumId w:val="1"/>
  </w:num>
  <w:num w:numId="21" w16cid:durableId="1733000778">
    <w:abstractNumId w:val="18"/>
  </w:num>
  <w:num w:numId="22" w16cid:durableId="2072577482">
    <w:abstractNumId w:val="10"/>
  </w:num>
  <w:num w:numId="23" w16cid:durableId="767383718">
    <w:abstractNumId w:val="23"/>
  </w:num>
  <w:num w:numId="24" w16cid:durableId="149922567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F4"/>
    <w:rsid w:val="0000201A"/>
    <w:rsid w:val="00011C94"/>
    <w:rsid w:val="000143C9"/>
    <w:rsid w:val="00026A00"/>
    <w:rsid w:val="00031A8E"/>
    <w:rsid w:val="00035712"/>
    <w:rsid w:val="00035E8D"/>
    <w:rsid w:val="000518C8"/>
    <w:rsid w:val="00054A3B"/>
    <w:rsid w:val="00057581"/>
    <w:rsid w:val="000610C5"/>
    <w:rsid w:val="00063856"/>
    <w:rsid w:val="00065D35"/>
    <w:rsid w:val="000742E6"/>
    <w:rsid w:val="00075977"/>
    <w:rsid w:val="00081E48"/>
    <w:rsid w:val="00092306"/>
    <w:rsid w:val="00093A50"/>
    <w:rsid w:val="0009719F"/>
    <w:rsid w:val="00097A37"/>
    <w:rsid w:val="000A5703"/>
    <w:rsid w:val="000C4473"/>
    <w:rsid w:val="000C4C94"/>
    <w:rsid w:val="000C52E2"/>
    <w:rsid w:val="000C71A9"/>
    <w:rsid w:val="000D17B3"/>
    <w:rsid w:val="000E07C9"/>
    <w:rsid w:val="000E2A4A"/>
    <w:rsid w:val="000F3A4A"/>
    <w:rsid w:val="0011059A"/>
    <w:rsid w:val="00114C3D"/>
    <w:rsid w:val="001207FE"/>
    <w:rsid w:val="001317CB"/>
    <w:rsid w:val="00134137"/>
    <w:rsid w:val="001436E5"/>
    <w:rsid w:val="00162B08"/>
    <w:rsid w:val="001654AF"/>
    <w:rsid w:val="0016788E"/>
    <w:rsid w:val="00172B31"/>
    <w:rsid w:val="00183582"/>
    <w:rsid w:val="001847C5"/>
    <w:rsid w:val="00184C2A"/>
    <w:rsid w:val="001906A8"/>
    <w:rsid w:val="001A12DD"/>
    <w:rsid w:val="001A1CDF"/>
    <w:rsid w:val="001A31ED"/>
    <w:rsid w:val="001A4D40"/>
    <w:rsid w:val="001A5592"/>
    <w:rsid w:val="001B2411"/>
    <w:rsid w:val="001B4297"/>
    <w:rsid w:val="001B6A2E"/>
    <w:rsid w:val="001B7014"/>
    <w:rsid w:val="001E65BF"/>
    <w:rsid w:val="001E670C"/>
    <w:rsid w:val="00200D4C"/>
    <w:rsid w:val="00224EB8"/>
    <w:rsid w:val="0023165F"/>
    <w:rsid w:val="0023699D"/>
    <w:rsid w:val="002427D4"/>
    <w:rsid w:val="00251A73"/>
    <w:rsid w:val="00253AE0"/>
    <w:rsid w:val="002605F7"/>
    <w:rsid w:val="00276262"/>
    <w:rsid w:val="00277D4E"/>
    <w:rsid w:val="00285C97"/>
    <w:rsid w:val="00287378"/>
    <w:rsid w:val="0029357E"/>
    <w:rsid w:val="002A4B22"/>
    <w:rsid w:val="002B2994"/>
    <w:rsid w:val="002B383F"/>
    <w:rsid w:val="002C6D80"/>
    <w:rsid w:val="002D21A5"/>
    <w:rsid w:val="002D4023"/>
    <w:rsid w:val="002E509D"/>
    <w:rsid w:val="002E6468"/>
    <w:rsid w:val="002F244B"/>
    <w:rsid w:val="002F7E69"/>
    <w:rsid w:val="00303D37"/>
    <w:rsid w:val="00306C4B"/>
    <w:rsid w:val="003119D9"/>
    <w:rsid w:val="0032443B"/>
    <w:rsid w:val="00330A11"/>
    <w:rsid w:val="00335AFC"/>
    <w:rsid w:val="00367707"/>
    <w:rsid w:val="003772F4"/>
    <w:rsid w:val="003963D4"/>
    <w:rsid w:val="003A379E"/>
    <w:rsid w:val="003A7EFB"/>
    <w:rsid w:val="003B223C"/>
    <w:rsid w:val="003C37E2"/>
    <w:rsid w:val="003C7CE2"/>
    <w:rsid w:val="003D1062"/>
    <w:rsid w:val="003E2F1C"/>
    <w:rsid w:val="003F0F44"/>
    <w:rsid w:val="003F3418"/>
    <w:rsid w:val="003F6771"/>
    <w:rsid w:val="003F7FFA"/>
    <w:rsid w:val="00403BA6"/>
    <w:rsid w:val="00405821"/>
    <w:rsid w:val="00406E8E"/>
    <w:rsid w:val="004077F4"/>
    <w:rsid w:val="00407F5F"/>
    <w:rsid w:val="00414DDD"/>
    <w:rsid w:val="00415BD0"/>
    <w:rsid w:val="0042720F"/>
    <w:rsid w:val="0043228C"/>
    <w:rsid w:val="0044191D"/>
    <w:rsid w:val="00444DA2"/>
    <w:rsid w:val="004637C1"/>
    <w:rsid w:val="00472D10"/>
    <w:rsid w:val="00475D6A"/>
    <w:rsid w:val="004874E0"/>
    <w:rsid w:val="00494E01"/>
    <w:rsid w:val="00494FF2"/>
    <w:rsid w:val="004A467E"/>
    <w:rsid w:val="004A731D"/>
    <w:rsid w:val="004B02EB"/>
    <w:rsid w:val="004B37E7"/>
    <w:rsid w:val="004B735B"/>
    <w:rsid w:val="004C365B"/>
    <w:rsid w:val="004C3E34"/>
    <w:rsid w:val="004C51D6"/>
    <w:rsid w:val="004C6251"/>
    <w:rsid w:val="004C73DA"/>
    <w:rsid w:val="004D0961"/>
    <w:rsid w:val="004D24E1"/>
    <w:rsid w:val="004D6F9A"/>
    <w:rsid w:val="004E08B4"/>
    <w:rsid w:val="004E2D1C"/>
    <w:rsid w:val="004E7389"/>
    <w:rsid w:val="004F29D7"/>
    <w:rsid w:val="00501A05"/>
    <w:rsid w:val="00501E14"/>
    <w:rsid w:val="00514744"/>
    <w:rsid w:val="00520511"/>
    <w:rsid w:val="00530CD5"/>
    <w:rsid w:val="00537F50"/>
    <w:rsid w:val="005520AE"/>
    <w:rsid w:val="00554AA8"/>
    <w:rsid w:val="0057165C"/>
    <w:rsid w:val="0057249E"/>
    <w:rsid w:val="00572518"/>
    <w:rsid w:val="00572CAB"/>
    <w:rsid w:val="00574D24"/>
    <w:rsid w:val="00584F78"/>
    <w:rsid w:val="00590DA7"/>
    <w:rsid w:val="00592430"/>
    <w:rsid w:val="00596A51"/>
    <w:rsid w:val="005A0A26"/>
    <w:rsid w:val="005A68E0"/>
    <w:rsid w:val="005B12B2"/>
    <w:rsid w:val="005B136B"/>
    <w:rsid w:val="005B2C10"/>
    <w:rsid w:val="005B6CFF"/>
    <w:rsid w:val="005C5074"/>
    <w:rsid w:val="005C5810"/>
    <w:rsid w:val="005C58F2"/>
    <w:rsid w:val="005C72FD"/>
    <w:rsid w:val="005E056E"/>
    <w:rsid w:val="005E1AE5"/>
    <w:rsid w:val="006028FB"/>
    <w:rsid w:val="00604C7C"/>
    <w:rsid w:val="00605F83"/>
    <w:rsid w:val="00633248"/>
    <w:rsid w:val="006372AD"/>
    <w:rsid w:val="006375D1"/>
    <w:rsid w:val="0063798C"/>
    <w:rsid w:val="0064003D"/>
    <w:rsid w:val="0064120F"/>
    <w:rsid w:val="00641A56"/>
    <w:rsid w:val="00641FBC"/>
    <w:rsid w:val="00650CD1"/>
    <w:rsid w:val="00651ED1"/>
    <w:rsid w:val="00662EDB"/>
    <w:rsid w:val="00665089"/>
    <w:rsid w:val="0066609C"/>
    <w:rsid w:val="00670348"/>
    <w:rsid w:val="006716B4"/>
    <w:rsid w:val="00672A4B"/>
    <w:rsid w:val="006822A7"/>
    <w:rsid w:val="00687E96"/>
    <w:rsid w:val="006927B8"/>
    <w:rsid w:val="006941CC"/>
    <w:rsid w:val="0069442D"/>
    <w:rsid w:val="00694A12"/>
    <w:rsid w:val="006975D9"/>
    <w:rsid w:val="006D32E4"/>
    <w:rsid w:val="006D415C"/>
    <w:rsid w:val="006E2DD5"/>
    <w:rsid w:val="006E4BB2"/>
    <w:rsid w:val="006E6FC6"/>
    <w:rsid w:val="006F0C30"/>
    <w:rsid w:val="006F149A"/>
    <w:rsid w:val="00701998"/>
    <w:rsid w:val="00701DB0"/>
    <w:rsid w:val="007035E6"/>
    <w:rsid w:val="007133CE"/>
    <w:rsid w:val="00713A96"/>
    <w:rsid w:val="00713B05"/>
    <w:rsid w:val="00714D6B"/>
    <w:rsid w:val="00715F52"/>
    <w:rsid w:val="00720F1D"/>
    <w:rsid w:val="00732F0A"/>
    <w:rsid w:val="0073508E"/>
    <w:rsid w:val="00740CF2"/>
    <w:rsid w:val="00744BFA"/>
    <w:rsid w:val="00750A09"/>
    <w:rsid w:val="0075466A"/>
    <w:rsid w:val="00761B2B"/>
    <w:rsid w:val="0076203A"/>
    <w:rsid w:val="00774041"/>
    <w:rsid w:val="007803EF"/>
    <w:rsid w:val="00780D30"/>
    <w:rsid w:val="00785242"/>
    <w:rsid w:val="00792ED1"/>
    <w:rsid w:val="00793E61"/>
    <w:rsid w:val="00796A55"/>
    <w:rsid w:val="007A27AC"/>
    <w:rsid w:val="007A50E8"/>
    <w:rsid w:val="007B1D97"/>
    <w:rsid w:val="007B4448"/>
    <w:rsid w:val="007B540F"/>
    <w:rsid w:val="007B5A91"/>
    <w:rsid w:val="007B6CD0"/>
    <w:rsid w:val="007C35C2"/>
    <w:rsid w:val="007C38F8"/>
    <w:rsid w:val="007C7301"/>
    <w:rsid w:val="007D237C"/>
    <w:rsid w:val="007D4506"/>
    <w:rsid w:val="007D613F"/>
    <w:rsid w:val="007E452E"/>
    <w:rsid w:val="007E4A4B"/>
    <w:rsid w:val="007F2974"/>
    <w:rsid w:val="007F3040"/>
    <w:rsid w:val="00803328"/>
    <w:rsid w:val="00807E1C"/>
    <w:rsid w:val="00807F3B"/>
    <w:rsid w:val="00817D46"/>
    <w:rsid w:val="0082182C"/>
    <w:rsid w:val="008272B8"/>
    <w:rsid w:val="008344B7"/>
    <w:rsid w:val="00836A9F"/>
    <w:rsid w:val="00850B9B"/>
    <w:rsid w:val="00850F4E"/>
    <w:rsid w:val="00862A28"/>
    <w:rsid w:val="00865EAC"/>
    <w:rsid w:val="00870C23"/>
    <w:rsid w:val="008740BC"/>
    <w:rsid w:val="00876A32"/>
    <w:rsid w:val="00887016"/>
    <w:rsid w:val="0089220F"/>
    <w:rsid w:val="00892A06"/>
    <w:rsid w:val="0089697B"/>
    <w:rsid w:val="008A61EB"/>
    <w:rsid w:val="008A7833"/>
    <w:rsid w:val="008B43B0"/>
    <w:rsid w:val="008B67B6"/>
    <w:rsid w:val="008B772A"/>
    <w:rsid w:val="008C6998"/>
    <w:rsid w:val="008D0E0F"/>
    <w:rsid w:val="008D52BE"/>
    <w:rsid w:val="008D5B42"/>
    <w:rsid w:val="008D7372"/>
    <w:rsid w:val="008E00F5"/>
    <w:rsid w:val="008F35D6"/>
    <w:rsid w:val="00903B13"/>
    <w:rsid w:val="00904821"/>
    <w:rsid w:val="009075B0"/>
    <w:rsid w:val="00910A5C"/>
    <w:rsid w:val="00912571"/>
    <w:rsid w:val="00913196"/>
    <w:rsid w:val="00916E3F"/>
    <w:rsid w:val="00933644"/>
    <w:rsid w:val="009420EE"/>
    <w:rsid w:val="00942720"/>
    <w:rsid w:val="009514E6"/>
    <w:rsid w:val="00954668"/>
    <w:rsid w:val="009718AD"/>
    <w:rsid w:val="00975787"/>
    <w:rsid w:val="00976F5E"/>
    <w:rsid w:val="009800FB"/>
    <w:rsid w:val="0098390F"/>
    <w:rsid w:val="0098598A"/>
    <w:rsid w:val="00986260"/>
    <w:rsid w:val="00991378"/>
    <w:rsid w:val="0099550F"/>
    <w:rsid w:val="009A0606"/>
    <w:rsid w:val="009A1F87"/>
    <w:rsid w:val="009B1375"/>
    <w:rsid w:val="009B29E2"/>
    <w:rsid w:val="009C14BF"/>
    <w:rsid w:val="009C33BD"/>
    <w:rsid w:val="009C5482"/>
    <w:rsid w:val="009D758C"/>
    <w:rsid w:val="009E7BA3"/>
    <w:rsid w:val="009F49A1"/>
    <w:rsid w:val="009F6DEF"/>
    <w:rsid w:val="00A01B1F"/>
    <w:rsid w:val="00A0353B"/>
    <w:rsid w:val="00A10737"/>
    <w:rsid w:val="00A201BA"/>
    <w:rsid w:val="00A25E7D"/>
    <w:rsid w:val="00A318B7"/>
    <w:rsid w:val="00A31B1C"/>
    <w:rsid w:val="00A32120"/>
    <w:rsid w:val="00A344FA"/>
    <w:rsid w:val="00A374F0"/>
    <w:rsid w:val="00A65D67"/>
    <w:rsid w:val="00A66BD8"/>
    <w:rsid w:val="00A72DA5"/>
    <w:rsid w:val="00A76657"/>
    <w:rsid w:val="00A85C11"/>
    <w:rsid w:val="00A93531"/>
    <w:rsid w:val="00A93891"/>
    <w:rsid w:val="00A93D6F"/>
    <w:rsid w:val="00A968CC"/>
    <w:rsid w:val="00AA1ACF"/>
    <w:rsid w:val="00AB1857"/>
    <w:rsid w:val="00AC41DA"/>
    <w:rsid w:val="00AD533A"/>
    <w:rsid w:val="00AE0A47"/>
    <w:rsid w:val="00AE2A20"/>
    <w:rsid w:val="00AE60F5"/>
    <w:rsid w:val="00AE7A80"/>
    <w:rsid w:val="00AF3FFD"/>
    <w:rsid w:val="00B052C3"/>
    <w:rsid w:val="00B0788A"/>
    <w:rsid w:val="00B17BDF"/>
    <w:rsid w:val="00B20EC5"/>
    <w:rsid w:val="00B2636A"/>
    <w:rsid w:val="00B274DA"/>
    <w:rsid w:val="00B32DEC"/>
    <w:rsid w:val="00B41CC6"/>
    <w:rsid w:val="00B43250"/>
    <w:rsid w:val="00B45972"/>
    <w:rsid w:val="00B46D7A"/>
    <w:rsid w:val="00B47B99"/>
    <w:rsid w:val="00B50135"/>
    <w:rsid w:val="00B525FE"/>
    <w:rsid w:val="00B52B62"/>
    <w:rsid w:val="00B52EEF"/>
    <w:rsid w:val="00B558F7"/>
    <w:rsid w:val="00B56F47"/>
    <w:rsid w:val="00B57080"/>
    <w:rsid w:val="00B57B77"/>
    <w:rsid w:val="00B66745"/>
    <w:rsid w:val="00B66F73"/>
    <w:rsid w:val="00B85B9C"/>
    <w:rsid w:val="00B91943"/>
    <w:rsid w:val="00B9274B"/>
    <w:rsid w:val="00BA0B97"/>
    <w:rsid w:val="00BA112E"/>
    <w:rsid w:val="00BA2F54"/>
    <w:rsid w:val="00BA6645"/>
    <w:rsid w:val="00BB3271"/>
    <w:rsid w:val="00BB74EB"/>
    <w:rsid w:val="00BC18F6"/>
    <w:rsid w:val="00BC6C99"/>
    <w:rsid w:val="00BD0BDB"/>
    <w:rsid w:val="00BD6C22"/>
    <w:rsid w:val="00BE29B2"/>
    <w:rsid w:val="00BE5D2C"/>
    <w:rsid w:val="00BF018F"/>
    <w:rsid w:val="00BF0CFD"/>
    <w:rsid w:val="00BF6DFF"/>
    <w:rsid w:val="00C00F9C"/>
    <w:rsid w:val="00C107BB"/>
    <w:rsid w:val="00C16EF4"/>
    <w:rsid w:val="00C231D3"/>
    <w:rsid w:val="00C27878"/>
    <w:rsid w:val="00C317F4"/>
    <w:rsid w:val="00C35AB8"/>
    <w:rsid w:val="00C4420E"/>
    <w:rsid w:val="00C50599"/>
    <w:rsid w:val="00C559F4"/>
    <w:rsid w:val="00C60EDD"/>
    <w:rsid w:val="00C61850"/>
    <w:rsid w:val="00C760E2"/>
    <w:rsid w:val="00C76BEA"/>
    <w:rsid w:val="00C775F3"/>
    <w:rsid w:val="00C8174D"/>
    <w:rsid w:val="00C843CE"/>
    <w:rsid w:val="00C87162"/>
    <w:rsid w:val="00C90FFB"/>
    <w:rsid w:val="00C92D9F"/>
    <w:rsid w:val="00C937A3"/>
    <w:rsid w:val="00CB2B68"/>
    <w:rsid w:val="00CB615F"/>
    <w:rsid w:val="00CB662C"/>
    <w:rsid w:val="00CD7DC0"/>
    <w:rsid w:val="00CE0498"/>
    <w:rsid w:val="00CE2360"/>
    <w:rsid w:val="00CF0875"/>
    <w:rsid w:val="00CF35F3"/>
    <w:rsid w:val="00D02A73"/>
    <w:rsid w:val="00D10F9B"/>
    <w:rsid w:val="00D22F4F"/>
    <w:rsid w:val="00D26A2B"/>
    <w:rsid w:val="00D3022C"/>
    <w:rsid w:val="00D344AC"/>
    <w:rsid w:val="00D40243"/>
    <w:rsid w:val="00D42D38"/>
    <w:rsid w:val="00D434E7"/>
    <w:rsid w:val="00D4581E"/>
    <w:rsid w:val="00D46E1D"/>
    <w:rsid w:val="00D53138"/>
    <w:rsid w:val="00D54C4E"/>
    <w:rsid w:val="00D60518"/>
    <w:rsid w:val="00D667F1"/>
    <w:rsid w:val="00D67B57"/>
    <w:rsid w:val="00D705EE"/>
    <w:rsid w:val="00D73809"/>
    <w:rsid w:val="00DA0F67"/>
    <w:rsid w:val="00DA5B69"/>
    <w:rsid w:val="00DA6525"/>
    <w:rsid w:val="00DD6955"/>
    <w:rsid w:val="00DD6ED8"/>
    <w:rsid w:val="00DE0E0E"/>
    <w:rsid w:val="00DE56E8"/>
    <w:rsid w:val="00DF0808"/>
    <w:rsid w:val="00DF48B6"/>
    <w:rsid w:val="00DF48FC"/>
    <w:rsid w:val="00E1193F"/>
    <w:rsid w:val="00E12150"/>
    <w:rsid w:val="00E13926"/>
    <w:rsid w:val="00E15AAD"/>
    <w:rsid w:val="00E1655E"/>
    <w:rsid w:val="00E16562"/>
    <w:rsid w:val="00E225B1"/>
    <w:rsid w:val="00E22686"/>
    <w:rsid w:val="00E2588E"/>
    <w:rsid w:val="00E2702B"/>
    <w:rsid w:val="00E277BA"/>
    <w:rsid w:val="00E27BB4"/>
    <w:rsid w:val="00E327AF"/>
    <w:rsid w:val="00E3470C"/>
    <w:rsid w:val="00E4516C"/>
    <w:rsid w:val="00E455C7"/>
    <w:rsid w:val="00E512C3"/>
    <w:rsid w:val="00E61D2D"/>
    <w:rsid w:val="00E62CA5"/>
    <w:rsid w:val="00E632D2"/>
    <w:rsid w:val="00E73E95"/>
    <w:rsid w:val="00E75215"/>
    <w:rsid w:val="00E81AC3"/>
    <w:rsid w:val="00E81D3A"/>
    <w:rsid w:val="00E8759B"/>
    <w:rsid w:val="00E93750"/>
    <w:rsid w:val="00E93877"/>
    <w:rsid w:val="00E94404"/>
    <w:rsid w:val="00EA122B"/>
    <w:rsid w:val="00EA1BF3"/>
    <w:rsid w:val="00ED0AD8"/>
    <w:rsid w:val="00ED0C20"/>
    <w:rsid w:val="00ED1AE0"/>
    <w:rsid w:val="00ED1CBF"/>
    <w:rsid w:val="00ED2703"/>
    <w:rsid w:val="00EE2BDD"/>
    <w:rsid w:val="00EF18CD"/>
    <w:rsid w:val="00EF2CCD"/>
    <w:rsid w:val="00EF2F35"/>
    <w:rsid w:val="00EF430E"/>
    <w:rsid w:val="00EF72A3"/>
    <w:rsid w:val="00F0613C"/>
    <w:rsid w:val="00F1170D"/>
    <w:rsid w:val="00F14C9B"/>
    <w:rsid w:val="00F205EF"/>
    <w:rsid w:val="00F339DE"/>
    <w:rsid w:val="00F433BC"/>
    <w:rsid w:val="00F44502"/>
    <w:rsid w:val="00F45B93"/>
    <w:rsid w:val="00F63741"/>
    <w:rsid w:val="00F74469"/>
    <w:rsid w:val="00F757E4"/>
    <w:rsid w:val="00F7675B"/>
    <w:rsid w:val="00F86787"/>
    <w:rsid w:val="00FA6BD6"/>
    <w:rsid w:val="00FB5D7A"/>
    <w:rsid w:val="00FC359B"/>
    <w:rsid w:val="00FC6C10"/>
    <w:rsid w:val="00FD3F2A"/>
    <w:rsid w:val="00FD4868"/>
    <w:rsid w:val="00FD4CE1"/>
    <w:rsid w:val="00FD5064"/>
    <w:rsid w:val="00FF27A6"/>
    <w:rsid w:val="00FF4E4A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386C95"/>
  <w15:docId w15:val="{E0262254-7754-4267-831D-8D93A8D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D8"/>
    <w:rPr>
      <w:lang w:val="es-SV"/>
    </w:rPr>
  </w:style>
  <w:style w:type="paragraph" w:styleId="Ttulo1">
    <w:name w:val="heading 1"/>
    <w:basedOn w:val="Normal"/>
    <w:next w:val="Normal"/>
    <w:link w:val="Ttulo1Car"/>
    <w:qFormat/>
    <w:rsid w:val="00C16E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134137"/>
    <w:pPr>
      <w:keepNext/>
      <w:tabs>
        <w:tab w:val="num" w:pos="576"/>
      </w:tabs>
      <w:spacing w:before="60" w:after="60" w:line="240" w:lineRule="auto"/>
      <w:ind w:left="576" w:hanging="576"/>
      <w:jc w:val="both"/>
      <w:outlineLvl w:val="1"/>
    </w:pPr>
    <w:rPr>
      <w:rFonts w:ascii="Arial Narrow" w:eastAsia="Times New Roman" w:hAnsi="Arial Narrow" w:cs="Arial"/>
      <w:b/>
      <w:bCs/>
      <w:iCs/>
      <w:szCs w:val="26"/>
      <w:lang w:eastAsia="es-ES"/>
    </w:rPr>
  </w:style>
  <w:style w:type="paragraph" w:styleId="Ttulo3">
    <w:name w:val="heading 3"/>
    <w:basedOn w:val="Normal"/>
    <w:next w:val="Normal"/>
    <w:link w:val="Ttulo3Car"/>
    <w:qFormat/>
    <w:rsid w:val="00C16EF4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C16EF4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Encabezado">
    <w:name w:val="header"/>
    <w:basedOn w:val="Normal"/>
    <w:link w:val="EncabezadoCar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16E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16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EF4"/>
    <w:rPr>
      <w:lang w:val="es-SV"/>
    </w:rPr>
  </w:style>
  <w:style w:type="paragraph" w:styleId="Textoindependiente">
    <w:name w:val="Body Text"/>
    <w:basedOn w:val="Normal"/>
    <w:link w:val="TextoindependienteCar"/>
    <w:qFormat/>
    <w:rsid w:val="00C16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6EF4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paragraph" w:styleId="Textoindependiente2">
    <w:name w:val="Body Text 2"/>
    <w:basedOn w:val="Normal"/>
    <w:link w:val="Textoindependiente2Car"/>
    <w:rsid w:val="00C16E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16EF4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C16E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8A61E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EF4"/>
    <w:rPr>
      <w:rFonts w:ascii="Tahoma" w:hAnsi="Tahoma" w:cs="Tahoma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rsid w:val="00C16EF4"/>
    <w:rPr>
      <w:sz w:val="16"/>
    </w:rPr>
  </w:style>
  <w:style w:type="paragraph" w:styleId="Textocomentario">
    <w:name w:val="annotation text"/>
    <w:basedOn w:val="Normal"/>
    <w:link w:val="TextocomentarioCar"/>
    <w:uiPriority w:val="99"/>
    <w:rsid w:val="00C16E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EF4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C16EF4"/>
  </w:style>
  <w:style w:type="paragraph" w:styleId="Sinespaciado">
    <w:name w:val="No Spacing"/>
    <w:uiPriority w:val="1"/>
    <w:qFormat/>
    <w:rsid w:val="00C16EF4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character" w:customStyle="1" w:styleId="Estilo1">
    <w:name w:val="Estilo1"/>
    <w:basedOn w:val="Fuentedeprrafopredeter"/>
    <w:uiPriority w:val="1"/>
    <w:rsid w:val="00C16EF4"/>
    <w:rPr>
      <w:rFonts w:ascii="Arial Narrow" w:hAnsi="Arial Narrow"/>
      <w:b/>
      <w:sz w:val="20"/>
    </w:rPr>
  </w:style>
  <w:style w:type="paragraph" w:customStyle="1" w:styleId="Default">
    <w:name w:val="Default"/>
    <w:rsid w:val="00D34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3571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35712"/>
    <w:rPr>
      <w:sz w:val="16"/>
      <w:szCs w:val="16"/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75D9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75D9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table" w:customStyle="1" w:styleId="Tablaconcuadrcula1">
    <w:name w:val="Tabla con cuadrícula1"/>
    <w:basedOn w:val="Tablanormal"/>
    <w:uiPriority w:val="59"/>
    <w:rsid w:val="00C278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1317C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317CB"/>
    <w:pPr>
      <w:spacing w:after="100"/>
      <w:ind w:left="220"/>
    </w:pPr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317CB"/>
    <w:pPr>
      <w:numPr>
        <w:numId w:val="1"/>
      </w:numPr>
      <w:tabs>
        <w:tab w:val="right" w:leader="dot" w:pos="8830"/>
      </w:tabs>
      <w:spacing w:after="100"/>
    </w:pPr>
    <w:rPr>
      <w:rFonts w:eastAsiaTheme="minorEastAsia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317CB"/>
    <w:pPr>
      <w:spacing w:after="100"/>
      <w:ind w:left="440"/>
    </w:pPr>
    <w:rPr>
      <w:rFonts w:eastAsiaTheme="minorEastAsia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317C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99550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550F"/>
    <w:rPr>
      <w:rFonts w:ascii="Calibri" w:hAnsi="Calibri"/>
      <w:szCs w:val="21"/>
      <w:lang w:val="es-SV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550F"/>
    <w:pPr>
      <w:spacing w:after="0" w:line="240" w:lineRule="auto"/>
    </w:pPr>
    <w:rPr>
      <w:rFonts w:ascii="Calibri" w:hAnsi="Calibri"/>
      <w:szCs w:val="21"/>
    </w:rPr>
  </w:style>
  <w:style w:type="character" w:styleId="MquinadeescribirHTML">
    <w:name w:val="HTML Typewriter"/>
    <w:basedOn w:val="Fuentedeprrafopredeter"/>
    <w:uiPriority w:val="99"/>
    <w:semiHidden/>
    <w:unhideWhenUsed/>
    <w:rsid w:val="0099550F"/>
    <w:rPr>
      <w:rFonts w:ascii="Courier New" w:eastAsiaTheme="minorHAnsi" w:hAnsi="Courier New" w:cs="Courier New" w:hint="default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5B2C10"/>
    <w:pPr>
      <w:spacing w:after="100"/>
      <w:ind w:left="660"/>
    </w:pPr>
    <w:rPr>
      <w:rFonts w:eastAsiaTheme="minorEastAsia"/>
      <w:lang w:eastAsia="es-SV"/>
    </w:rPr>
  </w:style>
  <w:style w:type="paragraph" w:styleId="TDC5">
    <w:name w:val="toc 5"/>
    <w:basedOn w:val="Normal"/>
    <w:next w:val="Normal"/>
    <w:autoRedefine/>
    <w:uiPriority w:val="39"/>
    <w:unhideWhenUsed/>
    <w:rsid w:val="005B2C10"/>
    <w:pPr>
      <w:spacing w:after="100"/>
      <w:ind w:left="880"/>
    </w:pPr>
    <w:rPr>
      <w:rFonts w:eastAsiaTheme="minorEastAsia"/>
      <w:lang w:eastAsia="es-SV"/>
    </w:rPr>
  </w:style>
  <w:style w:type="paragraph" w:styleId="TDC6">
    <w:name w:val="toc 6"/>
    <w:basedOn w:val="Normal"/>
    <w:next w:val="Normal"/>
    <w:autoRedefine/>
    <w:uiPriority w:val="39"/>
    <w:unhideWhenUsed/>
    <w:rsid w:val="005B2C10"/>
    <w:pPr>
      <w:spacing w:after="100"/>
      <w:ind w:left="1100"/>
    </w:pPr>
    <w:rPr>
      <w:rFonts w:eastAsiaTheme="minorEastAsia"/>
      <w:lang w:eastAsia="es-SV"/>
    </w:rPr>
  </w:style>
  <w:style w:type="paragraph" w:styleId="TDC7">
    <w:name w:val="toc 7"/>
    <w:basedOn w:val="Normal"/>
    <w:next w:val="Normal"/>
    <w:autoRedefine/>
    <w:uiPriority w:val="39"/>
    <w:unhideWhenUsed/>
    <w:rsid w:val="005B2C10"/>
    <w:pPr>
      <w:spacing w:after="100"/>
      <w:ind w:left="1320"/>
    </w:pPr>
    <w:rPr>
      <w:rFonts w:eastAsiaTheme="minorEastAsia"/>
      <w:lang w:eastAsia="es-SV"/>
    </w:rPr>
  </w:style>
  <w:style w:type="paragraph" w:styleId="TDC8">
    <w:name w:val="toc 8"/>
    <w:basedOn w:val="Normal"/>
    <w:next w:val="Normal"/>
    <w:autoRedefine/>
    <w:uiPriority w:val="39"/>
    <w:unhideWhenUsed/>
    <w:rsid w:val="005B2C10"/>
    <w:pPr>
      <w:spacing w:after="100"/>
      <w:ind w:left="1540"/>
    </w:pPr>
    <w:rPr>
      <w:rFonts w:eastAsiaTheme="minorEastAsia"/>
      <w:lang w:eastAsia="es-SV"/>
    </w:rPr>
  </w:style>
  <w:style w:type="paragraph" w:styleId="TDC9">
    <w:name w:val="toc 9"/>
    <w:basedOn w:val="Normal"/>
    <w:next w:val="Normal"/>
    <w:autoRedefine/>
    <w:uiPriority w:val="39"/>
    <w:unhideWhenUsed/>
    <w:rsid w:val="005B2C10"/>
    <w:pPr>
      <w:spacing w:after="100"/>
      <w:ind w:left="1760"/>
    </w:pPr>
    <w:rPr>
      <w:rFonts w:eastAsiaTheme="minorEastAsia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4F29D7"/>
    <w:rPr>
      <w:color w:val="800080" w:themeColor="followedHyperlink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413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4137"/>
    <w:rPr>
      <w:sz w:val="16"/>
      <w:szCs w:val="16"/>
      <w:lang w:val="es-SV"/>
    </w:rPr>
  </w:style>
  <w:style w:type="character" w:customStyle="1" w:styleId="Ttulo2Car">
    <w:name w:val="Título 2 Car"/>
    <w:basedOn w:val="Fuentedeprrafopredeter"/>
    <w:link w:val="Ttulo2"/>
    <w:rsid w:val="00134137"/>
    <w:rPr>
      <w:rFonts w:ascii="Arial Narrow" w:eastAsia="Times New Roman" w:hAnsi="Arial Narrow" w:cs="Arial"/>
      <w:b/>
      <w:bCs/>
      <w:iCs/>
      <w:szCs w:val="26"/>
      <w:lang w:val="es-SV" w:eastAsia="es-ES"/>
    </w:rPr>
  </w:style>
  <w:style w:type="paragraph" w:styleId="Lista2">
    <w:name w:val="List 2"/>
    <w:basedOn w:val="Normal"/>
    <w:uiPriority w:val="99"/>
    <w:unhideWhenUsed/>
    <w:rsid w:val="00134137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"/>
    <w:uiPriority w:val="99"/>
    <w:unhideWhenUsed/>
    <w:rsid w:val="00134137"/>
    <w:pPr>
      <w:ind w:left="849" w:hanging="283"/>
      <w:contextualSpacing/>
    </w:pPr>
    <w:rPr>
      <w:rFonts w:ascii="Calibri" w:eastAsia="Calibri" w:hAnsi="Calibri" w:cs="Times New Roman"/>
    </w:rPr>
  </w:style>
  <w:style w:type="paragraph" w:styleId="Textoindependienteprimerasangra">
    <w:name w:val="Body Text First Indent"/>
    <w:basedOn w:val="Textoindependiente"/>
    <w:link w:val="TextoindependienteprimerasangraCar"/>
    <w:rsid w:val="00134137"/>
    <w:pPr>
      <w:ind w:firstLine="36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341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convietas3">
    <w:name w:val="List Bullet 3"/>
    <w:basedOn w:val="Normal"/>
    <w:uiPriority w:val="99"/>
    <w:unhideWhenUsed/>
    <w:rsid w:val="00134137"/>
    <w:pPr>
      <w:numPr>
        <w:numId w:val="2"/>
      </w:numPr>
      <w:contextualSpacing/>
    </w:pPr>
    <w:rPr>
      <w:rFonts w:ascii="Calibri" w:eastAsia="Calibri" w:hAnsi="Calibri" w:cs="Times New Roman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CE236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CE2360"/>
    <w:rPr>
      <w:lang w:val="es-SV"/>
    </w:rPr>
  </w:style>
  <w:style w:type="paragraph" w:styleId="Revisin">
    <w:name w:val="Revision"/>
    <w:hidden/>
    <w:uiPriority w:val="99"/>
    <w:semiHidden/>
    <w:rsid w:val="00414DDD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TAK2XWSQXAVX-1145086337-232</_dlc_DocId>
    <_dlc_DocIdUrl xmlns="925361b9-3a0c-4c35-ae0e-5f5ef97db517">
      <Url>http://sis/dn/_layouts/15/DocIdRedir.aspx?ID=TAK2XWSQXAVX-1145086337-232</Url>
      <Description>TAK2XWSQXAVX-1145086337-232</Description>
    </_dlc_DocIdUrl>
    <Fecha_x0020_Derogaci_x00f3_n_x002f_Vencimiento xmlns="9e5966bb-7ca3-4eb2-a69f-bb1ff11d5c22" xsi:nil="true"/>
    <Estado_x0020_de_x0020_normativa xmlns="9e5966bb-7ca3-4eb2-a69f-bb1ff11d5c22">Vigente</Estado_x0020_de_x0020_normativa>
    <Derogado_x0020_por xmlns="9e5966bb-7ca3-4eb2-a69f-bb1ff11d5c2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9F7CC23A1BF428143C6B4792B5B53" ma:contentTypeVersion="5" ma:contentTypeDescription="Crear nuevo documento." ma:contentTypeScope="" ma:versionID="84dc9856f4ebce1a3b5ec1794d9f5441">
  <xsd:schema xmlns:xsd="http://www.w3.org/2001/XMLSchema" xmlns:xs="http://www.w3.org/2001/XMLSchema" xmlns:p="http://schemas.microsoft.com/office/2006/metadata/properties" xmlns:ns2="925361b9-3a0c-4c35-ae0e-5f5ef97db517" xmlns:ns3="9e5966bb-7ca3-4eb2-a69f-bb1ff11d5c22" targetNamespace="http://schemas.microsoft.com/office/2006/metadata/properties" ma:root="true" ma:fieldsID="f47c37eb2976bdb94fc6de6d1fbcdca0" ns2:_="" ns3:_="">
    <xsd:import namespace="925361b9-3a0c-4c35-ae0e-5f5ef97db517"/>
    <xsd:import namespace="9e5966bb-7ca3-4eb2-a69f-bb1ff11d5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66bb-7ca3-4eb2-a69f-bb1ff11d5c22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34D07-3CE7-4F9D-8F30-B2CBAF1272F9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9e5966bb-7ca3-4eb2-a69f-bb1ff11d5c22"/>
  </ds:schemaRefs>
</ds:datastoreItem>
</file>

<file path=customXml/itemProps2.xml><?xml version="1.0" encoding="utf-8"?>
<ds:datastoreItem xmlns:ds="http://schemas.openxmlformats.org/officeDocument/2006/customXml" ds:itemID="{528AE0E1-F12A-42FB-9668-397DFD1D4B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086BE0-2B3C-4B18-97A1-86D75B03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9e5966bb-7ca3-4eb2-a69f-bb1ff11d5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B5DCA-0314-4CF1-9738-AF5CAB246C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A88CDD6-C0B7-4D25-A194-4793A58D2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DNGABRIELA</dc:creator>
  <cp:lastModifiedBy>Carlos Alberto Carpio</cp:lastModifiedBy>
  <cp:revision>2</cp:revision>
  <cp:lastPrinted>2016-10-28T15:15:00Z</cp:lastPrinted>
  <dcterms:created xsi:type="dcterms:W3CDTF">2023-06-21T20:13:00Z</dcterms:created>
  <dcterms:modified xsi:type="dcterms:W3CDTF">2023-06-21T20:13:00Z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0x010100C919F7CC23A1BF428143C6B4792B5B53</vt:lpwstr>
  </property>
  <property fmtid="{D5CDD505-2E9C-101B-9397-08002B2CF9AE}" pid="3" name="_dlc_DocIdItemGuid">
    <vt:lpwstr>ea40059f-b52a-497f-b094-12e9f1c44501</vt:lpwstr>
  </property>
</Properties>
</file>