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E83F99" w:rsidP="00D6016D">
      <w:pPr>
        <w:jc w:val="both"/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left:0;text-align:left;margin-left:-41.55pt;margin-top:-4.85pt;width:496.5pt;height:100.35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CF5F4C">
                    <w:rPr>
                      <w:b/>
                      <w:lang w:val="es-SV"/>
                    </w:rPr>
                    <w:t>-1</w:t>
                  </w:r>
                  <w:r w:rsidR="00041562">
                    <w:rPr>
                      <w:b/>
                      <w:lang w:val="es-SV"/>
                    </w:rPr>
                    <w:t>4</w:t>
                  </w:r>
                </w:p>
                <w:p w:rsidR="00CF5F4C" w:rsidRPr="00CF5F4C" w:rsidRDefault="00C6354F" w:rsidP="00042B2A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CF5F4C" w:rsidRPr="00CF399E">
                    <w:rPr>
                      <w:b/>
                      <w:lang w:val="es-SV"/>
                    </w:rPr>
                    <w:t>:</w:t>
                  </w:r>
                  <w:r w:rsidR="00042B2A">
                    <w:rPr>
                      <w:b/>
                      <w:lang w:val="es-SV"/>
                    </w:rPr>
                    <w:t xml:space="preserve"> </w:t>
                  </w:r>
                  <w:r w:rsidR="00042B2A" w:rsidRPr="00042B2A">
                    <w:rPr>
                      <w:lang w:val="es-SV"/>
                    </w:rPr>
                    <w:t>Autorización intercambio de información con burós de créditos</w:t>
                  </w:r>
                  <w:r w:rsidR="00CF5F4C" w:rsidRPr="00CF399E">
                    <w:t xml:space="preserve"> </w:t>
                  </w:r>
                </w:p>
                <w:p w:rsidR="0045206E" w:rsidRDefault="0045206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C538DA" w:rsidRDefault="00C538DA" w:rsidP="00D6016D">
      <w:pPr>
        <w:jc w:val="both"/>
        <w:rPr>
          <w:lang w:val="es-SV"/>
        </w:rPr>
      </w:pPr>
    </w:p>
    <w:p w:rsidR="002E4B96" w:rsidRPr="00C906B5" w:rsidRDefault="00C538DA" w:rsidP="00C906B5">
      <w:pPr>
        <w:tabs>
          <w:tab w:val="left" w:pos="960"/>
        </w:tabs>
        <w:jc w:val="both"/>
        <w:rPr>
          <w:b/>
          <w:bCs/>
          <w:iCs/>
          <w:sz w:val="16"/>
          <w:szCs w:val="16"/>
        </w:rPr>
      </w:pPr>
      <w:r>
        <w:rPr>
          <w:lang w:val="es-SV"/>
        </w:rPr>
        <w:tab/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D6016D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D6016D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D6016D">
      <w:pPr>
        <w:spacing w:after="0" w:line="240" w:lineRule="auto"/>
        <w:jc w:val="both"/>
        <w:rPr>
          <w:iCs/>
        </w:rPr>
      </w:pPr>
    </w:p>
    <w:p w:rsidR="00042B2A" w:rsidRPr="00042B2A" w:rsidRDefault="00042B2A" w:rsidP="003B33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042B2A">
        <w:rPr>
          <w:szCs w:val="20"/>
          <w:lang w:val="es-SV"/>
        </w:rPr>
        <w:t>Ley de Regulación de los Servicios de Información sobre el Historial de Crédito de las Personas.</w:t>
      </w:r>
    </w:p>
    <w:p w:rsidR="00042B2A" w:rsidRPr="00042B2A" w:rsidRDefault="00042B2A" w:rsidP="003B33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042B2A">
        <w:rPr>
          <w:szCs w:val="20"/>
          <w:lang w:val="es-SV"/>
        </w:rPr>
        <w:t xml:space="preserve"> Ley de Bancos Cooperativos y Sociedades de Ahorro y Crédito: Artículo 123</w:t>
      </w:r>
    </w:p>
    <w:p w:rsidR="00042B2A" w:rsidRPr="00042B2A" w:rsidRDefault="00042B2A" w:rsidP="003B33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042B2A">
        <w:rPr>
          <w:szCs w:val="20"/>
          <w:lang w:val="es-SV"/>
        </w:rPr>
        <w:t>Ley de Protección al Consumidor y su reglamento.</w:t>
      </w:r>
    </w:p>
    <w:p w:rsidR="00042B2A" w:rsidRPr="00042B2A" w:rsidRDefault="00042B2A" w:rsidP="003B33B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  <w:lang w:val="es-SV"/>
        </w:rPr>
      </w:pPr>
      <w:r w:rsidRPr="00042B2A">
        <w:rPr>
          <w:szCs w:val="20"/>
          <w:lang w:val="es-SV"/>
        </w:rPr>
        <w:t>Normas Técnicas para los Servicios de Información sobre el Historial de Crédito de las Personas (NRP-14).</w:t>
      </w:r>
    </w:p>
    <w:p w:rsidR="007F5609" w:rsidRPr="00E40275" w:rsidRDefault="007F5609" w:rsidP="00D6016D">
      <w:pPr>
        <w:pStyle w:val="Prrafodelista"/>
        <w:spacing w:after="0" w:line="240" w:lineRule="auto"/>
        <w:jc w:val="both"/>
        <w:rPr>
          <w:iCs/>
        </w:rPr>
      </w:pPr>
    </w:p>
    <w:p w:rsidR="00CF5F4C" w:rsidRDefault="002E4B96" w:rsidP="00D6016D">
      <w:pPr>
        <w:spacing w:after="0" w:line="240" w:lineRule="auto"/>
        <w:jc w:val="both"/>
        <w:rPr>
          <w:b/>
          <w:bCs/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CF5F4C" w:rsidRDefault="00CF5F4C" w:rsidP="00D6016D">
      <w:pPr>
        <w:spacing w:after="0" w:line="240" w:lineRule="auto"/>
        <w:jc w:val="both"/>
        <w:rPr>
          <w:lang w:val="es-SV"/>
        </w:rPr>
      </w:pPr>
    </w:p>
    <w:p w:rsidR="00042B2A" w:rsidRDefault="007B08AE" w:rsidP="003B3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Solicitud de no objeción de parte del Agente Económico (AE) para compartir información con Agencias de Información de Datos (AID), relacionada con datos sobre el historial de crédito de consumidores;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Default="007B08AE" w:rsidP="003B3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Proyecto de contrato a suscribirse entre el AE y la AID (Impreso y electrónico en formato Word), en el que deberá considerarse que la información a compartir será la siguiente, de acuerdo a la NRP-14:</w:t>
      </w:r>
    </w:p>
    <w:p w:rsidR="007B08AE" w:rsidRPr="007B08AE" w:rsidRDefault="007B08AE" w:rsidP="007B08AE">
      <w:pPr>
        <w:pStyle w:val="Prrafodelista"/>
        <w:rPr>
          <w:lang w:val="es-SV"/>
        </w:rPr>
      </w:pPr>
    </w:p>
    <w:p w:rsidR="007B08AE" w:rsidRDefault="007B08AE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Los datos personales que podrán ser solicitados por un AE a sus consumidores o clientes, para efectos de elaborar el historial de crédito, son los siguientes:</w:t>
      </w:r>
    </w:p>
    <w:p w:rsid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Tipo persona, indicando si es persona natural o jurídica;</w:t>
      </w:r>
    </w:p>
    <w:p w:rsidR="007B08AE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Número de Documento Único de Identidad (DUI), o documento válido en caso de ser extranjero (Pasaporte o carnet de residente);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Número de Identificación Tributaria (NIT);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Número de identificación alterno utilizado por la persona, adicional al DUI, tales como: pasaporte, seguro social, carnet de residencia, licencia de conducir, Número de Registro de Contribuyente (NRC) o IVA, este mismo se podrá utilizar para descartar homónimos;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Nombre de persona natural, considerando: primer apellido, segundo apellido, apellido de casada, primer nombre, segundo nombre y tercer nombre si lo hubiere;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Sexo;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Estado familiar;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Ocupación del deudor (para personas naturales);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Residente (si la persona es residente o no en el país);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País de residencia;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lastRenderedPageBreak/>
        <w:t>Fecha de nacimiento;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Nombre de persona jurídica;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Razón social;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Nombre comercial;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Giro correspondiente a la actividad económica principal de la persona jurídica;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Tamaño de la empresa;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Fecha de constitución de la persona jurídica;</w:t>
      </w:r>
    </w:p>
    <w:p w:rsid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Número y fecha de inscripción de la persona jurídica en el Registro de Comercio; y</w:t>
      </w:r>
    </w:p>
    <w:p w:rsidR="007B08AE" w:rsidRPr="00EE0305" w:rsidRDefault="007B08AE" w:rsidP="003B33B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SV"/>
        </w:rPr>
      </w:pPr>
      <w:r w:rsidRPr="00EE0305">
        <w:rPr>
          <w:lang w:val="es-SV"/>
        </w:rPr>
        <w:t>Identificación de la calidad, de conformidad a las obligaciones asumidas (Ej. Deudor principal, codeudor, fiador o avalista).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Lo anterior, sin perjuicio de la información que los AE podrán solicitar a efectos de sus respectivos análisis de riesgos, estudios y conocimiento del cliente para el otorgamiento del crédito; así como los requerimientos de información que dispongan otras normas o leyes aplicables.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Pr="007B08AE" w:rsidRDefault="007B08AE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En adición a lo anterior, podrán compartir los datos de las obligaciones de los consumidores o clientes que los AE posean, siguientes: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a. Tipo de crédito u obligación que reporta: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i. Tarjeta de crédito comercial;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ii. Tarjeta de crédito bancaria;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iii. Crédito comercial;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iv. Crédito a plazo, contados a 30 días;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v. Crédito bancario decreciente;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vi. Crédito bancario rotativo; o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 xml:space="preserve">      </w:t>
      </w:r>
      <w:proofErr w:type="spellStart"/>
      <w:r w:rsidRPr="007B08AE">
        <w:rPr>
          <w:lang w:val="es-SV"/>
        </w:rPr>
        <w:t>vii</w:t>
      </w:r>
      <w:proofErr w:type="spellEnd"/>
      <w:r w:rsidRPr="007B08AE">
        <w:rPr>
          <w:lang w:val="es-SV"/>
        </w:rPr>
        <w:t>. Otro (especificar).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b. Destino económico del crédito o préstamo;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c. Nombre de la entidad que otorgó el crédito o préstamo;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d. Tipo de moneda del crédito o préstamo;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e. Monto o límite del crédito o préstamo;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f. Fecha de otorgamiento;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g. Plazo otorgado del crédito o préstamo;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h. Fecha de cancelación;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i. Saldo total;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j. Número de referencia;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k. Fecha de vencimiento;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l. Forma de pago (mensual, catorcenal, semanal, otras);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m. Monto de la cuota (Monto de la cuota establecida para el crédito o préstamo, que incluya solo capital e intereses);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n. Número de cuotas;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o. Días moras a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p. Días mora a intereses;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q. Fecha de inicio de mora a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r. Fecha de inicio de mora a intereses;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s. Categoría de riesgo o calificación del deudor (calificaciones objetivas o técnicas);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t. Saldo mora a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u. Saldo mora interés;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v. Saldo vencido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w. Saldo vencido intereses;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x. Fecha última de pago a intereses;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lastRenderedPageBreak/>
        <w:t>y. Fecha última de pago a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z. Fecha de dato negativo;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aa. Tipo de garantía (Ejemplo: hipotecaria, prendaria o personal);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bb</w:t>
      </w:r>
      <w:proofErr w:type="spellEnd"/>
      <w:proofErr w:type="gramEnd"/>
      <w:r w:rsidRPr="007B08AE">
        <w:rPr>
          <w:lang w:val="es-SV"/>
        </w:rPr>
        <w:t>. Estado de la garantía (presentada o inscrita);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r w:rsidRPr="007B08AE">
        <w:rPr>
          <w:lang w:val="es-SV"/>
        </w:rPr>
        <w:t>cc</w:t>
      </w:r>
      <w:proofErr w:type="spellEnd"/>
      <w:r w:rsidRPr="007B08AE">
        <w:rPr>
          <w:lang w:val="es-SV"/>
        </w:rPr>
        <w:t>. Grado de hipoteca (primera, segunda, etc.);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r w:rsidRPr="007B08AE">
        <w:rPr>
          <w:lang w:val="es-SV"/>
        </w:rPr>
        <w:t>dd</w:t>
      </w:r>
      <w:proofErr w:type="spellEnd"/>
      <w:r w:rsidRPr="007B08AE">
        <w:rPr>
          <w:lang w:val="es-SV"/>
        </w:rPr>
        <w:t>. Adelanto de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ee</w:t>
      </w:r>
      <w:proofErr w:type="spellEnd"/>
      <w:proofErr w:type="gramEnd"/>
      <w:r w:rsidRPr="007B08AE">
        <w:rPr>
          <w:lang w:val="es-SV"/>
        </w:rPr>
        <w:t>. Día de pago de interés;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ff</w:t>
      </w:r>
      <w:proofErr w:type="spellEnd"/>
      <w:proofErr w:type="gramEnd"/>
      <w:r w:rsidRPr="007B08AE">
        <w:rPr>
          <w:lang w:val="es-SV"/>
        </w:rPr>
        <w:t>. Día de pago de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gg</w:t>
      </w:r>
      <w:proofErr w:type="spellEnd"/>
      <w:proofErr w:type="gramEnd"/>
      <w:r w:rsidRPr="007B08AE">
        <w:rPr>
          <w:lang w:val="es-SV"/>
        </w:rPr>
        <w:t>. Estado del crédito (vigente, vencido, saneado, cancelado, vía judicial, etc.);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r w:rsidRPr="007B08AE">
        <w:rPr>
          <w:lang w:val="es-SV"/>
        </w:rPr>
        <w:t>hh</w:t>
      </w:r>
      <w:proofErr w:type="spellEnd"/>
      <w:r w:rsidRPr="007B08AE">
        <w:rPr>
          <w:lang w:val="es-SV"/>
        </w:rPr>
        <w:t>. Etapa judicial (indica que el crédito se encuentra en esa etapa);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ii. Monto desembolsado;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jj</w:t>
      </w:r>
      <w:proofErr w:type="spellEnd"/>
      <w:proofErr w:type="gramEnd"/>
      <w:r w:rsidRPr="007B08AE">
        <w:rPr>
          <w:lang w:val="es-SV"/>
        </w:rPr>
        <w:t>. Periodo de gracia a intereses;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kk</w:t>
      </w:r>
      <w:proofErr w:type="spellEnd"/>
      <w:proofErr w:type="gramEnd"/>
      <w:r w:rsidRPr="007B08AE">
        <w:rPr>
          <w:lang w:val="es-SV"/>
        </w:rPr>
        <w:t>. Periodo de gracia a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ll. Reserva de saneamiento constituida, especificando si es total al deudor o por referencia;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mm. Total riesgo deudor;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nn</w:t>
      </w:r>
      <w:proofErr w:type="spellEnd"/>
      <w:proofErr w:type="gramEnd"/>
      <w:r w:rsidRPr="007B08AE">
        <w:rPr>
          <w:lang w:val="es-SV"/>
        </w:rPr>
        <w:t>. Saldo vigente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oo</w:t>
      </w:r>
      <w:proofErr w:type="spellEnd"/>
      <w:proofErr w:type="gramEnd"/>
      <w:r w:rsidRPr="007B08AE">
        <w:rPr>
          <w:lang w:val="es-SV"/>
        </w:rPr>
        <w:t>. Saldo vigente interés;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pp. Fecha de cambio de estado de crédito (vencido, cancelados, saneados o vía judicial, etc.);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qq</w:t>
      </w:r>
      <w:proofErr w:type="spellEnd"/>
      <w:proofErr w:type="gramEnd"/>
      <w:r w:rsidRPr="007B08AE">
        <w:rPr>
          <w:lang w:val="es-SV"/>
        </w:rPr>
        <w:t>. Estado del saldo (vigente o vencido);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rr</w:t>
      </w:r>
      <w:proofErr w:type="spellEnd"/>
      <w:proofErr w:type="gramEnd"/>
      <w:r w:rsidRPr="007B08AE">
        <w:rPr>
          <w:lang w:val="es-SV"/>
        </w:rPr>
        <w:t>. Código de cartera: tipo de cartera a la que pertenecen las referencias del deudor;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ss. Código de activo: tipo de activo de riesgo al que pertenecen las referencias del deudor;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tt</w:t>
      </w:r>
      <w:proofErr w:type="spellEnd"/>
      <w:proofErr w:type="gramEnd"/>
      <w:r w:rsidRPr="007B08AE">
        <w:rPr>
          <w:lang w:val="es-SV"/>
        </w:rPr>
        <w:t>. Bandera de referencia cancelada;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uu</w:t>
      </w:r>
      <w:proofErr w:type="spellEnd"/>
      <w:proofErr w:type="gramEnd"/>
      <w:r w:rsidRPr="007B08AE">
        <w:rPr>
          <w:lang w:val="es-SV"/>
        </w:rPr>
        <w:t>. Referencia acreedor;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vv. Monto pago a capital;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proofErr w:type="gramStart"/>
      <w:r w:rsidRPr="007B08AE">
        <w:rPr>
          <w:lang w:val="es-SV"/>
        </w:rPr>
        <w:t>ww</w:t>
      </w:r>
      <w:proofErr w:type="spellEnd"/>
      <w:proofErr w:type="gramEnd"/>
      <w:r w:rsidRPr="007B08AE">
        <w:rPr>
          <w:lang w:val="es-SV"/>
        </w:rPr>
        <w:t>. Monto pago a intereses; y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proofErr w:type="spellStart"/>
      <w:r w:rsidRPr="007B08AE">
        <w:rPr>
          <w:lang w:val="es-SV"/>
        </w:rPr>
        <w:t>xx</w:t>
      </w:r>
      <w:proofErr w:type="spellEnd"/>
      <w:r w:rsidRPr="007B08AE">
        <w:rPr>
          <w:lang w:val="es-SV"/>
        </w:rPr>
        <w:t>. Línea de crédito.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Debe considerarse lo dispuesto en el artículo 232 de la Ley de Bancos, en cuanto a la información sujeta a reserva;</w:t>
      </w:r>
    </w:p>
    <w:p w:rsidR="007B08AE" w:rsidRPr="007B08AE" w:rsidRDefault="007B08AE" w:rsidP="007B08AE">
      <w:pPr>
        <w:pStyle w:val="Prrafodelista"/>
        <w:spacing w:after="0" w:line="240" w:lineRule="auto"/>
        <w:jc w:val="both"/>
        <w:rPr>
          <w:lang w:val="es-SV"/>
        </w:rPr>
      </w:pPr>
    </w:p>
    <w:p w:rsidR="007B08AE" w:rsidRDefault="007B08AE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7B08AE">
        <w:rPr>
          <w:lang w:val="es-SV"/>
        </w:rPr>
        <w:t>Si la SSF realiza observaciones a los modelos de contrato, estas deben ser subsanadas y enviar nuevamente los contratos modificados.</w:t>
      </w:r>
    </w:p>
    <w:p w:rsidR="007B08AE" w:rsidRPr="007B08AE" w:rsidRDefault="007B08AE" w:rsidP="007B08AE">
      <w:pPr>
        <w:pStyle w:val="Prrafodelista"/>
        <w:rPr>
          <w:lang w:val="es-SV"/>
        </w:rPr>
      </w:pPr>
    </w:p>
    <w:p w:rsidR="00C906B5" w:rsidRDefault="005C52B3" w:rsidP="003B3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SV"/>
        </w:rPr>
      </w:pPr>
      <w:r w:rsidRPr="005C52B3">
        <w:rPr>
          <w:lang w:val="es-SV"/>
        </w:rPr>
        <w:t>   Requisitos informáticos para las AE:</w:t>
      </w:r>
    </w:p>
    <w:p w:rsidR="00C906B5" w:rsidRDefault="00C906B5" w:rsidP="00C906B5">
      <w:pPr>
        <w:pStyle w:val="Prrafodelista"/>
        <w:spacing w:after="0" w:line="240" w:lineRule="auto"/>
        <w:jc w:val="both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Diagrama de la estructura de red/comunicaciones y descripción del tipo de conexión a utilizar para el envío de información.</w:t>
      </w:r>
    </w:p>
    <w:p w:rsidR="00C906B5" w:rsidRDefault="00C906B5" w:rsidP="00C906B5">
      <w:pPr>
        <w:pStyle w:val="Prrafodelista"/>
        <w:spacing w:after="0" w:line="240" w:lineRule="auto"/>
        <w:jc w:val="both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Documento que contenga el procedimiento definido para la generación, envío y validación de información que se enviará a la AID, que incluya el diccionario de los datos a entregar a la AID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Listado de todos los usuarios que tienen acceso a generar y validar la información con sus respectivos roles y accesos asignados.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C906B5">
      <w:pPr>
        <w:pStyle w:val="Prrafodelista"/>
        <w:spacing w:after="0" w:line="240" w:lineRule="auto"/>
        <w:jc w:val="both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lastRenderedPageBreak/>
        <w:t>Detalle de usuarios que consultan la información proporcionada por la AID y procedimiento a seguir en casos de consultas no autorizadas.</w:t>
      </w:r>
    </w:p>
    <w:p w:rsidR="00C906B5" w:rsidRDefault="00C906B5" w:rsidP="00C906B5">
      <w:pPr>
        <w:pStyle w:val="Prrafodelista"/>
        <w:spacing w:after="0" w:line="240" w:lineRule="auto"/>
        <w:jc w:val="both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Procedimiento para solicitar la creación de nuevos usuarios a la AID.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Preparación de un ambiente de pruebas para la generación del archivo con la información a compartir a la AID, desde los aplicativos informáticos involucrados.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3B3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  Requisitos informáticos para las AID:</w:t>
      </w:r>
    </w:p>
    <w:p w:rsidR="00C906B5" w:rsidRDefault="00C906B5" w:rsidP="00C906B5">
      <w:pPr>
        <w:pStyle w:val="Prrafodelista"/>
        <w:spacing w:after="0" w:line="240" w:lineRule="auto"/>
        <w:jc w:val="both"/>
        <w:rPr>
          <w:lang w:val="es-SV"/>
        </w:rPr>
      </w:pPr>
    </w:p>
    <w:p w:rsidR="005C52B3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Diagrama de la estructura de red/comunicaciones y descripción del tipo de conexión a utilizar para la recepción y  consulta de información</w:t>
      </w:r>
    </w:p>
    <w:p w:rsidR="00C906B5" w:rsidRDefault="00C906B5" w:rsidP="00C906B5">
      <w:pPr>
        <w:pStyle w:val="Prrafodelista"/>
        <w:spacing w:after="0" w:line="240" w:lineRule="auto"/>
        <w:jc w:val="both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Documento que describa la plataforma informática, características de servidores, sistemas operativos, antivirus, gestores de bases de datos, medidas de seguridad implementadas en el proceso de recepción, carga, almacenamiento y consulta de información, anexando la evidencia correspondiente.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Documento que describa el proceso de carga y  validación de la información recibida.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Procedimiento para la creación y mantenimiento de claves de acceso solicitadas por las entidades.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Detalle de roles y privilegios de los usuarios que tienen acceso a la recepción y almacenamiento de la información remitida por las entidades y las medidas de seguridad implementadas.</w:t>
      </w:r>
    </w:p>
    <w:p w:rsidR="00C906B5" w:rsidRPr="00C906B5" w:rsidRDefault="00C906B5" w:rsidP="00C906B5">
      <w:pPr>
        <w:pStyle w:val="Prrafodelista"/>
        <w:rPr>
          <w:lang w:val="es-SV"/>
        </w:rPr>
      </w:pPr>
    </w:p>
    <w:p w:rsidR="00C906B5" w:rsidRPr="00C906B5" w:rsidRDefault="00C906B5" w:rsidP="003B33B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lang w:val="es-SV"/>
        </w:rPr>
      </w:pPr>
      <w:r w:rsidRPr="00C906B5">
        <w:rPr>
          <w:lang w:val="es-SV"/>
        </w:rPr>
        <w:t>Formato o plantilla ejemplo de los tipos de reporte que la entidad contratará.</w:t>
      </w:r>
    </w:p>
    <w:sectPr w:rsidR="00C906B5" w:rsidRPr="00C906B5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B6" w:rsidRDefault="003B33B6" w:rsidP="00BB082E">
      <w:pPr>
        <w:spacing w:after="0" w:line="240" w:lineRule="auto"/>
      </w:pPr>
      <w:r>
        <w:separator/>
      </w:r>
    </w:p>
  </w:endnote>
  <w:endnote w:type="continuationSeparator" w:id="0">
    <w:p w:rsidR="003B33B6" w:rsidRDefault="003B33B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E83F99" w:rsidP="00555371">
        <w:pPr>
          <w:pStyle w:val="Piedepgina"/>
          <w:jc w:val="right"/>
        </w:pPr>
        <w:fldSimple w:instr=" PAGE   \* MERGEFORMAT ">
          <w:r w:rsidR="0004156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B6" w:rsidRDefault="003B33B6" w:rsidP="00BB082E">
      <w:pPr>
        <w:spacing w:after="0" w:line="240" w:lineRule="auto"/>
      </w:pPr>
      <w:r>
        <w:separator/>
      </w:r>
    </w:p>
  </w:footnote>
  <w:footnote w:type="continuationSeparator" w:id="0">
    <w:p w:rsidR="003B33B6" w:rsidRDefault="003B33B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343D4"/>
    <w:multiLevelType w:val="multilevel"/>
    <w:tmpl w:val="23886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BA70C94"/>
    <w:multiLevelType w:val="hybridMultilevel"/>
    <w:tmpl w:val="47445772"/>
    <w:lvl w:ilvl="0" w:tplc="CD9A2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1562"/>
    <w:rsid w:val="00042B2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A636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3B35"/>
    <w:rsid w:val="00117611"/>
    <w:rsid w:val="00125FEF"/>
    <w:rsid w:val="0013243B"/>
    <w:rsid w:val="00137226"/>
    <w:rsid w:val="00156520"/>
    <w:rsid w:val="00163375"/>
    <w:rsid w:val="001717D4"/>
    <w:rsid w:val="00174775"/>
    <w:rsid w:val="001858E5"/>
    <w:rsid w:val="001A182A"/>
    <w:rsid w:val="001A2950"/>
    <w:rsid w:val="001A3130"/>
    <w:rsid w:val="001A3B7A"/>
    <w:rsid w:val="001A46DA"/>
    <w:rsid w:val="001A535F"/>
    <w:rsid w:val="001A5BA2"/>
    <w:rsid w:val="001B0508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6372A"/>
    <w:rsid w:val="00271532"/>
    <w:rsid w:val="00282EF5"/>
    <w:rsid w:val="002960E2"/>
    <w:rsid w:val="002A48A9"/>
    <w:rsid w:val="002A7314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0584"/>
    <w:rsid w:val="002F4092"/>
    <w:rsid w:val="00301060"/>
    <w:rsid w:val="00317F25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33B6"/>
    <w:rsid w:val="003B54E6"/>
    <w:rsid w:val="003B5AB8"/>
    <w:rsid w:val="003C58BF"/>
    <w:rsid w:val="003D6374"/>
    <w:rsid w:val="003F2C42"/>
    <w:rsid w:val="003F4F15"/>
    <w:rsid w:val="003F5D4B"/>
    <w:rsid w:val="003F5FDD"/>
    <w:rsid w:val="003F7ECB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5206E"/>
    <w:rsid w:val="004525A5"/>
    <w:rsid w:val="0045360D"/>
    <w:rsid w:val="0046395C"/>
    <w:rsid w:val="004710A6"/>
    <w:rsid w:val="00480E29"/>
    <w:rsid w:val="00482256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0D27"/>
    <w:rsid w:val="00511D28"/>
    <w:rsid w:val="00515F23"/>
    <w:rsid w:val="00523544"/>
    <w:rsid w:val="005258AC"/>
    <w:rsid w:val="00530C54"/>
    <w:rsid w:val="00536DCF"/>
    <w:rsid w:val="00541A76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4C47"/>
    <w:rsid w:val="005B778D"/>
    <w:rsid w:val="005C5206"/>
    <w:rsid w:val="005C52B3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20D"/>
    <w:rsid w:val="006404C6"/>
    <w:rsid w:val="006477F3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B46CD"/>
    <w:rsid w:val="006C2209"/>
    <w:rsid w:val="006D7E05"/>
    <w:rsid w:val="006E10E6"/>
    <w:rsid w:val="006E1EFC"/>
    <w:rsid w:val="006F2C33"/>
    <w:rsid w:val="006F327C"/>
    <w:rsid w:val="006F5BFB"/>
    <w:rsid w:val="006F5C2D"/>
    <w:rsid w:val="006F5DFB"/>
    <w:rsid w:val="00717358"/>
    <w:rsid w:val="00723B02"/>
    <w:rsid w:val="00731C3C"/>
    <w:rsid w:val="00733504"/>
    <w:rsid w:val="007438A2"/>
    <w:rsid w:val="00757242"/>
    <w:rsid w:val="007625B4"/>
    <w:rsid w:val="00776EAD"/>
    <w:rsid w:val="007903A7"/>
    <w:rsid w:val="007A0002"/>
    <w:rsid w:val="007A7323"/>
    <w:rsid w:val="007B08AE"/>
    <w:rsid w:val="007C11C6"/>
    <w:rsid w:val="007C395A"/>
    <w:rsid w:val="007C7CAE"/>
    <w:rsid w:val="007D4728"/>
    <w:rsid w:val="007D6C6E"/>
    <w:rsid w:val="007F5609"/>
    <w:rsid w:val="008036A6"/>
    <w:rsid w:val="00806841"/>
    <w:rsid w:val="00816A27"/>
    <w:rsid w:val="00817CC7"/>
    <w:rsid w:val="00825F82"/>
    <w:rsid w:val="00826B40"/>
    <w:rsid w:val="00831E77"/>
    <w:rsid w:val="0084197E"/>
    <w:rsid w:val="0084521A"/>
    <w:rsid w:val="0084650A"/>
    <w:rsid w:val="008560E0"/>
    <w:rsid w:val="008660FE"/>
    <w:rsid w:val="00867326"/>
    <w:rsid w:val="008766C2"/>
    <w:rsid w:val="00881937"/>
    <w:rsid w:val="0088610B"/>
    <w:rsid w:val="00897375"/>
    <w:rsid w:val="008B1746"/>
    <w:rsid w:val="008B317C"/>
    <w:rsid w:val="008C2C2B"/>
    <w:rsid w:val="008C3F56"/>
    <w:rsid w:val="008C54F1"/>
    <w:rsid w:val="008D0833"/>
    <w:rsid w:val="008D71BD"/>
    <w:rsid w:val="008E14D3"/>
    <w:rsid w:val="008E7428"/>
    <w:rsid w:val="008F0320"/>
    <w:rsid w:val="00904C5E"/>
    <w:rsid w:val="00907BA0"/>
    <w:rsid w:val="00910FA1"/>
    <w:rsid w:val="009112E4"/>
    <w:rsid w:val="0092027A"/>
    <w:rsid w:val="00921529"/>
    <w:rsid w:val="009350E1"/>
    <w:rsid w:val="0094171F"/>
    <w:rsid w:val="009469D2"/>
    <w:rsid w:val="009503CD"/>
    <w:rsid w:val="009554E7"/>
    <w:rsid w:val="009708FC"/>
    <w:rsid w:val="0097580C"/>
    <w:rsid w:val="00985171"/>
    <w:rsid w:val="009A3C69"/>
    <w:rsid w:val="009A429C"/>
    <w:rsid w:val="009A42EF"/>
    <w:rsid w:val="009D0C38"/>
    <w:rsid w:val="009D634A"/>
    <w:rsid w:val="009E3AD8"/>
    <w:rsid w:val="009E6475"/>
    <w:rsid w:val="009F1DBB"/>
    <w:rsid w:val="00A01359"/>
    <w:rsid w:val="00A01790"/>
    <w:rsid w:val="00A062A5"/>
    <w:rsid w:val="00A20F2E"/>
    <w:rsid w:val="00A248DB"/>
    <w:rsid w:val="00A51655"/>
    <w:rsid w:val="00A52C45"/>
    <w:rsid w:val="00A54B93"/>
    <w:rsid w:val="00A57068"/>
    <w:rsid w:val="00A57FAF"/>
    <w:rsid w:val="00A65C83"/>
    <w:rsid w:val="00A6619E"/>
    <w:rsid w:val="00A7121D"/>
    <w:rsid w:val="00A8371B"/>
    <w:rsid w:val="00A93225"/>
    <w:rsid w:val="00AA215B"/>
    <w:rsid w:val="00AA289E"/>
    <w:rsid w:val="00AC23D0"/>
    <w:rsid w:val="00AC4D71"/>
    <w:rsid w:val="00AD258E"/>
    <w:rsid w:val="00AE04C6"/>
    <w:rsid w:val="00AE23A4"/>
    <w:rsid w:val="00AE2B3D"/>
    <w:rsid w:val="00AF290B"/>
    <w:rsid w:val="00AF292C"/>
    <w:rsid w:val="00B014E1"/>
    <w:rsid w:val="00B065CA"/>
    <w:rsid w:val="00B14897"/>
    <w:rsid w:val="00B2753A"/>
    <w:rsid w:val="00B31503"/>
    <w:rsid w:val="00B34CB1"/>
    <w:rsid w:val="00B36CF5"/>
    <w:rsid w:val="00B40193"/>
    <w:rsid w:val="00B41B61"/>
    <w:rsid w:val="00B41C7C"/>
    <w:rsid w:val="00B50819"/>
    <w:rsid w:val="00B6463C"/>
    <w:rsid w:val="00B70EBE"/>
    <w:rsid w:val="00B71CC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6354F"/>
    <w:rsid w:val="00C72218"/>
    <w:rsid w:val="00C726F4"/>
    <w:rsid w:val="00C75097"/>
    <w:rsid w:val="00C82FDB"/>
    <w:rsid w:val="00C86172"/>
    <w:rsid w:val="00C87B9E"/>
    <w:rsid w:val="00C906B5"/>
    <w:rsid w:val="00CA0A2C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CF5F4C"/>
    <w:rsid w:val="00D03C5C"/>
    <w:rsid w:val="00D14B38"/>
    <w:rsid w:val="00D14E87"/>
    <w:rsid w:val="00D2504E"/>
    <w:rsid w:val="00D26D97"/>
    <w:rsid w:val="00D37ED9"/>
    <w:rsid w:val="00D42B00"/>
    <w:rsid w:val="00D44007"/>
    <w:rsid w:val="00D53CE0"/>
    <w:rsid w:val="00D55F4E"/>
    <w:rsid w:val="00D57B6E"/>
    <w:rsid w:val="00D6016D"/>
    <w:rsid w:val="00D636AF"/>
    <w:rsid w:val="00D77D08"/>
    <w:rsid w:val="00D82379"/>
    <w:rsid w:val="00D82D5D"/>
    <w:rsid w:val="00D832F3"/>
    <w:rsid w:val="00D8535B"/>
    <w:rsid w:val="00D854ED"/>
    <w:rsid w:val="00D85E7E"/>
    <w:rsid w:val="00D94A2B"/>
    <w:rsid w:val="00DA2637"/>
    <w:rsid w:val="00DA2889"/>
    <w:rsid w:val="00DA3B71"/>
    <w:rsid w:val="00DA48D4"/>
    <w:rsid w:val="00DB2AFD"/>
    <w:rsid w:val="00DC1F8B"/>
    <w:rsid w:val="00DD004E"/>
    <w:rsid w:val="00DD2975"/>
    <w:rsid w:val="00DD51C4"/>
    <w:rsid w:val="00DD5B91"/>
    <w:rsid w:val="00DD62F0"/>
    <w:rsid w:val="00DE1626"/>
    <w:rsid w:val="00DF2E41"/>
    <w:rsid w:val="00DF510E"/>
    <w:rsid w:val="00DF5756"/>
    <w:rsid w:val="00DF5F27"/>
    <w:rsid w:val="00E247E4"/>
    <w:rsid w:val="00E40275"/>
    <w:rsid w:val="00E4399C"/>
    <w:rsid w:val="00E45DA9"/>
    <w:rsid w:val="00E63205"/>
    <w:rsid w:val="00E64026"/>
    <w:rsid w:val="00E64A57"/>
    <w:rsid w:val="00E6663F"/>
    <w:rsid w:val="00E83B6B"/>
    <w:rsid w:val="00E83F99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0305"/>
    <w:rsid w:val="00EE167B"/>
    <w:rsid w:val="00F01531"/>
    <w:rsid w:val="00F03907"/>
    <w:rsid w:val="00F10C9F"/>
    <w:rsid w:val="00F1461A"/>
    <w:rsid w:val="00F16B62"/>
    <w:rsid w:val="00F1722F"/>
    <w:rsid w:val="00F2223A"/>
    <w:rsid w:val="00F2244B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258"/>
    <w:rsid w:val="00F62C0E"/>
    <w:rsid w:val="00F7494A"/>
    <w:rsid w:val="00F749BC"/>
    <w:rsid w:val="00F861EA"/>
    <w:rsid w:val="00F864E6"/>
    <w:rsid w:val="00F86B74"/>
    <w:rsid w:val="00FA2BA7"/>
    <w:rsid w:val="00FA4A8B"/>
    <w:rsid w:val="00FA7D1A"/>
    <w:rsid w:val="00FA7DCB"/>
    <w:rsid w:val="00FB1C58"/>
    <w:rsid w:val="00FB1F4F"/>
    <w:rsid w:val="00FC2643"/>
    <w:rsid w:val="00FD4BAD"/>
    <w:rsid w:val="00FE0CF5"/>
    <w:rsid w:val="00FF030F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50EF-D426-496C-8AD4-8371DFA3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14</cp:revision>
  <cp:lastPrinted>2014-09-02T16:41:00Z</cp:lastPrinted>
  <dcterms:created xsi:type="dcterms:W3CDTF">2018-06-12T20:44:00Z</dcterms:created>
  <dcterms:modified xsi:type="dcterms:W3CDTF">2018-06-15T21:32:00Z</dcterms:modified>
</cp:coreProperties>
</file>