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182BBE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C7373E">
                    <w:rPr>
                      <w:b/>
                      <w:lang w:val="es-SV"/>
                    </w:rPr>
                    <w:t>-</w:t>
                  </w:r>
                  <w:r w:rsidR="00CC60E8">
                    <w:rPr>
                      <w:b/>
                      <w:lang w:val="es-SV"/>
                    </w:rPr>
                    <w:t>5</w:t>
                  </w:r>
                  <w:r w:rsidR="00C7373E">
                    <w:rPr>
                      <w:b/>
                      <w:lang w:val="es-SV"/>
                    </w:rPr>
                    <w:t>B</w:t>
                  </w:r>
                </w:p>
                <w:p w:rsidR="00EC311F" w:rsidRPr="00CF399E" w:rsidRDefault="00FC7AA9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 xml:space="preserve">Nombre del </w:t>
                  </w:r>
                  <w:r w:rsidR="00EC311F" w:rsidRPr="00CF399E">
                    <w:rPr>
                      <w:b/>
                      <w:lang w:val="es-SV"/>
                    </w:rPr>
                    <w:t>Trámite:</w:t>
                  </w:r>
                  <w:r w:rsidR="00EC311F" w:rsidRPr="00CF399E">
                    <w:t xml:space="preserve">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354F10">
                    <w:rPr>
                      <w:b/>
                      <w:lang w:val="es-SV"/>
                    </w:rPr>
                    <w:t>de fusiones de entidades</w:t>
                  </w:r>
                  <w:r w:rsidR="002E4B96">
                    <w:rPr>
                      <w:b/>
                      <w:lang w:val="es-SV"/>
                    </w:rPr>
                    <w:t xml:space="preserve"> (Autorización del proceso de fusión)</w:t>
                  </w:r>
                </w:p>
                <w:p w:rsidR="00EC311F" w:rsidRPr="00CF399E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C7373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C7373E">
                    <w:rPr>
                      <w:lang w:val="es-SV"/>
                    </w:rPr>
                    <w:t>22/09/2014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</w:p>
    <w:p w:rsidR="00860AC1" w:rsidRPr="00CF399E" w:rsidRDefault="00860AC1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C7373E" w:rsidRPr="00354F10" w:rsidRDefault="00C7373E" w:rsidP="00C737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Código de Comercio: Artículos del 315 al 321.</w:t>
      </w:r>
    </w:p>
    <w:p w:rsidR="00C7373E" w:rsidRPr="00354F10" w:rsidRDefault="00C7373E" w:rsidP="00C737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 xml:space="preserve">Ley de Supervisión y Regulación del Sistema Financiero: Artículo 15 Literal d. </w:t>
      </w:r>
    </w:p>
    <w:p w:rsidR="00C7373E" w:rsidRPr="00354F10" w:rsidRDefault="00C7373E" w:rsidP="00C737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Ley de Bancos Cooperativos y S</w:t>
      </w:r>
      <w:r>
        <w:rPr>
          <w:iCs/>
        </w:rPr>
        <w:t xml:space="preserve">ociedades de ahorro y Crédito: </w:t>
      </w:r>
      <w:r w:rsidRPr="00354F10">
        <w:rPr>
          <w:iCs/>
        </w:rPr>
        <w:t>Artículos 10 y 140.</w:t>
      </w:r>
    </w:p>
    <w:p w:rsidR="00C7373E" w:rsidRPr="00354F10" w:rsidRDefault="00C7373E" w:rsidP="00C737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Ley General de Asociaciones Cooperativas: Artículo 88.</w:t>
      </w:r>
    </w:p>
    <w:p w:rsidR="00C7373E" w:rsidRPr="00354F10" w:rsidRDefault="00C7373E" w:rsidP="00C737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Reglamento de la Ley General de Asociaciones Cooperativas: Artículos 35, 160 y 161.</w:t>
      </w:r>
    </w:p>
    <w:p w:rsidR="00C7373E" w:rsidRPr="00692CA5" w:rsidRDefault="00C7373E" w:rsidP="00C737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354F10">
        <w:rPr>
          <w:iCs/>
        </w:rPr>
        <w:t>Ley de Competencia: Artículos 31 al 36.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2E4B96" w:rsidRDefault="002E4B96" w:rsidP="002E4B96">
      <w:pPr>
        <w:spacing w:after="0" w:line="240" w:lineRule="auto"/>
        <w:jc w:val="both"/>
        <w:rPr>
          <w:b/>
          <w:bCs/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8C24E4" w:rsidRPr="00A20F2E" w:rsidRDefault="008C24E4" w:rsidP="002E4B96">
      <w:pPr>
        <w:spacing w:after="0" w:line="240" w:lineRule="auto"/>
        <w:jc w:val="both"/>
        <w:rPr>
          <w:iCs/>
          <w:u w:val="single"/>
        </w:rPr>
      </w:pPr>
    </w:p>
    <w:p w:rsidR="002E4B96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Solicitud dirigida al Superintendente del Sistema Financiero suscrita por la persona designada para ejecutar la fusión o el Representante Legal, en la que solicite autorización de lo siguiente:</w:t>
      </w:r>
    </w:p>
    <w:p w:rsidR="008C24E4" w:rsidRDefault="008C24E4" w:rsidP="008C24E4">
      <w:pPr>
        <w:pStyle w:val="Prrafodelista"/>
        <w:spacing w:after="0" w:line="240" w:lineRule="auto"/>
        <w:jc w:val="both"/>
        <w:rPr>
          <w:iCs/>
        </w:rPr>
      </w:pPr>
    </w:p>
    <w:p w:rsidR="008C24E4" w:rsidRPr="008C24E4" w:rsidRDefault="008C24E4" w:rsidP="008C24E4">
      <w:pPr>
        <w:pStyle w:val="Prrafodelista"/>
        <w:spacing w:after="0" w:line="240" w:lineRule="auto"/>
        <w:ind w:left="1416"/>
        <w:jc w:val="both"/>
        <w:rPr>
          <w:iCs/>
        </w:rPr>
      </w:pPr>
      <w:r w:rsidRPr="008C24E4">
        <w:rPr>
          <w:iCs/>
        </w:rPr>
        <w:t>1.1. Llevar a cabo la fusión;</w:t>
      </w:r>
    </w:p>
    <w:p w:rsidR="008C24E4" w:rsidRDefault="008C24E4" w:rsidP="008C24E4">
      <w:pPr>
        <w:pStyle w:val="Prrafodelista"/>
        <w:spacing w:after="0" w:line="240" w:lineRule="auto"/>
        <w:ind w:left="1416"/>
        <w:jc w:val="both"/>
        <w:rPr>
          <w:iCs/>
        </w:rPr>
      </w:pPr>
      <w:r w:rsidRPr="008C24E4">
        <w:rPr>
          <w:iCs/>
        </w:rPr>
        <w:t>1.2. Modificar la escritura del Pacto Social o Estatutos;</w:t>
      </w:r>
    </w:p>
    <w:p w:rsidR="008C24E4" w:rsidRDefault="008C24E4" w:rsidP="008C24E4">
      <w:pPr>
        <w:spacing w:after="0" w:line="240" w:lineRule="auto"/>
        <w:jc w:val="both"/>
        <w:rPr>
          <w:iCs/>
        </w:rPr>
      </w:pP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 xml:space="preserve"> Constancia de la inscripción de los acuerdos de Junta General Extraordinaria de Accionistas  en el Registro respectivo.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Copia de las publicaciones del acuerdo de fusión inscrito y último balance auditado de las sociedades a fusionar, por una sola vez en dos diarios de circulación nacional.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Proyecto de la escritura del nuevo Pacto Social o Estatutos con las modificaciones por fusión de sociedades o Asociaciones para su respectiva autorización.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Cuadro comparativo de la redacción vigente y nueva de las cláusulas a revisar en el pacto social de la entidad absorbente.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Cuadro que contenga la situación accionaria de la entidad después de la fusión, detallando el porcentaje de participación accionaria de cada una de las entidades a fusionar, número de acciones y capital social.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Estructura organizacional del nuevo Grupo Financiero una vez se lleve a cabo la fusión, en los casos en que aplique.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Estados Financieros proyectados de la sociedad (o asociación, si es el caso) absorbente consolidado con las sociedades (o asociaciones) absorbidas.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Fondo patrimonial proyectado de la sociedad o asociación absorbente consolidado con las sociedades o asociaciones absorbidas.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Documentación en la cual se establezca no objeción de la Casa Matriz para llevar a cabo la fusión,  en los casos que aplique.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lastRenderedPageBreak/>
        <w:t>Certificaciones emitidas por los Auditores Externos de las sociedades o asociaciones  involucradas referentes a que el capital social se encuentra totalmente suscrito y pagado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Detalle de los integrantes de la Comisión Liquidadora de la asociación cooperativa que es absorbida o de las que se disuelven para constituir una nueva.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Publicación de la Comisión Liquidadora en el Diario Oficial y en un periódico de circulación nacional, en el que se haga saber el estado de la disolución de las asociaciones mencionadas en el numeral anterior, y se inste a los acreedores para que se presenten ante la comisión a verificar el monto de los créditos dentro de los quince días siguientes a la última publicación.</w:t>
      </w: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Constancia del Órgano Judicial de la Corte Suprema de Justicia, Juzgado de lo Civil, Juzgado de lo Laboral y Juzgado de lo Mercantil, en las que conste que en el período comprendido de publicación no se encontró ningún registro de demanda presentada de oposición a la fusión.</w:t>
      </w:r>
    </w:p>
    <w:p w:rsidR="00B80BDD" w:rsidRDefault="00B80BDD" w:rsidP="00B80BDD">
      <w:pPr>
        <w:pStyle w:val="Prrafodelista"/>
        <w:spacing w:after="0" w:line="240" w:lineRule="auto"/>
        <w:jc w:val="both"/>
        <w:rPr>
          <w:iCs/>
        </w:rPr>
      </w:pPr>
    </w:p>
    <w:p w:rsidR="008C24E4" w:rsidRDefault="008C24E4" w:rsidP="008C24E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Requerimientos tecnológicos</w:t>
      </w:r>
      <w:r w:rsidR="009E373F">
        <w:rPr>
          <w:iCs/>
        </w:rPr>
        <w:t>:</w:t>
      </w:r>
    </w:p>
    <w:p w:rsidR="008C24E4" w:rsidRDefault="008C24E4" w:rsidP="008C24E4">
      <w:pPr>
        <w:pStyle w:val="Prrafodelista"/>
        <w:spacing w:after="0" w:line="240" w:lineRule="auto"/>
        <w:jc w:val="both"/>
        <w:rPr>
          <w:iCs/>
        </w:rPr>
      </w:pP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Proceso de fusión a nivel tecnológico y validación del funcionamiento del mismo;</w:t>
      </w: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Descripción de la nueva área de tecnología de información que como mínimo incluya: organigrama del área, plan estratégico, cronograma del proyecto de fusión, herramientas de seguridad, ubicación física del centro de datos y sitio alterno;</w:t>
      </w: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 xml:space="preserve">Descripción de todos los servicios informáticos implementados incluyendo para los </w:t>
      </w:r>
      <w:proofErr w:type="spellStart"/>
      <w:r w:rsidRPr="008C24E4">
        <w:rPr>
          <w:iCs/>
        </w:rPr>
        <w:t>tercerizados</w:t>
      </w:r>
      <w:proofErr w:type="spellEnd"/>
      <w:r w:rsidRPr="008C24E4">
        <w:rPr>
          <w:iCs/>
        </w:rPr>
        <w:t>, la información del proveedor;</w:t>
      </w:r>
    </w:p>
    <w:p w:rsidR="00B80BDD" w:rsidRDefault="00B80BDD" w:rsidP="00B80BDD">
      <w:pPr>
        <w:pStyle w:val="Prrafodelista"/>
        <w:spacing w:after="0" w:line="240" w:lineRule="auto"/>
        <w:ind w:left="1200"/>
        <w:jc w:val="both"/>
        <w:rPr>
          <w:iCs/>
        </w:rPr>
      </w:pPr>
    </w:p>
    <w:p w:rsidR="008C24E4" w:rsidRP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Plan de contingencia:</w:t>
      </w:r>
    </w:p>
    <w:p w:rsidR="008C24E4" w:rsidRPr="008C24E4" w:rsidRDefault="008C24E4" w:rsidP="008C24E4">
      <w:pPr>
        <w:pStyle w:val="Prrafodelista"/>
        <w:spacing w:after="0" w:line="240" w:lineRule="auto"/>
        <w:ind w:left="1200"/>
        <w:jc w:val="both"/>
        <w:rPr>
          <w:iCs/>
        </w:rPr>
      </w:pPr>
    </w:p>
    <w:p w:rsidR="008C24E4" w:rsidRPr="008C24E4" w:rsidRDefault="008C24E4" w:rsidP="008C24E4">
      <w:pPr>
        <w:pStyle w:val="Prrafodelista"/>
        <w:spacing w:after="0" w:line="240" w:lineRule="auto"/>
        <w:ind w:left="1200"/>
        <w:jc w:val="both"/>
        <w:rPr>
          <w:iCs/>
        </w:rPr>
      </w:pPr>
      <w:r w:rsidRPr="008C24E4">
        <w:rPr>
          <w:iCs/>
        </w:rPr>
        <w:t>a. Análisis de Impacto en el Negocio (BIA);</w:t>
      </w:r>
    </w:p>
    <w:p w:rsidR="008C24E4" w:rsidRPr="008C24E4" w:rsidRDefault="008C24E4" w:rsidP="008C24E4">
      <w:pPr>
        <w:pStyle w:val="Prrafodelista"/>
        <w:spacing w:after="0" w:line="240" w:lineRule="auto"/>
        <w:ind w:left="1200"/>
        <w:jc w:val="both"/>
        <w:rPr>
          <w:iCs/>
        </w:rPr>
      </w:pPr>
      <w:r w:rsidRPr="008C24E4">
        <w:rPr>
          <w:iCs/>
        </w:rPr>
        <w:t>b. Plan de continuidad del Negocio (BCP); y</w:t>
      </w:r>
    </w:p>
    <w:p w:rsidR="008C24E4" w:rsidRPr="008C24E4" w:rsidRDefault="008C24E4" w:rsidP="008C24E4">
      <w:pPr>
        <w:pStyle w:val="Prrafodelista"/>
        <w:spacing w:after="0" w:line="240" w:lineRule="auto"/>
        <w:ind w:left="1200"/>
        <w:jc w:val="both"/>
        <w:rPr>
          <w:iCs/>
        </w:rPr>
      </w:pPr>
      <w:r w:rsidRPr="008C24E4">
        <w:rPr>
          <w:iCs/>
        </w:rPr>
        <w:t>c. Plan de recuperación ante Desastres (DRP).</w:t>
      </w:r>
    </w:p>
    <w:p w:rsidR="008C24E4" w:rsidRPr="008C24E4" w:rsidRDefault="008C24E4" w:rsidP="008C24E4">
      <w:pPr>
        <w:pStyle w:val="Prrafodelista"/>
        <w:spacing w:after="0" w:line="240" w:lineRule="auto"/>
        <w:jc w:val="both"/>
        <w:rPr>
          <w:iCs/>
        </w:rPr>
      </w:pP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Inventario de aplicaciones que se mantendrán en producción, en donde se incluya descripción y características;</w:t>
      </w: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Plan de migración de datos;</w:t>
      </w: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Diagramas de comunicaciones (en el que se pueda visualizar como está conformada la infraestructura de red de las entidades), que incluya los enlaces o conexiones hacia entidades externas, así como si los equipos son servidores físicos y virtuales;</w:t>
      </w: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Análisis de riesgos y el sistema de gestión de seguridad de la información implementado o por implementar, que incluya como mínimo la Política de Seguridad Informática;</w:t>
      </w: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Manuales y Políticas de gestión de riesgos: crédito, operacional, mercado y liquidez, LA-FT;</w:t>
      </w:r>
    </w:p>
    <w:p w:rsidR="008C24E4" w:rsidRDefault="008C24E4" w:rsidP="008C24E4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iCs/>
        </w:rPr>
      </w:pPr>
      <w:r w:rsidRPr="008C24E4">
        <w:rPr>
          <w:iCs/>
        </w:rPr>
        <w:t>Documentación de las pruebas de TI efectuadas en el proceso de fusión, así como las actas o certificación de usuario y los informes de revisión por parte de auditoría interna.</w:t>
      </w:r>
    </w:p>
    <w:p w:rsidR="00B80BDD" w:rsidRDefault="00B80BDD" w:rsidP="00B80BDD">
      <w:pPr>
        <w:pStyle w:val="Prrafodelista"/>
        <w:spacing w:after="0" w:line="240" w:lineRule="auto"/>
        <w:ind w:left="1200"/>
        <w:jc w:val="both"/>
        <w:rPr>
          <w:iCs/>
        </w:rPr>
      </w:pPr>
    </w:p>
    <w:p w:rsidR="00B80BDD" w:rsidRDefault="00B80BDD" w:rsidP="00B80BDD">
      <w:pPr>
        <w:pStyle w:val="Prrafodelista"/>
        <w:spacing w:after="0" w:line="240" w:lineRule="auto"/>
        <w:ind w:left="1200"/>
        <w:jc w:val="both"/>
        <w:rPr>
          <w:iCs/>
        </w:rPr>
      </w:pPr>
    </w:p>
    <w:p w:rsidR="00B80BDD" w:rsidRDefault="00B80BDD" w:rsidP="00B80BDD">
      <w:pPr>
        <w:pStyle w:val="Prrafodelista"/>
        <w:spacing w:after="0" w:line="240" w:lineRule="auto"/>
        <w:ind w:left="1200"/>
        <w:jc w:val="both"/>
        <w:rPr>
          <w:iCs/>
        </w:rPr>
      </w:pPr>
    </w:p>
    <w:p w:rsidR="00B80BDD" w:rsidRDefault="00B80BDD" w:rsidP="00B80BDD">
      <w:pPr>
        <w:pStyle w:val="Prrafodelista"/>
        <w:spacing w:after="0" w:line="240" w:lineRule="auto"/>
        <w:ind w:left="1200"/>
        <w:jc w:val="both"/>
        <w:rPr>
          <w:iCs/>
        </w:rPr>
      </w:pPr>
    </w:p>
    <w:p w:rsidR="009E373F" w:rsidRDefault="009E373F" w:rsidP="009E373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9E373F">
        <w:rPr>
          <w:iCs/>
        </w:rPr>
        <w:lastRenderedPageBreak/>
        <w:t>Requerimientos para prevención de lavado de dinero y financiamiento del terrorismo (LA/FT):</w:t>
      </w:r>
    </w:p>
    <w:p w:rsidR="009E373F" w:rsidRPr="009E373F" w:rsidRDefault="009E373F" w:rsidP="009E373F">
      <w:pPr>
        <w:pStyle w:val="Prrafodelista"/>
        <w:spacing w:after="0" w:line="240" w:lineRule="auto"/>
        <w:jc w:val="both"/>
        <w:rPr>
          <w:iCs/>
        </w:rPr>
      </w:pPr>
      <w:r w:rsidRPr="009E373F">
        <w:rPr>
          <w:iCs/>
        </w:rPr>
        <w:t>16.1. Nombramiento del Oficial de Cumplimiento aprobado por el Órgano Director;</w:t>
      </w:r>
    </w:p>
    <w:p w:rsidR="009E373F" w:rsidRPr="009E373F" w:rsidRDefault="009E373F" w:rsidP="009E373F">
      <w:pPr>
        <w:pStyle w:val="Prrafodelista"/>
        <w:spacing w:after="0" w:line="240" w:lineRule="auto"/>
        <w:jc w:val="both"/>
        <w:rPr>
          <w:iCs/>
        </w:rPr>
      </w:pPr>
      <w:r w:rsidRPr="009E373F">
        <w:rPr>
          <w:iCs/>
        </w:rPr>
        <w:t>16.2. Manual de Prevención de LA/FT aprobado por el Órgano Director;</w:t>
      </w:r>
    </w:p>
    <w:p w:rsidR="009E373F" w:rsidRPr="009E373F" w:rsidRDefault="009E373F" w:rsidP="009E373F">
      <w:pPr>
        <w:pStyle w:val="Prrafodelista"/>
        <w:spacing w:after="0" w:line="240" w:lineRule="auto"/>
        <w:jc w:val="both"/>
        <w:rPr>
          <w:iCs/>
        </w:rPr>
      </w:pPr>
      <w:r w:rsidRPr="009E373F">
        <w:rPr>
          <w:iCs/>
        </w:rPr>
        <w:t>16.3. Manual del Sistema de Monitoreo a utilizar;</w:t>
      </w:r>
    </w:p>
    <w:p w:rsidR="009E373F" w:rsidRPr="009E373F" w:rsidRDefault="009E373F" w:rsidP="009E373F">
      <w:pPr>
        <w:pStyle w:val="Prrafodelista"/>
        <w:spacing w:after="0" w:line="240" w:lineRule="auto"/>
        <w:jc w:val="both"/>
        <w:rPr>
          <w:iCs/>
        </w:rPr>
      </w:pPr>
      <w:r w:rsidRPr="009E373F">
        <w:rPr>
          <w:iCs/>
        </w:rPr>
        <w:t xml:space="preserve">16.4. Detalle de las alertas </w:t>
      </w:r>
      <w:proofErr w:type="spellStart"/>
      <w:r w:rsidRPr="009E373F">
        <w:rPr>
          <w:iCs/>
        </w:rPr>
        <w:t>parametrizadas</w:t>
      </w:r>
      <w:proofErr w:type="spellEnd"/>
      <w:r w:rsidRPr="009E373F">
        <w:rPr>
          <w:iCs/>
        </w:rPr>
        <w:t xml:space="preserve"> en el Sistema de Monitoreo;</w:t>
      </w:r>
    </w:p>
    <w:p w:rsidR="009E373F" w:rsidRPr="009E373F" w:rsidRDefault="009E373F" w:rsidP="009E373F">
      <w:pPr>
        <w:pStyle w:val="Prrafodelista"/>
        <w:spacing w:after="0" w:line="240" w:lineRule="auto"/>
        <w:jc w:val="both"/>
        <w:rPr>
          <w:iCs/>
        </w:rPr>
      </w:pPr>
      <w:r w:rsidRPr="009E373F">
        <w:rPr>
          <w:iCs/>
        </w:rPr>
        <w:t>16.5. Detalle de productos y servicios ofrecidos al público; y</w:t>
      </w:r>
    </w:p>
    <w:p w:rsidR="009E373F" w:rsidRDefault="009E373F" w:rsidP="009E373F">
      <w:pPr>
        <w:pStyle w:val="Prrafodelista"/>
        <w:spacing w:after="0" w:line="240" w:lineRule="auto"/>
        <w:jc w:val="both"/>
        <w:rPr>
          <w:iCs/>
        </w:rPr>
      </w:pPr>
      <w:r w:rsidRPr="009E373F">
        <w:rPr>
          <w:iCs/>
        </w:rPr>
        <w:t>16.6. Programa de capacitaciones en materia de LA/FT.</w:t>
      </w:r>
    </w:p>
    <w:p w:rsidR="009E373F" w:rsidRDefault="009E373F" w:rsidP="009E373F">
      <w:pPr>
        <w:pStyle w:val="Prrafodelista"/>
        <w:spacing w:after="0" w:line="240" w:lineRule="auto"/>
        <w:jc w:val="both"/>
        <w:rPr>
          <w:iCs/>
        </w:rPr>
      </w:pPr>
    </w:p>
    <w:p w:rsidR="009E373F" w:rsidRDefault="009E373F" w:rsidP="009E373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>
        <w:rPr>
          <w:iCs/>
        </w:rPr>
        <w:t>D</w:t>
      </w:r>
      <w:r w:rsidRPr="009E373F">
        <w:rPr>
          <w:iCs/>
        </w:rPr>
        <w:t>etalle del número de agencias y/o establecimientos, cajeros automáticos y número de empleados  de las entidades antes y después de la fusión.</w:t>
      </w:r>
    </w:p>
    <w:p w:rsidR="009E373F" w:rsidRDefault="009E373F" w:rsidP="009E373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iCs/>
        </w:rPr>
      </w:pPr>
      <w:r w:rsidRPr="009E373F">
        <w:rPr>
          <w:iCs/>
        </w:rPr>
        <w:t>Detallar el proceso de cambio de imagen y sustitución de papelería si es procedente.</w:t>
      </w:r>
    </w:p>
    <w:p w:rsidR="009E373F" w:rsidRPr="008C24E4" w:rsidRDefault="009E373F" w:rsidP="009E373F">
      <w:pPr>
        <w:pStyle w:val="Prrafodelista"/>
        <w:spacing w:after="0" w:line="240" w:lineRule="auto"/>
        <w:jc w:val="both"/>
        <w:rPr>
          <w:iCs/>
        </w:rPr>
      </w:pPr>
    </w:p>
    <w:sectPr w:rsidR="009E373F" w:rsidRPr="008C24E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70" w:rsidRDefault="00402170" w:rsidP="00BB082E">
      <w:pPr>
        <w:spacing w:after="0" w:line="240" w:lineRule="auto"/>
      </w:pPr>
      <w:r>
        <w:separator/>
      </w:r>
    </w:p>
  </w:endnote>
  <w:endnote w:type="continuationSeparator" w:id="0">
    <w:p w:rsidR="00402170" w:rsidRDefault="0040217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182BBE" w:rsidP="00555371">
        <w:pPr>
          <w:pStyle w:val="Piedepgina"/>
          <w:jc w:val="right"/>
        </w:pPr>
        <w:fldSimple w:instr=" PAGE   \* MERGEFORMAT ">
          <w:r w:rsidR="00AE6F1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70" w:rsidRDefault="00402170" w:rsidP="00BB082E">
      <w:pPr>
        <w:spacing w:after="0" w:line="240" w:lineRule="auto"/>
      </w:pPr>
      <w:r>
        <w:separator/>
      </w:r>
    </w:p>
  </w:footnote>
  <w:footnote w:type="continuationSeparator" w:id="0">
    <w:p w:rsidR="00402170" w:rsidRDefault="0040217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multilevel"/>
    <w:tmpl w:val="13B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3">
    <w:nsid w:val="2B4D6671"/>
    <w:multiLevelType w:val="multilevel"/>
    <w:tmpl w:val="CEF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2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8738B"/>
    <w:multiLevelType w:val="multilevel"/>
    <w:tmpl w:val="2ED6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22"/>
  </w:num>
  <w:num w:numId="5">
    <w:abstractNumId w:val="23"/>
  </w:num>
  <w:num w:numId="6">
    <w:abstractNumId w:val="4"/>
  </w:num>
  <w:num w:numId="7">
    <w:abstractNumId w:val="18"/>
  </w:num>
  <w:num w:numId="8">
    <w:abstractNumId w:val="30"/>
  </w:num>
  <w:num w:numId="9">
    <w:abstractNumId w:val="17"/>
  </w:num>
  <w:num w:numId="10">
    <w:abstractNumId w:val="24"/>
  </w:num>
  <w:num w:numId="11">
    <w:abstractNumId w:val="7"/>
  </w:num>
  <w:num w:numId="12">
    <w:abstractNumId w:val="20"/>
  </w:num>
  <w:num w:numId="13">
    <w:abstractNumId w:val="25"/>
  </w:num>
  <w:num w:numId="14">
    <w:abstractNumId w:val="21"/>
  </w:num>
  <w:num w:numId="15">
    <w:abstractNumId w:val="12"/>
  </w:num>
  <w:num w:numId="16">
    <w:abstractNumId w:val="8"/>
  </w:num>
  <w:num w:numId="17">
    <w:abstractNumId w:val="9"/>
  </w:num>
  <w:num w:numId="18">
    <w:abstractNumId w:val="19"/>
  </w:num>
  <w:num w:numId="19">
    <w:abstractNumId w:val="26"/>
  </w:num>
  <w:num w:numId="20">
    <w:abstractNumId w:val="3"/>
  </w:num>
  <w:num w:numId="21">
    <w:abstractNumId w:val="0"/>
  </w:num>
  <w:num w:numId="22">
    <w:abstractNumId w:val="14"/>
  </w:num>
  <w:num w:numId="23">
    <w:abstractNumId w:val="6"/>
  </w:num>
  <w:num w:numId="24">
    <w:abstractNumId w:val="29"/>
  </w:num>
  <w:num w:numId="25">
    <w:abstractNumId w:val="16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 w:numId="30">
    <w:abstractNumId w:val="13"/>
  </w:num>
  <w:num w:numId="31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7343C"/>
    <w:rsid w:val="000830FE"/>
    <w:rsid w:val="00085DE2"/>
    <w:rsid w:val="00094789"/>
    <w:rsid w:val="00095B89"/>
    <w:rsid w:val="000A4DD8"/>
    <w:rsid w:val="000B2ADA"/>
    <w:rsid w:val="000C0F71"/>
    <w:rsid w:val="000C172A"/>
    <w:rsid w:val="000C6A25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2BBE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E50E9"/>
    <w:rsid w:val="001E699A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82EF5"/>
    <w:rsid w:val="002960E2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188"/>
    <w:rsid w:val="003F2C42"/>
    <w:rsid w:val="003F4F15"/>
    <w:rsid w:val="003F5FDD"/>
    <w:rsid w:val="00402170"/>
    <w:rsid w:val="0040553D"/>
    <w:rsid w:val="0041104A"/>
    <w:rsid w:val="004124DC"/>
    <w:rsid w:val="00413F43"/>
    <w:rsid w:val="0041424B"/>
    <w:rsid w:val="00417053"/>
    <w:rsid w:val="00424EB7"/>
    <w:rsid w:val="004433ED"/>
    <w:rsid w:val="00445E93"/>
    <w:rsid w:val="004525A5"/>
    <w:rsid w:val="0045360D"/>
    <w:rsid w:val="0046395C"/>
    <w:rsid w:val="004710A6"/>
    <w:rsid w:val="00473980"/>
    <w:rsid w:val="00480E29"/>
    <w:rsid w:val="00481137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1D28"/>
    <w:rsid w:val="00515F23"/>
    <w:rsid w:val="00523544"/>
    <w:rsid w:val="005258AC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4C6"/>
    <w:rsid w:val="00651646"/>
    <w:rsid w:val="00652E61"/>
    <w:rsid w:val="00664153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6416"/>
    <w:rsid w:val="00776EAD"/>
    <w:rsid w:val="007903A7"/>
    <w:rsid w:val="007A7323"/>
    <w:rsid w:val="007C11C6"/>
    <w:rsid w:val="007C395A"/>
    <w:rsid w:val="007D4728"/>
    <w:rsid w:val="007D6C6E"/>
    <w:rsid w:val="007F69E0"/>
    <w:rsid w:val="00806841"/>
    <w:rsid w:val="0081040F"/>
    <w:rsid w:val="00816A27"/>
    <w:rsid w:val="00817CC7"/>
    <w:rsid w:val="00831E77"/>
    <w:rsid w:val="00841B37"/>
    <w:rsid w:val="0084521A"/>
    <w:rsid w:val="0084650A"/>
    <w:rsid w:val="008560E0"/>
    <w:rsid w:val="00860AC1"/>
    <w:rsid w:val="008660FE"/>
    <w:rsid w:val="00867326"/>
    <w:rsid w:val="008766C2"/>
    <w:rsid w:val="00885594"/>
    <w:rsid w:val="0088610B"/>
    <w:rsid w:val="008B317C"/>
    <w:rsid w:val="008C24E4"/>
    <w:rsid w:val="008C2C2B"/>
    <w:rsid w:val="008C54F1"/>
    <w:rsid w:val="008D0833"/>
    <w:rsid w:val="008D71BD"/>
    <w:rsid w:val="008E14D3"/>
    <w:rsid w:val="008F0320"/>
    <w:rsid w:val="00904C5E"/>
    <w:rsid w:val="00907BA0"/>
    <w:rsid w:val="00910FA1"/>
    <w:rsid w:val="0092027A"/>
    <w:rsid w:val="00921529"/>
    <w:rsid w:val="009350E1"/>
    <w:rsid w:val="0094171F"/>
    <w:rsid w:val="009469D2"/>
    <w:rsid w:val="009554E7"/>
    <w:rsid w:val="009617D6"/>
    <w:rsid w:val="009708FC"/>
    <w:rsid w:val="0097580C"/>
    <w:rsid w:val="00985171"/>
    <w:rsid w:val="009A429C"/>
    <w:rsid w:val="009A42EF"/>
    <w:rsid w:val="009D0C38"/>
    <w:rsid w:val="009D634A"/>
    <w:rsid w:val="009E179A"/>
    <w:rsid w:val="009E373F"/>
    <w:rsid w:val="009F1DBB"/>
    <w:rsid w:val="00A021BE"/>
    <w:rsid w:val="00A20F2E"/>
    <w:rsid w:val="00A248DB"/>
    <w:rsid w:val="00A51686"/>
    <w:rsid w:val="00A54B93"/>
    <w:rsid w:val="00A57068"/>
    <w:rsid w:val="00A57FAF"/>
    <w:rsid w:val="00A65C83"/>
    <w:rsid w:val="00A6619E"/>
    <w:rsid w:val="00A8371B"/>
    <w:rsid w:val="00A93225"/>
    <w:rsid w:val="00A94227"/>
    <w:rsid w:val="00AA215B"/>
    <w:rsid w:val="00AA289E"/>
    <w:rsid w:val="00AC23D0"/>
    <w:rsid w:val="00AC4D71"/>
    <w:rsid w:val="00AD258E"/>
    <w:rsid w:val="00AD3086"/>
    <w:rsid w:val="00AE0D5B"/>
    <w:rsid w:val="00AE23A4"/>
    <w:rsid w:val="00AE2B3D"/>
    <w:rsid w:val="00AE6F13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4717E"/>
    <w:rsid w:val="00B50819"/>
    <w:rsid w:val="00B6463C"/>
    <w:rsid w:val="00B70EBE"/>
    <w:rsid w:val="00B72970"/>
    <w:rsid w:val="00B7731A"/>
    <w:rsid w:val="00B80BDD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4662B"/>
    <w:rsid w:val="00C538DA"/>
    <w:rsid w:val="00C553BA"/>
    <w:rsid w:val="00C56E99"/>
    <w:rsid w:val="00C62CDD"/>
    <w:rsid w:val="00C726F4"/>
    <w:rsid w:val="00C7373E"/>
    <w:rsid w:val="00C75097"/>
    <w:rsid w:val="00C86172"/>
    <w:rsid w:val="00C87B9E"/>
    <w:rsid w:val="00CA0A2C"/>
    <w:rsid w:val="00CB039F"/>
    <w:rsid w:val="00CC4A10"/>
    <w:rsid w:val="00CC60E8"/>
    <w:rsid w:val="00CD07A1"/>
    <w:rsid w:val="00CD3559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174F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2990"/>
    <w:rsid w:val="00D94A2B"/>
    <w:rsid w:val="00DA2889"/>
    <w:rsid w:val="00DA48D4"/>
    <w:rsid w:val="00DA79D6"/>
    <w:rsid w:val="00DC1F8B"/>
    <w:rsid w:val="00DD004E"/>
    <w:rsid w:val="00DD2975"/>
    <w:rsid w:val="00DD51C4"/>
    <w:rsid w:val="00DD5B91"/>
    <w:rsid w:val="00DE1626"/>
    <w:rsid w:val="00DF2E41"/>
    <w:rsid w:val="00DF5756"/>
    <w:rsid w:val="00E06590"/>
    <w:rsid w:val="00E151E8"/>
    <w:rsid w:val="00E247E4"/>
    <w:rsid w:val="00E4399C"/>
    <w:rsid w:val="00E45DA9"/>
    <w:rsid w:val="00E55DE5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B74"/>
    <w:rsid w:val="00FA2BA7"/>
    <w:rsid w:val="00FA4A8B"/>
    <w:rsid w:val="00FA7D1A"/>
    <w:rsid w:val="00FB1C58"/>
    <w:rsid w:val="00FB1F4F"/>
    <w:rsid w:val="00FB69CB"/>
    <w:rsid w:val="00FC2643"/>
    <w:rsid w:val="00FC7AA9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073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10ECA-ACBE-482E-9C8A-280356E6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21</cp:revision>
  <cp:lastPrinted>2014-09-02T16:41:00Z</cp:lastPrinted>
  <dcterms:created xsi:type="dcterms:W3CDTF">2018-06-12T15:31:00Z</dcterms:created>
  <dcterms:modified xsi:type="dcterms:W3CDTF">2018-06-12T21:35:00Z</dcterms:modified>
</cp:coreProperties>
</file>