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Ind w:w="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755122" w:rsidRPr="00755122" w14:paraId="5C33FE64" w14:textId="77777777" w:rsidTr="00691F70">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027D91C" w14:textId="53A46121" w:rsidR="00755122" w:rsidRPr="001B5A99" w:rsidRDefault="00755122" w:rsidP="00691F70">
            <w:pPr>
              <w:spacing w:after="255"/>
              <w:contextualSpacing/>
              <w:jc w:val="both"/>
              <w:rPr>
                <w:rFonts w:ascii="Museo Sans 300" w:hAnsi="Museo Sans 300"/>
                <w:b/>
                <w:bCs/>
                <w:sz w:val="20"/>
                <w:szCs w:val="20"/>
                <w:lang w:val="es-SV"/>
              </w:rPr>
            </w:pPr>
            <w:bookmarkStart w:id="0" w:name="_Hlk93653739"/>
            <w:r w:rsidRPr="001B5A99">
              <w:rPr>
                <w:rFonts w:ascii="Museo Sans 300" w:hAnsi="Museo Sans 300"/>
                <w:b/>
                <w:bCs/>
                <w:sz w:val="20"/>
                <w:szCs w:val="20"/>
                <w:lang w:val="es-SV"/>
              </w:rPr>
              <w:t xml:space="preserve">Nombre del Trámite No. </w:t>
            </w:r>
            <w:r w:rsidR="002A179E" w:rsidRPr="001B5A99">
              <w:rPr>
                <w:rFonts w:ascii="Museo Sans 300" w:hAnsi="Museo Sans 300"/>
                <w:b/>
                <w:bCs/>
                <w:sz w:val="20"/>
                <w:szCs w:val="20"/>
                <w:lang w:val="es-SV"/>
              </w:rPr>
              <w:t>BCF-0</w:t>
            </w:r>
            <w:r w:rsidR="005E5E75">
              <w:rPr>
                <w:rFonts w:ascii="Museo Sans 300" w:hAnsi="Museo Sans 300"/>
                <w:b/>
                <w:bCs/>
                <w:sz w:val="20"/>
                <w:szCs w:val="20"/>
                <w:lang w:val="es-SV"/>
              </w:rPr>
              <w:t>23</w:t>
            </w:r>
          </w:p>
        </w:tc>
        <w:tc>
          <w:tcPr>
            <w:tcW w:w="6407"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05850C42" w14:textId="7DE90C5E" w:rsidR="00755122" w:rsidRPr="00755122" w:rsidRDefault="00183096" w:rsidP="00755122">
            <w:pPr>
              <w:jc w:val="both"/>
              <w:rPr>
                <w:rFonts w:ascii="Museo Sans 300" w:hAnsi="Museo Sans 300"/>
                <w:b/>
                <w:bCs/>
                <w:color w:val="0F243E" w:themeColor="text2" w:themeShade="80"/>
                <w:sz w:val="20"/>
                <w:szCs w:val="20"/>
                <w:lang w:val="es-SV"/>
              </w:rPr>
            </w:pPr>
            <w:r>
              <w:rPr>
                <w:rFonts w:ascii="Museo Sans 300" w:hAnsi="Museo Sans 300"/>
                <w:b/>
                <w:bCs/>
                <w:color w:val="0F243E" w:themeColor="text2" w:themeShade="80"/>
                <w:sz w:val="20"/>
                <w:szCs w:val="20"/>
                <w:lang w:val="es-SV"/>
              </w:rPr>
              <w:t>AUTORIZACIÓN PARA OPERAR COMO AGENCIAS DE INFORMACIÓN DE DATOS</w:t>
            </w:r>
          </w:p>
        </w:tc>
      </w:tr>
      <w:tr w:rsidR="00755122" w:rsidRPr="00755122" w14:paraId="33855A79" w14:textId="77777777" w:rsidTr="00691F70">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51B327EE" w14:textId="77777777" w:rsidR="00755122" w:rsidRPr="00755122" w:rsidRDefault="00755122" w:rsidP="00691F70">
            <w:pPr>
              <w:spacing w:after="255"/>
              <w:contextualSpacing/>
              <w:jc w:val="both"/>
              <w:rPr>
                <w:rFonts w:ascii="Museo Sans 300" w:hAnsi="Museo Sans 300"/>
                <w:sz w:val="20"/>
                <w:szCs w:val="20"/>
                <w:lang w:val="es-SV"/>
              </w:rPr>
            </w:pPr>
            <w:r w:rsidRPr="00755122">
              <w:rPr>
                <w:rFonts w:ascii="Museo Sans 300" w:hAnsi="Museo Sans 300"/>
                <w:sz w:val="20"/>
                <w:szCs w:val="20"/>
                <w:lang w:val="es-SV"/>
              </w:rPr>
              <w:t>Nombre de la Intendencia</w:t>
            </w:r>
          </w:p>
        </w:tc>
        <w:tc>
          <w:tcPr>
            <w:tcW w:w="6407"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610FBAFD" w14:textId="536CF9D1" w:rsidR="00E84EFF" w:rsidRPr="00755122" w:rsidRDefault="00755122" w:rsidP="00691F70">
            <w:pPr>
              <w:rPr>
                <w:rFonts w:ascii="Museo Sans 300" w:hAnsi="Museo Sans 300"/>
                <w:b/>
                <w:bCs/>
                <w:color w:val="0F243E" w:themeColor="text2" w:themeShade="80"/>
                <w:sz w:val="20"/>
                <w:szCs w:val="20"/>
                <w:lang w:val="es-SV"/>
              </w:rPr>
            </w:pPr>
            <w:r w:rsidRPr="00755122">
              <w:rPr>
                <w:rFonts w:ascii="Museo Sans 300" w:hAnsi="Museo Sans 300"/>
                <w:b/>
                <w:bCs/>
                <w:color w:val="0F243E" w:themeColor="text2" w:themeShade="80"/>
                <w:sz w:val="20"/>
                <w:szCs w:val="20"/>
                <w:lang w:val="es-SV"/>
              </w:rPr>
              <w:t>Intendencia de Bancos y Conglomerados</w:t>
            </w:r>
          </w:p>
        </w:tc>
      </w:tr>
      <w:tr w:rsidR="00755122" w:rsidRPr="00755122" w14:paraId="0F4490B3" w14:textId="77777777" w:rsidTr="00691F70">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1DEC9047" w14:textId="77777777" w:rsidR="00755122" w:rsidRPr="00755122" w:rsidRDefault="00755122" w:rsidP="00691F70">
            <w:pPr>
              <w:spacing w:after="255"/>
              <w:contextualSpacing/>
              <w:jc w:val="both"/>
              <w:rPr>
                <w:rFonts w:ascii="Museo Sans 300" w:hAnsi="Museo Sans 300"/>
                <w:sz w:val="20"/>
                <w:szCs w:val="20"/>
                <w:lang w:val="es-SV"/>
              </w:rPr>
            </w:pPr>
            <w:r w:rsidRPr="00755122">
              <w:rPr>
                <w:rFonts w:ascii="Museo Sans 300" w:hAnsi="Museo Sans 300"/>
                <w:sz w:val="20"/>
                <w:szCs w:val="20"/>
                <w:lang w:val="es-SV"/>
              </w:rPr>
              <w:t>Sujetos que aplican el trámite en específico</w:t>
            </w:r>
          </w:p>
        </w:tc>
        <w:tc>
          <w:tcPr>
            <w:tcW w:w="6407"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FCDA51F" w14:textId="54A50606" w:rsidR="00183096" w:rsidRPr="00CD36D2" w:rsidRDefault="00183096" w:rsidP="006361BC">
            <w:pPr>
              <w:jc w:val="both"/>
              <w:rPr>
                <w:rFonts w:ascii="Museo Sans 300" w:hAnsi="Museo Sans 300"/>
                <w:b/>
                <w:bCs/>
                <w:color w:val="0F243E" w:themeColor="text2" w:themeShade="80"/>
                <w:sz w:val="20"/>
                <w:szCs w:val="20"/>
                <w:lang w:val="es-SV"/>
              </w:rPr>
            </w:pPr>
            <w:r w:rsidRPr="00CD36D2">
              <w:rPr>
                <w:rFonts w:ascii="Museo Sans 300" w:hAnsi="Museo Sans 300"/>
                <w:b/>
                <w:bCs/>
                <w:color w:val="0F243E" w:themeColor="text2" w:themeShade="80"/>
                <w:sz w:val="20"/>
                <w:szCs w:val="20"/>
                <w:lang w:val="es-SV"/>
              </w:rPr>
              <w:t>P</w:t>
            </w:r>
            <w:proofErr w:type="spellStart"/>
            <w:r w:rsidRPr="00CD36D2">
              <w:rPr>
                <w:rFonts w:ascii="Museo Sans 300" w:hAnsi="Museo Sans 300" w:cstheme="minorHAnsi"/>
              </w:rPr>
              <w:t>ersonas</w:t>
            </w:r>
            <w:proofErr w:type="spellEnd"/>
            <w:r w:rsidRPr="00CD36D2">
              <w:rPr>
                <w:rFonts w:ascii="Museo Sans 300" w:hAnsi="Museo Sans 300" w:cstheme="minorHAnsi"/>
              </w:rPr>
              <w:t xml:space="preserve"> jurídicas, públicas o privadas, que hayan manifestado su interés ante la Superintendencia del Sistema Financiero, de obtener autorización para operar como Agencias de Información de Datos</w:t>
            </w:r>
          </w:p>
        </w:tc>
      </w:tr>
      <w:bookmarkEnd w:id="0"/>
      <w:tr w:rsidR="00CD36D2" w:rsidRPr="00755122" w14:paraId="2EBED818" w14:textId="77777777" w:rsidTr="002D52EC">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546FCF02" w14:textId="77777777" w:rsidR="00CD36D2" w:rsidRPr="00755122" w:rsidRDefault="00CD36D2" w:rsidP="00691F70">
            <w:pPr>
              <w:spacing w:after="255"/>
              <w:contextualSpacing/>
              <w:jc w:val="both"/>
              <w:rPr>
                <w:rFonts w:ascii="Museo Sans 300" w:hAnsi="Museo Sans 300"/>
                <w:sz w:val="20"/>
                <w:szCs w:val="20"/>
                <w:lang w:val="es-SV"/>
              </w:rPr>
            </w:pPr>
            <w:r w:rsidRPr="00755122">
              <w:rPr>
                <w:rFonts w:ascii="Museo Sans 300" w:hAnsi="Museo Sans 300"/>
                <w:sz w:val="20"/>
                <w:szCs w:val="20"/>
                <w:lang w:val="es-SV"/>
              </w:rPr>
              <w:t>Fecha de última actualización</w:t>
            </w:r>
          </w:p>
        </w:tc>
        <w:tc>
          <w:tcPr>
            <w:tcW w:w="320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D63D14B" w14:textId="4F6D7373" w:rsidR="00CD36D2" w:rsidRPr="00755122" w:rsidRDefault="00907761" w:rsidP="00691F70">
            <w:pPr>
              <w:spacing w:after="255"/>
              <w:contextualSpacing/>
              <w:jc w:val="both"/>
              <w:rPr>
                <w:rFonts w:ascii="Museo Sans 300" w:hAnsi="Museo Sans 300"/>
                <w:b/>
                <w:bCs/>
                <w:color w:val="0F243E" w:themeColor="text2" w:themeShade="80"/>
                <w:sz w:val="20"/>
                <w:szCs w:val="20"/>
                <w:lang w:val="es-SV"/>
              </w:rPr>
            </w:pPr>
            <w:r>
              <w:rPr>
                <w:rFonts w:ascii="Museo Sans 300" w:hAnsi="Museo Sans 300"/>
                <w:b/>
                <w:bCs/>
                <w:sz w:val="20"/>
                <w:szCs w:val="20"/>
                <w:lang w:val="es-SV"/>
              </w:rPr>
              <w:t xml:space="preserve"> </w:t>
            </w:r>
            <w:r w:rsidR="000D12D5">
              <w:rPr>
                <w:rFonts w:ascii="Museo Sans 300" w:hAnsi="Museo Sans 300"/>
                <w:b/>
                <w:bCs/>
                <w:sz w:val="20"/>
                <w:szCs w:val="20"/>
                <w:lang w:val="es-SV"/>
              </w:rPr>
              <w:t>8</w:t>
            </w:r>
            <w:r>
              <w:rPr>
                <w:rFonts w:ascii="Museo Sans 300" w:hAnsi="Museo Sans 300"/>
                <w:b/>
                <w:bCs/>
                <w:sz w:val="20"/>
                <w:szCs w:val="20"/>
                <w:lang w:val="es-SV"/>
              </w:rPr>
              <w:t>/0</w:t>
            </w:r>
            <w:r w:rsidR="000D12D5">
              <w:rPr>
                <w:rFonts w:ascii="Museo Sans 300" w:hAnsi="Museo Sans 300"/>
                <w:b/>
                <w:bCs/>
                <w:sz w:val="20"/>
                <w:szCs w:val="20"/>
                <w:lang w:val="es-SV"/>
              </w:rPr>
              <w:t>6</w:t>
            </w:r>
            <w:r>
              <w:rPr>
                <w:rFonts w:ascii="Museo Sans 300" w:hAnsi="Museo Sans 300"/>
                <w:b/>
                <w:bCs/>
                <w:sz w:val="20"/>
                <w:szCs w:val="20"/>
                <w:lang w:val="es-SV"/>
              </w:rPr>
              <w:t>/2023</w:t>
            </w:r>
          </w:p>
        </w:tc>
        <w:tc>
          <w:tcPr>
            <w:tcW w:w="32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60657177" w14:textId="1371ADAE" w:rsidR="00CD36D2" w:rsidRPr="00755122" w:rsidRDefault="00CD36D2" w:rsidP="00691F70">
            <w:pPr>
              <w:spacing w:after="255"/>
              <w:contextualSpacing/>
              <w:jc w:val="both"/>
              <w:rPr>
                <w:rFonts w:ascii="Museo Sans 300" w:hAnsi="Museo Sans 300"/>
                <w:b/>
                <w:bCs/>
                <w:color w:val="0F243E" w:themeColor="text2" w:themeShade="80"/>
                <w:sz w:val="20"/>
                <w:szCs w:val="20"/>
                <w:lang w:val="es-SV"/>
              </w:rPr>
            </w:pPr>
            <w:r>
              <w:rPr>
                <w:rFonts w:ascii="Museo Sans 300" w:hAnsi="Museo Sans 300"/>
                <w:b/>
                <w:bCs/>
                <w:color w:val="0F243E" w:themeColor="text2" w:themeShade="80"/>
                <w:sz w:val="20"/>
                <w:szCs w:val="20"/>
                <w:lang w:val="es-SV"/>
              </w:rPr>
              <w:t xml:space="preserve">Plazo: </w:t>
            </w:r>
            <w:r w:rsidR="00907761">
              <w:rPr>
                <w:rFonts w:ascii="Museo Sans 300" w:hAnsi="Museo Sans 300"/>
                <w:b/>
                <w:bCs/>
                <w:color w:val="0F243E" w:themeColor="text2" w:themeShade="80"/>
                <w:sz w:val="20"/>
                <w:szCs w:val="20"/>
                <w:lang w:val="es-SV"/>
              </w:rPr>
              <w:t xml:space="preserve"> 60 días calendario </w:t>
            </w:r>
          </w:p>
        </w:tc>
      </w:tr>
    </w:tbl>
    <w:p w14:paraId="2335CD69" w14:textId="6215F31C" w:rsidR="00755122" w:rsidRPr="00755122" w:rsidRDefault="00755122" w:rsidP="00B666F7">
      <w:pPr>
        <w:spacing w:after="0" w:line="240" w:lineRule="auto"/>
        <w:jc w:val="both"/>
        <w:rPr>
          <w:rFonts w:ascii="Museo Sans 300" w:hAnsi="Museo Sans 300"/>
          <w:b/>
          <w:lang w:val="es-SV"/>
        </w:rPr>
      </w:pPr>
    </w:p>
    <w:p w14:paraId="5B1FDB2B" w14:textId="77777777" w:rsidR="00755122" w:rsidRPr="00755122" w:rsidRDefault="00755122" w:rsidP="00B666F7">
      <w:pPr>
        <w:spacing w:after="0" w:line="240" w:lineRule="auto"/>
        <w:jc w:val="both"/>
        <w:rPr>
          <w:rFonts w:ascii="Museo Sans 300" w:hAnsi="Museo Sans 300"/>
          <w:b/>
          <w:lang w:val="es-SV"/>
        </w:rPr>
      </w:pPr>
    </w:p>
    <w:p w14:paraId="6B998EF9" w14:textId="29E36631" w:rsidR="00B666F7" w:rsidRDefault="00B666F7" w:rsidP="00B666F7">
      <w:pPr>
        <w:spacing w:after="0" w:line="240" w:lineRule="auto"/>
        <w:jc w:val="both"/>
        <w:rPr>
          <w:rFonts w:ascii="Museo Sans 300" w:hAnsi="Museo Sans 300"/>
          <w:b/>
          <w:szCs w:val="20"/>
          <w:u w:val="single"/>
          <w:lang w:val="es-SV"/>
        </w:rPr>
      </w:pPr>
      <w:r w:rsidRPr="00755122">
        <w:rPr>
          <w:rFonts w:ascii="Museo Sans 300" w:hAnsi="Museo Sans 300"/>
          <w:b/>
          <w:szCs w:val="20"/>
          <w:u w:val="single"/>
          <w:lang w:val="es-SV"/>
        </w:rPr>
        <w:t>Base Legal</w:t>
      </w:r>
      <w:r w:rsidR="00755122" w:rsidRPr="00755122">
        <w:rPr>
          <w:rFonts w:ascii="Museo Sans 300" w:hAnsi="Museo Sans 300"/>
          <w:b/>
          <w:szCs w:val="20"/>
          <w:u w:val="single"/>
          <w:lang w:val="es-SV"/>
        </w:rPr>
        <w:t>:</w:t>
      </w:r>
    </w:p>
    <w:p w14:paraId="13D41E13" w14:textId="77777777" w:rsidR="00C37654" w:rsidRPr="00755122" w:rsidRDefault="00C37654" w:rsidP="00B666F7">
      <w:pPr>
        <w:spacing w:after="0" w:line="240" w:lineRule="auto"/>
        <w:jc w:val="both"/>
        <w:rPr>
          <w:rFonts w:ascii="Museo Sans 300" w:hAnsi="Museo Sans 300"/>
          <w:b/>
          <w:szCs w:val="20"/>
          <w:u w:val="single"/>
          <w:lang w:val="es-SV"/>
        </w:rPr>
      </w:pPr>
    </w:p>
    <w:p w14:paraId="5ED70DA0" w14:textId="61C61E51" w:rsidR="00183096" w:rsidRDefault="00183096" w:rsidP="00B666F7">
      <w:pPr>
        <w:pStyle w:val="Prrafodelista"/>
        <w:numPr>
          <w:ilvl w:val="0"/>
          <w:numId w:val="4"/>
        </w:numPr>
        <w:spacing w:after="0" w:line="240" w:lineRule="auto"/>
        <w:jc w:val="both"/>
        <w:rPr>
          <w:rFonts w:ascii="Museo Sans 300" w:hAnsi="Museo Sans 300"/>
          <w:bCs/>
          <w:iCs/>
        </w:rPr>
      </w:pPr>
      <w:r w:rsidRPr="00183096">
        <w:rPr>
          <w:rFonts w:ascii="Museo Sans 300" w:hAnsi="Museo Sans 300"/>
          <w:bCs/>
          <w:iCs/>
        </w:rPr>
        <w:t xml:space="preserve">Ley de Regulación de los Servicios de Información sobre el Historial de Crédito de las </w:t>
      </w:r>
      <w:r>
        <w:rPr>
          <w:rFonts w:ascii="Museo Sans 300" w:hAnsi="Museo Sans 300"/>
          <w:bCs/>
          <w:iCs/>
        </w:rPr>
        <w:t>p</w:t>
      </w:r>
      <w:r w:rsidRPr="00183096">
        <w:rPr>
          <w:rFonts w:ascii="Museo Sans 300" w:hAnsi="Museo Sans 300"/>
          <w:bCs/>
          <w:iCs/>
        </w:rPr>
        <w:t>ersonas</w:t>
      </w:r>
    </w:p>
    <w:p w14:paraId="296232DD" w14:textId="45AE7B1B" w:rsidR="00B666F7" w:rsidRPr="00755122" w:rsidRDefault="00183096" w:rsidP="00B666F7">
      <w:pPr>
        <w:pStyle w:val="Prrafodelista"/>
        <w:numPr>
          <w:ilvl w:val="0"/>
          <w:numId w:val="4"/>
        </w:numPr>
        <w:spacing w:after="0" w:line="240" w:lineRule="auto"/>
        <w:jc w:val="both"/>
        <w:rPr>
          <w:rFonts w:ascii="Museo Sans 300" w:hAnsi="Museo Sans 300"/>
          <w:bCs/>
          <w:iCs/>
        </w:rPr>
      </w:pPr>
      <w:r w:rsidRPr="00183096">
        <w:rPr>
          <w:rFonts w:ascii="Museo Sans 300" w:hAnsi="Museo Sans 300"/>
          <w:bCs/>
          <w:iCs/>
        </w:rPr>
        <w:t>Normas Técnicas para la Autorización, Registro y Funcionamiento de las Agencias de Información de Datos y de los Servicios de Información sobre el Historial de Crédito de las Personas (NRP-30)</w:t>
      </w:r>
    </w:p>
    <w:p w14:paraId="37461ADB" w14:textId="77777777" w:rsidR="00B666F7" w:rsidRPr="00755122" w:rsidRDefault="00B666F7" w:rsidP="00B666F7">
      <w:pPr>
        <w:spacing w:after="0" w:line="240" w:lineRule="auto"/>
        <w:jc w:val="both"/>
        <w:rPr>
          <w:rFonts w:ascii="Museo Sans 300" w:hAnsi="Museo Sans 300"/>
          <w:szCs w:val="20"/>
          <w:lang w:val="es-SV"/>
        </w:rPr>
      </w:pPr>
    </w:p>
    <w:p w14:paraId="178123D8" w14:textId="77777777" w:rsidR="00B666F7" w:rsidRPr="00755122" w:rsidRDefault="00B666F7" w:rsidP="00B666F7">
      <w:pPr>
        <w:pStyle w:val="Prrafodelista"/>
        <w:spacing w:after="0" w:line="240" w:lineRule="auto"/>
        <w:ind w:left="0"/>
        <w:jc w:val="both"/>
        <w:rPr>
          <w:rFonts w:ascii="Museo Sans 300" w:hAnsi="Museo Sans 300"/>
          <w:b/>
          <w:szCs w:val="20"/>
          <w:u w:val="single"/>
          <w:lang w:val="es-SV"/>
        </w:rPr>
      </w:pPr>
      <w:r w:rsidRPr="00755122">
        <w:rPr>
          <w:rFonts w:ascii="Museo Sans 300" w:hAnsi="Museo Sans 300"/>
          <w:b/>
          <w:szCs w:val="20"/>
          <w:u w:val="single"/>
          <w:lang w:val="es-SV"/>
        </w:rPr>
        <w:t xml:space="preserve">Requisitos </w:t>
      </w:r>
    </w:p>
    <w:p w14:paraId="5048D89B" w14:textId="77777777" w:rsidR="00B666F7" w:rsidRPr="00755122" w:rsidRDefault="00B666F7" w:rsidP="00B666F7">
      <w:pPr>
        <w:pStyle w:val="Prrafodelista"/>
        <w:spacing w:after="0" w:line="240" w:lineRule="auto"/>
        <w:ind w:left="0"/>
        <w:jc w:val="both"/>
        <w:rPr>
          <w:rFonts w:ascii="Museo Sans 300" w:hAnsi="Museo Sans 300"/>
          <w:szCs w:val="20"/>
          <w:u w:val="single"/>
          <w:lang w:val="es-SV"/>
        </w:rPr>
      </w:pPr>
    </w:p>
    <w:p w14:paraId="2AD03E73" w14:textId="4C6CDC94" w:rsidR="002944CD" w:rsidRDefault="0068350F" w:rsidP="006361BC">
      <w:pPr>
        <w:pStyle w:val="Prrafodelista"/>
        <w:numPr>
          <w:ilvl w:val="0"/>
          <w:numId w:val="25"/>
        </w:numPr>
        <w:spacing w:after="0" w:line="240" w:lineRule="auto"/>
        <w:ind w:left="426" w:hanging="426"/>
        <w:jc w:val="both"/>
        <w:rPr>
          <w:rFonts w:ascii="Museo Sans 300" w:hAnsi="Museo Sans 300"/>
          <w:iCs/>
        </w:rPr>
      </w:pPr>
      <w:r w:rsidRPr="0068350F">
        <w:rPr>
          <w:rFonts w:ascii="Museo Sans 300" w:hAnsi="Museo Sans 300"/>
          <w:iCs/>
        </w:rPr>
        <w:t>Solicitud de autorización a la Superintendencia, firmada por el representante legal</w:t>
      </w:r>
      <w:r>
        <w:rPr>
          <w:rFonts w:ascii="Museo Sans 300" w:hAnsi="Museo Sans 300"/>
          <w:iCs/>
        </w:rPr>
        <w:t>, c</w:t>
      </w:r>
      <w:r w:rsidRPr="0068350F">
        <w:rPr>
          <w:rFonts w:ascii="Museo Sans 300" w:hAnsi="Museo Sans 300"/>
          <w:iCs/>
        </w:rPr>
        <w:t>onteniendo lo establecido en el literal a) del Art. 6 de la NRP-30</w:t>
      </w:r>
      <w:r w:rsidR="00773E36">
        <w:rPr>
          <w:rFonts w:ascii="Museo Sans 300" w:hAnsi="Museo Sans 300"/>
          <w:iCs/>
        </w:rPr>
        <w:t>.</w:t>
      </w:r>
    </w:p>
    <w:p w14:paraId="609745FC" w14:textId="77777777" w:rsidR="00183096" w:rsidRPr="00183096" w:rsidRDefault="00183096" w:rsidP="00183096">
      <w:pPr>
        <w:pStyle w:val="Prrafodelista"/>
        <w:spacing w:after="0" w:line="240" w:lineRule="auto"/>
        <w:ind w:left="426"/>
        <w:jc w:val="both"/>
        <w:rPr>
          <w:rFonts w:ascii="Museo Sans 300" w:hAnsi="Museo Sans 300"/>
          <w:iCs/>
        </w:rPr>
      </w:pPr>
    </w:p>
    <w:p w14:paraId="288635D9" w14:textId="1378BC9F" w:rsidR="002944CD" w:rsidRPr="00EF20A6" w:rsidRDefault="00183096" w:rsidP="0021563C">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t>Copia de la escritura pública de Constitución de la Sociedad o asociación de que se trate y de las reformas, si las hubiere</w:t>
      </w:r>
      <w:r w:rsidR="00EF20A6" w:rsidRPr="00EF20A6">
        <w:rPr>
          <w:rFonts w:ascii="Museo Sans 300" w:hAnsi="Museo Sans 300"/>
          <w:iCs/>
        </w:rPr>
        <w:t xml:space="preserve">, </w:t>
      </w:r>
      <w:r w:rsidR="002944CD" w:rsidRPr="00EF20A6">
        <w:rPr>
          <w:rFonts w:ascii="Museo Sans 300" w:hAnsi="Museo Sans 300"/>
          <w:iCs/>
        </w:rPr>
        <w:t>debidamente inscritos en el Registro correspondiente, en caso de AID privadas, su escritura constitutiva deberá contener como finalidad principal la recopilación de información de datos sobre el historial de crédito de las personas.</w:t>
      </w:r>
    </w:p>
    <w:p w14:paraId="25298E64" w14:textId="77777777" w:rsidR="00B666F7" w:rsidRPr="00755122" w:rsidRDefault="00B666F7" w:rsidP="00B666F7">
      <w:pPr>
        <w:pStyle w:val="Prrafodelista"/>
        <w:spacing w:after="0" w:line="240" w:lineRule="auto"/>
        <w:jc w:val="both"/>
        <w:rPr>
          <w:rFonts w:ascii="Museo Sans 300" w:hAnsi="Museo Sans 300"/>
          <w:iCs/>
        </w:rPr>
      </w:pPr>
    </w:p>
    <w:p w14:paraId="4F2F040D" w14:textId="77777777" w:rsidR="00EF20A6" w:rsidRDefault="00183096" w:rsidP="00EF20A6">
      <w:pPr>
        <w:pStyle w:val="Prrafodelista"/>
        <w:numPr>
          <w:ilvl w:val="0"/>
          <w:numId w:val="25"/>
        </w:numPr>
        <w:spacing w:after="0" w:line="240" w:lineRule="auto"/>
        <w:ind w:left="426" w:hanging="426"/>
        <w:jc w:val="both"/>
        <w:rPr>
          <w:rFonts w:ascii="Museo Sans 300" w:hAnsi="Museo Sans 300"/>
          <w:iCs/>
        </w:rPr>
      </w:pPr>
      <w:r w:rsidRPr="00183096">
        <w:rPr>
          <w:rFonts w:ascii="Museo Sans 300" w:hAnsi="Museo Sans 300"/>
          <w:iCs/>
        </w:rPr>
        <w:t>Certificación del Registro respectivo</w:t>
      </w:r>
      <w:r w:rsidR="00EF20A6">
        <w:rPr>
          <w:rFonts w:ascii="Museo Sans 300" w:hAnsi="Museo Sans 300"/>
          <w:iCs/>
        </w:rPr>
        <w:t xml:space="preserve"> donde </w:t>
      </w:r>
      <w:r w:rsidR="002944CD" w:rsidRPr="00EF20A6">
        <w:rPr>
          <w:rFonts w:ascii="Museo Sans 300" w:hAnsi="Museo Sans 300"/>
          <w:iCs/>
        </w:rPr>
        <w:t>const</w:t>
      </w:r>
      <w:r w:rsidR="00EF20A6">
        <w:rPr>
          <w:rFonts w:ascii="Museo Sans 300" w:hAnsi="Museo Sans 300"/>
          <w:iCs/>
        </w:rPr>
        <w:t>e</w:t>
      </w:r>
      <w:r w:rsidR="002944CD" w:rsidRPr="00EF20A6">
        <w:rPr>
          <w:rFonts w:ascii="Museo Sans 300" w:hAnsi="Museo Sans 300"/>
          <w:iCs/>
        </w:rPr>
        <w:t xml:space="preserve"> la vigencia y datos de inscripción de la persona jurídica, así como el nombre de los directores, representante legal y apoderado general, si los hubiere.</w:t>
      </w:r>
    </w:p>
    <w:p w14:paraId="59BB529E" w14:textId="77777777" w:rsidR="00EF20A6" w:rsidRPr="00EF20A6" w:rsidRDefault="00EF20A6" w:rsidP="00EF20A6">
      <w:pPr>
        <w:pStyle w:val="Prrafodelista"/>
        <w:rPr>
          <w:rFonts w:ascii="Museo Sans 300" w:hAnsi="Museo Sans 300"/>
          <w:iCs/>
        </w:rPr>
      </w:pPr>
    </w:p>
    <w:p w14:paraId="2B3D04ED" w14:textId="22FACAD3" w:rsidR="002944CD" w:rsidRPr="00EF20A6" w:rsidRDefault="002944CD" w:rsidP="00EF20A6">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t>Fotocopia certificada del Documento Único de Identidad, Pasaporte vigente o carn</w:t>
      </w:r>
      <w:r w:rsidR="00EF20A6">
        <w:rPr>
          <w:rFonts w:ascii="Museo Sans 300" w:hAnsi="Museo Sans 300"/>
          <w:iCs/>
        </w:rPr>
        <w:t>é</w:t>
      </w:r>
      <w:r w:rsidRPr="00EF20A6">
        <w:rPr>
          <w:rFonts w:ascii="Museo Sans 300" w:hAnsi="Museo Sans 300"/>
          <w:iCs/>
        </w:rPr>
        <w:t xml:space="preserve"> de residente según sea el caso y del Número de Identificación Tributaria de sus directores, representante legal y apoderado general, si los hubiere.</w:t>
      </w:r>
    </w:p>
    <w:p w14:paraId="620D8137" w14:textId="77777777" w:rsidR="002944CD" w:rsidRPr="002944CD" w:rsidRDefault="002944CD" w:rsidP="002944CD">
      <w:pPr>
        <w:spacing w:after="0" w:line="240" w:lineRule="auto"/>
        <w:jc w:val="both"/>
        <w:rPr>
          <w:rFonts w:ascii="Museo Sans 300" w:hAnsi="Museo Sans 300"/>
          <w:iCs/>
        </w:rPr>
      </w:pPr>
    </w:p>
    <w:p w14:paraId="2BF97F79" w14:textId="1A3A5F72" w:rsidR="002944CD" w:rsidRPr="00EF20A6" w:rsidRDefault="002944CD" w:rsidP="000E367A">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t>Solvencia de Antecedentes Policiales, extendida por la Policía Nacional Civil, de los directores, representante legal y apoderado general, si los hubiere.</w:t>
      </w:r>
    </w:p>
    <w:p w14:paraId="3E5ABD79" w14:textId="77777777" w:rsidR="002944CD" w:rsidRPr="002944CD" w:rsidRDefault="002944CD" w:rsidP="002944CD">
      <w:pPr>
        <w:pStyle w:val="Prrafodelista"/>
        <w:rPr>
          <w:rFonts w:ascii="Museo Sans 300" w:hAnsi="Museo Sans 300"/>
          <w:iCs/>
        </w:rPr>
      </w:pPr>
    </w:p>
    <w:p w14:paraId="7283BD12" w14:textId="77777777" w:rsidR="00466169" w:rsidRDefault="002944CD" w:rsidP="00466169">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t xml:space="preserve">Solvencia de </w:t>
      </w:r>
      <w:r w:rsidR="00EF20A6" w:rsidRPr="00EF20A6">
        <w:rPr>
          <w:rFonts w:ascii="Museo Sans 300" w:hAnsi="Museo Sans 300"/>
          <w:iCs/>
        </w:rPr>
        <w:t>a</w:t>
      </w:r>
      <w:r w:rsidRPr="00EF20A6">
        <w:rPr>
          <w:rFonts w:ascii="Museo Sans 300" w:hAnsi="Museo Sans 300"/>
          <w:iCs/>
        </w:rPr>
        <w:t xml:space="preserve">ntecedentes </w:t>
      </w:r>
      <w:r w:rsidR="00EF20A6" w:rsidRPr="00EF20A6">
        <w:rPr>
          <w:rFonts w:ascii="Museo Sans 300" w:hAnsi="Museo Sans 300"/>
          <w:iCs/>
        </w:rPr>
        <w:t>p</w:t>
      </w:r>
      <w:r w:rsidRPr="00EF20A6">
        <w:rPr>
          <w:rFonts w:ascii="Museo Sans 300" w:hAnsi="Museo Sans 300"/>
          <w:iCs/>
        </w:rPr>
        <w:t>enales, extendida por la Dirección General de Centros Penales del Ministerio de Justicia y Seguridad Pública, de los directores, representante legal y apoderado general, si los hubiere.</w:t>
      </w:r>
    </w:p>
    <w:p w14:paraId="42F958F8" w14:textId="77777777" w:rsidR="00466169" w:rsidRPr="00466169" w:rsidRDefault="00466169" w:rsidP="00466169">
      <w:pPr>
        <w:pStyle w:val="Prrafodelista"/>
        <w:rPr>
          <w:rFonts w:ascii="Museo Sans 300" w:hAnsi="Museo Sans 300"/>
          <w:iCs/>
        </w:rPr>
      </w:pPr>
    </w:p>
    <w:p w14:paraId="39D9B7B7" w14:textId="42DB86E2" w:rsidR="002944CD" w:rsidRPr="00466169" w:rsidRDefault="002944CD" w:rsidP="00466169">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lastRenderedPageBreak/>
        <w:t>Depósitos de formato de contratos de prestación de servicios en la Superintendencia del Sistema Financiero con la revisión realizada por la Defensoría del Consumidor, así como cualquier modificación a los mismos.</w:t>
      </w:r>
    </w:p>
    <w:p w14:paraId="19765DDA" w14:textId="77777777" w:rsidR="002944CD" w:rsidRPr="002944CD" w:rsidRDefault="002944CD" w:rsidP="002944CD">
      <w:pPr>
        <w:pStyle w:val="Prrafodelista"/>
        <w:rPr>
          <w:rFonts w:ascii="Museo Sans 300" w:hAnsi="Museo Sans 300"/>
          <w:iCs/>
        </w:rPr>
      </w:pPr>
    </w:p>
    <w:p w14:paraId="275AE03C" w14:textId="4AD75D81" w:rsidR="002944CD" w:rsidRPr="00466169" w:rsidRDefault="002944CD" w:rsidP="004E1146">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Número, ubicación y horario de servicios de los puntos de consulta y centros de resolución de quejas.</w:t>
      </w:r>
    </w:p>
    <w:p w14:paraId="605E98B9" w14:textId="77777777" w:rsidR="002944CD" w:rsidRPr="002944CD" w:rsidRDefault="002944CD" w:rsidP="002944CD">
      <w:pPr>
        <w:pStyle w:val="Prrafodelista"/>
        <w:rPr>
          <w:rFonts w:ascii="Museo Sans 300" w:hAnsi="Museo Sans 300"/>
          <w:iCs/>
        </w:rPr>
      </w:pPr>
    </w:p>
    <w:p w14:paraId="7C2952D9" w14:textId="4F858C2B" w:rsidR="002944CD" w:rsidRPr="00466169" w:rsidRDefault="002944CD" w:rsidP="0041276F">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Descripción del procedimiento o sistema establecido para la atención del cliente de conformidad a lo establecido en la Ley del Historial de Crédito.</w:t>
      </w:r>
    </w:p>
    <w:p w14:paraId="019128DB" w14:textId="77777777" w:rsidR="002944CD" w:rsidRPr="002944CD" w:rsidRDefault="002944CD" w:rsidP="002944CD">
      <w:pPr>
        <w:pStyle w:val="Prrafodelista"/>
        <w:rPr>
          <w:rFonts w:ascii="Museo Sans 300" w:hAnsi="Museo Sans 300"/>
          <w:iCs/>
        </w:rPr>
      </w:pPr>
    </w:p>
    <w:p w14:paraId="5E99548F" w14:textId="1CBF6A43" w:rsidR="002944CD" w:rsidRPr="00466169" w:rsidRDefault="002944CD" w:rsidP="0063728B">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Descripción del procedimiento para la rectificación y actualización de datos de conformidad a lo establecido en la Ley del Historial de Crédito.</w:t>
      </w:r>
    </w:p>
    <w:p w14:paraId="207B45BA" w14:textId="77777777" w:rsidR="002944CD" w:rsidRPr="002944CD" w:rsidRDefault="002944CD" w:rsidP="002944CD">
      <w:pPr>
        <w:pStyle w:val="Prrafodelista"/>
        <w:rPr>
          <w:rFonts w:ascii="Museo Sans 300" w:hAnsi="Museo Sans 300"/>
          <w:iCs/>
        </w:rPr>
      </w:pPr>
    </w:p>
    <w:p w14:paraId="55816404" w14:textId="2D009FBD" w:rsidR="002944CD" w:rsidRPr="00466169" w:rsidRDefault="002944CD" w:rsidP="001F6E40">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Nombramiento del auditor externo, inscrito en la Superintendencia.</w:t>
      </w:r>
    </w:p>
    <w:p w14:paraId="20509A95" w14:textId="77777777" w:rsidR="002944CD" w:rsidRPr="002944CD" w:rsidRDefault="002944CD" w:rsidP="002944CD">
      <w:pPr>
        <w:pStyle w:val="Prrafodelista"/>
        <w:rPr>
          <w:rFonts w:ascii="Museo Sans 300" w:hAnsi="Museo Sans 300"/>
          <w:iCs/>
        </w:rPr>
      </w:pPr>
    </w:p>
    <w:p w14:paraId="6A31D3AF" w14:textId="71DCD918" w:rsidR="002944CD" w:rsidRPr="00466169" w:rsidRDefault="008023F7" w:rsidP="00CF78B6">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Organigrama de la AID con indicación del cargo y nombre de los administradores y directores, especificando el cargo a desempeñar respecto del personal de apoyo.</w:t>
      </w:r>
    </w:p>
    <w:p w14:paraId="7DF3A627" w14:textId="77777777" w:rsidR="002944CD" w:rsidRPr="002944CD" w:rsidRDefault="002944CD" w:rsidP="002944CD">
      <w:pPr>
        <w:pStyle w:val="Prrafodelista"/>
        <w:rPr>
          <w:rFonts w:ascii="Museo Sans 300" w:hAnsi="Museo Sans 300"/>
          <w:iCs/>
        </w:rPr>
      </w:pPr>
    </w:p>
    <w:p w14:paraId="2A2FBED5" w14:textId="213AB267" w:rsidR="00466169" w:rsidRDefault="002944CD" w:rsidP="00466169">
      <w:pPr>
        <w:pStyle w:val="Prrafodelista"/>
        <w:numPr>
          <w:ilvl w:val="0"/>
          <w:numId w:val="25"/>
        </w:numPr>
        <w:spacing w:after="0" w:line="240" w:lineRule="auto"/>
        <w:ind w:left="426" w:hanging="426"/>
        <w:jc w:val="both"/>
        <w:rPr>
          <w:rFonts w:ascii="Museo Sans 300" w:hAnsi="Museo Sans 300"/>
          <w:iCs/>
        </w:rPr>
      </w:pPr>
      <w:r w:rsidRPr="002944CD">
        <w:rPr>
          <w:rFonts w:ascii="Museo Sans 300" w:hAnsi="Museo Sans 300"/>
          <w:iCs/>
        </w:rPr>
        <w:t>Solvencia financiera fiscal y municipal de la sociedad.</w:t>
      </w:r>
    </w:p>
    <w:p w14:paraId="5C2F9C25" w14:textId="77777777" w:rsidR="006361BC" w:rsidRPr="006361BC" w:rsidRDefault="006361BC" w:rsidP="006361BC">
      <w:pPr>
        <w:pStyle w:val="Prrafodelista"/>
        <w:rPr>
          <w:rFonts w:ascii="Museo Sans 300" w:hAnsi="Museo Sans 300"/>
          <w:iCs/>
        </w:rPr>
      </w:pPr>
    </w:p>
    <w:p w14:paraId="3D1BED30" w14:textId="0756ECCA" w:rsidR="00466169" w:rsidRPr="006361BC" w:rsidRDefault="0068350F" w:rsidP="00466169">
      <w:pPr>
        <w:pStyle w:val="Prrafodelista"/>
        <w:numPr>
          <w:ilvl w:val="0"/>
          <w:numId w:val="25"/>
        </w:numPr>
        <w:spacing w:after="0" w:line="240" w:lineRule="auto"/>
        <w:ind w:left="426" w:hanging="426"/>
        <w:jc w:val="both"/>
        <w:rPr>
          <w:rFonts w:ascii="Museo Sans 300" w:hAnsi="Museo Sans 300"/>
          <w:iCs/>
        </w:rPr>
      </w:pPr>
      <w:r w:rsidRPr="006361BC">
        <w:rPr>
          <w:rFonts w:ascii="Museo Sans 300" w:hAnsi="Museo Sans 300"/>
          <w:iCs/>
        </w:rPr>
        <w:t>Programa general de funcionamiento, que comprenda lo detallado en el literal n) del artículo 6 de las Normas NRP-30</w:t>
      </w:r>
      <w:r w:rsidR="00773E36">
        <w:rPr>
          <w:rFonts w:ascii="Museo Sans 300" w:hAnsi="Museo Sans 300"/>
          <w:iCs/>
        </w:rPr>
        <w:t>.</w:t>
      </w:r>
    </w:p>
    <w:p w14:paraId="6E868D61" w14:textId="77777777" w:rsidR="002944CD" w:rsidRPr="002944CD" w:rsidRDefault="002944CD" w:rsidP="002944CD">
      <w:pPr>
        <w:pStyle w:val="Prrafodelista"/>
        <w:rPr>
          <w:rFonts w:ascii="Museo Sans 300" w:hAnsi="Museo Sans 300"/>
          <w:iCs/>
        </w:rPr>
      </w:pPr>
    </w:p>
    <w:p w14:paraId="37A3560D" w14:textId="2FDE9317" w:rsidR="0038622E" w:rsidRPr="00466169" w:rsidRDefault="00466169" w:rsidP="00DE19F1">
      <w:pPr>
        <w:pStyle w:val="Prrafodelista"/>
        <w:numPr>
          <w:ilvl w:val="0"/>
          <w:numId w:val="25"/>
        </w:numPr>
        <w:spacing w:after="0" w:line="240" w:lineRule="auto"/>
        <w:ind w:left="426" w:hanging="426"/>
        <w:jc w:val="both"/>
        <w:rPr>
          <w:lang w:val="es-SV"/>
        </w:rPr>
      </w:pPr>
      <w:r w:rsidRPr="00466169">
        <w:rPr>
          <w:rFonts w:ascii="Museo Sans 300" w:hAnsi="Museo Sans 300"/>
          <w:iCs/>
        </w:rPr>
        <w:t>Plan de continuidad del negocio y las políticas de seguridad de la información, de conformidad a lo establecido en las “Normas Técnicas para la Gestión de la Seguridad de la Información” (NRP-23) y las “Normas Técnicas para el Sistema de Gestión de la Continuidad del Negocio” (NRP-24), aprobadas por el Banco Central, a través de su Comité de Normas.</w:t>
      </w:r>
    </w:p>
    <w:sectPr w:rsidR="0038622E" w:rsidRPr="00466169"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0969" w14:textId="77777777" w:rsidR="00AF1020" w:rsidRDefault="00AF1020" w:rsidP="00BB082E">
      <w:pPr>
        <w:spacing w:after="0" w:line="240" w:lineRule="auto"/>
      </w:pPr>
      <w:r>
        <w:separator/>
      </w:r>
    </w:p>
  </w:endnote>
  <w:endnote w:type="continuationSeparator" w:id="0">
    <w:p w14:paraId="4F113F58" w14:textId="77777777" w:rsidR="00AF1020" w:rsidRDefault="00AF1020"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51499"/>
      <w:docPartObj>
        <w:docPartGallery w:val="Page Numbers (Bottom of Page)"/>
        <w:docPartUnique/>
      </w:docPartObj>
    </w:sdtPr>
    <w:sdtEndPr/>
    <w:sdtContent>
      <w:p w14:paraId="40E04E9D" w14:textId="41CCD705" w:rsidR="00635732" w:rsidRDefault="00755122" w:rsidP="002B5C90">
        <w:pPr>
          <w:pStyle w:val="Piedepgina"/>
          <w:jc w:val="right"/>
        </w:pPr>
        <w:r>
          <w:rPr>
            <w:noProof/>
          </w:rPr>
          <mc:AlternateContent>
            <mc:Choice Requires="wps">
              <w:drawing>
                <wp:anchor distT="0" distB="0" distL="114300" distR="114300" simplePos="0" relativeHeight="251659264" behindDoc="0" locked="0" layoutInCell="1" allowOverlap="1" wp14:anchorId="1DAF3C9C" wp14:editId="4E5E48F7">
                  <wp:simplePos x="0" y="0"/>
                  <wp:positionH relativeFrom="rightMargin">
                    <wp:align>center</wp:align>
                  </wp:positionH>
                  <wp:positionV relativeFrom="bottomMargin">
                    <wp:align>center</wp:align>
                  </wp:positionV>
                  <wp:extent cx="565785" cy="19177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B4FDBE" w14:textId="77777777" w:rsidR="00755122" w:rsidRPr="00755122" w:rsidRDefault="00755122">
                              <w:pPr>
                                <w:pBdr>
                                  <w:top w:val="single" w:sz="4" w:space="1" w:color="7F7F7F" w:themeColor="background1" w:themeShade="7F"/>
                                </w:pBdr>
                                <w:jc w:val="center"/>
                                <w:rPr>
                                  <w:rFonts w:ascii="Museo Sans 300" w:hAnsi="Museo Sans 300"/>
                                  <w:color w:val="0F243E" w:themeColor="text2" w:themeShade="80"/>
                                  <w:sz w:val="28"/>
                                  <w:szCs w:val="28"/>
                                </w:rPr>
                              </w:pPr>
                              <w:r w:rsidRPr="00755122">
                                <w:rPr>
                                  <w:rFonts w:ascii="Museo Sans 300" w:hAnsi="Museo Sans 300"/>
                                  <w:color w:val="0F243E" w:themeColor="text2" w:themeShade="80"/>
                                  <w:sz w:val="28"/>
                                  <w:szCs w:val="28"/>
                                </w:rPr>
                                <w:fldChar w:fldCharType="begin"/>
                              </w:r>
                              <w:r w:rsidRPr="00755122">
                                <w:rPr>
                                  <w:rFonts w:ascii="Museo Sans 300" w:hAnsi="Museo Sans 300"/>
                                  <w:color w:val="0F243E" w:themeColor="text2" w:themeShade="80"/>
                                  <w:sz w:val="28"/>
                                  <w:szCs w:val="28"/>
                                </w:rPr>
                                <w:instrText>PAGE   \* MERGEFORMAT</w:instrText>
                              </w:r>
                              <w:r w:rsidRPr="00755122">
                                <w:rPr>
                                  <w:rFonts w:ascii="Museo Sans 300" w:hAnsi="Museo Sans 300"/>
                                  <w:color w:val="0F243E" w:themeColor="text2" w:themeShade="80"/>
                                  <w:sz w:val="28"/>
                                  <w:szCs w:val="28"/>
                                </w:rPr>
                                <w:fldChar w:fldCharType="separate"/>
                              </w:r>
                              <w:r w:rsidRPr="00755122">
                                <w:rPr>
                                  <w:rFonts w:ascii="Museo Sans 300" w:hAnsi="Museo Sans 300"/>
                                  <w:color w:val="0F243E" w:themeColor="text2" w:themeShade="80"/>
                                  <w:sz w:val="28"/>
                                  <w:szCs w:val="28"/>
                                </w:rPr>
                                <w:t>2</w:t>
                              </w:r>
                              <w:r w:rsidRPr="00755122">
                                <w:rPr>
                                  <w:rFonts w:ascii="Museo Sans 300" w:hAnsi="Museo Sans 300"/>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AF3C9C" id="Rectángulo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B4FDBE" w14:textId="77777777" w:rsidR="00755122" w:rsidRPr="00755122" w:rsidRDefault="00755122">
                        <w:pPr>
                          <w:pBdr>
                            <w:top w:val="single" w:sz="4" w:space="1" w:color="7F7F7F" w:themeColor="background1" w:themeShade="7F"/>
                          </w:pBdr>
                          <w:jc w:val="center"/>
                          <w:rPr>
                            <w:rFonts w:ascii="Museo Sans 300" w:hAnsi="Museo Sans 300"/>
                            <w:color w:val="0F243E" w:themeColor="text2" w:themeShade="80"/>
                            <w:sz w:val="28"/>
                            <w:szCs w:val="28"/>
                          </w:rPr>
                        </w:pPr>
                        <w:r w:rsidRPr="00755122">
                          <w:rPr>
                            <w:rFonts w:ascii="Museo Sans 300" w:hAnsi="Museo Sans 300"/>
                            <w:color w:val="0F243E" w:themeColor="text2" w:themeShade="80"/>
                            <w:sz w:val="28"/>
                            <w:szCs w:val="28"/>
                          </w:rPr>
                          <w:fldChar w:fldCharType="begin"/>
                        </w:r>
                        <w:r w:rsidRPr="00755122">
                          <w:rPr>
                            <w:rFonts w:ascii="Museo Sans 300" w:hAnsi="Museo Sans 300"/>
                            <w:color w:val="0F243E" w:themeColor="text2" w:themeShade="80"/>
                            <w:sz w:val="28"/>
                            <w:szCs w:val="28"/>
                          </w:rPr>
                          <w:instrText>PAGE   \* MERGEFORMAT</w:instrText>
                        </w:r>
                        <w:r w:rsidRPr="00755122">
                          <w:rPr>
                            <w:rFonts w:ascii="Museo Sans 300" w:hAnsi="Museo Sans 300"/>
                            <w:color w:val="0F243E" w:themeColor="text2" w:themeShade="80"/>
                            <w:sz w:val="28"/>
                            <w:szCs w:val="28"/>
                          </w:rPr>
                          <w:fldChar w:fldCharType="separate"/>
                        </w:r>
                        <w:r w:rsidRPr="00755122">
                          <w:rPr>
                            <w:rFonts w:ascii="Museo Sans 300" w:hAnsi="Museo Sans 300"/>
                            <w:color w:val="0F243E" w:themeColor="text2" w:themeShade="80"/>
                            <w:sz w:val="28"/>
                            <w:szCs w:val="28"/>
                          </w:rPr>
                          <w:t>2</w:t>
                        </w:r>
                        <w:r w:rsidRPr="00755122">
                          <w:rPr>
                            <w:rFonts w:ascii="Museo Sans 300" w:hAnsi="Museo Sans 300"/>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35D9" w14:textId="77777777" w:rsidR="00AF1020" w:rsidRDefault="00AF1020" w:rsidP="00BB082E">
      <w:pPr>
        <w:spacing w:after="0" w:line="240" w:lineRule="auto"/>
      </w:pPr>
      <w:r>
        <w:separator/>
      </w:r>
    </w:p>
  </w:footnote>
  <w:footnote w:type="continuationSeparator" w:id="0">
    <w:p w14:paraId="56B8FCE5" w14:textId="77777777" w:rsidR="00AF1020" w:rsidRDefault="00AF1020"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A1D" w14:textId="15C43149" w:rsidR="00755122" w:rsidRDefault="00755122" w:rsidP="00755122">
    <w:pPr>
      <w:pStyle w:val="Encabezado"/>
      <w:jc w:val="center"/>
    </w:pPr>
    <w:r w:rsidRPr="00B926E2">
      <w:rPr>
        <w:noProof/>
        <w:lang w:val="es-SV" w:eastAsia="es-SV"/>
      </w:rPr>
      <w:drawing>
        <wp:inline distT="0" distB="0" distL="0" distR="0" wp14:anchorId="22A376D7" wp14:editId="7412EE38">
          <wp:extent cx="2297430" cy="1017900"/>
          <wp:effectExtent l="19050" t="0" r="7620" b="0"/>
          <wp:docPr id="2"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70A28C2D" w14:textId="114E4839" w:rsidR="00635732" w:rsidRDefault="00635732" w:rsidP="0075512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0FE"/>
    <w:multiLevelType w:val="hybridMultilevel"/>
    <w:tmpl w:val="53704982"/>
    <w:lvl w:ilvl="0" w:tplc="E2265376">
      <w:start w:val="1"/>
      <w:numFmt w:val="lowerRoman"/>
      <w:lvlText w:val="%1."/>
      <w:lvlJc w:val="left"/>
      <w:pPr>
        <w:ind w:left="1444" w:hanging="735"/>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14A001B4"/>
    <w:multiLevelType w:val="hybridMultilevel"/>
    <w:tmpl w:val="DE2E17E2"/>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D475AE"/>
    <w:multiLevelType w:val="hybridMultilevel"/>
    <w:tmpl w:val="AE8A874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EB541E"/>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05F0E"/>
    <w:multiLevelType w:val="hybridMultilevel"/>
    <w:tmpl w:val="CE4854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CE46185"/>
    <w:multiLevelType w:val="hybridMultilevel"/>
    <w:tmpl w:val="700AA9A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53F6434"/>
    <w:multiLevelType w:val="multilevel"/>
    <w:tmpl w:val="E8F0F7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80595F"/>
    <w:multiLevelType w:val="hybridMultilevel"/>
    <w:tmpl w:val="5F20A8A0"/>
    <w:lvl w:ilvl="0" w:tplc="28C0C572">
      <w:start w:val="1"/>
      <w:numFmt w:val="bullet"/>
      <w:lvlText w:val="-"/>
      <w:lvlJc w:val="left"/>
      <w:pPr>
        <w:ind w:left="720" w:hanging="360"/>
      </w:pPr>
      <w:rPr>
        <w:rFonts w:ascii="Calibri" w:eastAsiaTheme="minorHAnsi" w:hAnsi="Calibri" w:cstheme="minorBidi" w:hint="default"/>
        <w:color w:val="FF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E172966"/>
    <w:multiLevelType w:val="hybridMultilevel"/>
    <w:tmpl w:val="AF1082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526FC1"/>
    <w:multiLevelType w:val="hybridMultilevel"/>
    <w:tmpl w:val="7E18EA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0F0783A"/>
    <w:multiLevelType w:val="hybridMultilevel"/>
    <w:tmpl w:val="998C26FC"/>
    <w:lvl w:ilvl="0" w:tplc="52A869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BDE5427"/>
    <w:multiLevelType w:val="hybridMultilevel"/>
    <w:tmpl w:val="EE80474C"/>
    <w:lvl w:ilvl="0" w:tplc="0158D53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09E07EF"/>
    <w:multiLevelType w:val="hybridMultilevel"/>
    <w:tmpl w:val="BD3AE0E4"/>
    <w:lvl w:ilvl="0" w:tplc="39B8A72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5626A96"/>
    <w:multiLevelType w:val="multilevel"/>
    <w:tmpl w:val="807A30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374A58"/>
    <w:multiLevelType w:val="hybridMultilevel"/>
    <w:tmpl w:val="2138EA14"/>
    <w:lvl w:ilvl="0" w:tplc="93F22830">
      <w:start w:val="1"/>
      <w:numFmt w:val="decimal"/>
      <w:lvlText w:val="%1."/>
      <w:lvlJc w:val="left"/>
      <w:pPr>
        <w:ind w:left="1080" w:hanging="360"/>
      </w:pPr>
      <w:rPr>
        <w:rFonts w:asciiTheme="minorHAnsi" w:eastAsiaTheme="minorHAnsi" w:hAnsiTheme="minorHAnsi" w:cstheme="minorBidi"/>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59DB67DF"/>
    <w:multiLevelType w:val="hybridMultilevel"/>
    <w:tmpl w:val="CCEE49CA"/>
    <w:lvl w:ilvl="0" w:tplc="080A0001">
      <w:start w:val="1"/>
      <w:numFmt w:val="bullet"/>
      <w:lvlText w:val=""/>
      <w:lvlJc w:val="left"/>
      <w:pPr>
        <w:ind w:left="720" w:hanging="360"/>
      </w:pPr>
      <w:rPr>
        <w:rFonts w:ascii="Symbol" w:hAnsi="Symbol"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15:restartNumberingAfterBreak="0">
    <w:nsid w:val="5F755A9D"/>
    <w:multiLevelType w:val="hybridMultilevel"/>
    <w:tmpl w:val="9EB07434"/>
    <w:lvl w:ilvl="0" w:tplc="82F0BAF2">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33A04AA"/>
    <w:multiLevelType w:val="hybridMultilevel"/>
    <w:tmpl w:val="581224C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ACD134E"/>
    <w:multiLevelType w:val="hybridMultilevel"/>
    <w:tmpl w:val="9A1CD2D0"/>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D62298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4B72B3"/>
    <w:multiLevelType w:val="hybridMultilevel"/>
    <w:tmpl w:val="0C7E85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9087F5C"/>
    <w:multiLevelType w:val="hybridMultilevel"/>
    <w:tmpl w:val="A90246D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AD22E2C"/>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A72BFA"/>
    <w:multiLevelType w:val="hybridMultilevel"/>
    <w:tmpl w:val="C57255A2"/>
    <w:lvl w:ilvl="0" w:tplc="0834329A">
      <w:start w:val="1"/>
      <w:numFmt w:val="lowerRoman"/>
      <w:lvlText w:val="%1."/>
      <w:lvlJc w:val="left"/>
      <w:pPr>
        <w:ind w:left="1512" w:hanging="360"/>
      </w:pPr>
      <w:rPr>
        <w:rFonts w:hint="default"/>
      </w:rPr>
    </w:lvl>
    <w:lvl w:ilvl="1" w:tplc="440A0019" w:tentative="1">
      <w:start w:val="1"/>
      <w:numFmt w:val="lowerLetter"/>
      <w:lvlText w:val="%2."/>
      <w:lvlJc w:val="left"/>
      <w:pPr>
        <w:ind w:left="2232" w:hanging="360"/>
      </w:pPr>
    </w:lvl>
    <w:lvl w:ilvl="2" w:tplc="440A001B" w:tentative="1">
      <w:start w:val="1"/>
      <w:numFmt w:val="lowerRoman"/>
      <w:lvlText w:val="%3."/>
      <w:lvlJc w:val="right"/>
      <w:pPr>
        <w:ind w:left="2952" w:hanging="180"/>
      </w:pPr>
    </w:lvl>
    <w:lvl w:ilvl="3" w:tplc="440A000F" w:tentative="1">
      <w:start w:val="1"/>
      <w:numFmt w:val="decimal"/>
      <w:lvlText w:val="%4."/>
      <w:lvlJc w:val="left"/>
      <w:pPr>
        <w:ind w:left="3672" w:hanging="360"/>
      </w:pPr>
    </w:lvl>
    <w:lvl w:ilvl="4" w:tplc="440A0019" w:tentative="1">
      <w:start w:val="1"/>
      <w:numFmt w:val="lowerLetter"/>
      <w:lvlText w:val="%5."/>
      <w:lvlJc w:val="left"/>
      <w:pPr>
        <w:ind w:left="4392" w:hanging="360"/>
      </w:pPr>
    </w:lvl>
    <w:lvl w:ilvl="5" w:tplc="440A001B" w:tentative="1">
      <w:start w:val="1"/>
      <w:numFmt w:val="lowerRoman"/>
      <w:lvlText w:val="%6."/>
      <w:lvlJc w:val="right"/>
      <w:pPr>
        <w:ind w:left="5112" w:hanging="180"/>
      </w:pPr>
    </w:lvl>
    <w:lvl w:ilvl="6" w:tplc="440A000F" w:tentative="1">
      <w:start w:val="1"/>
      <w:numFmt w:val="decimal"/>
      <w:lvlText w:val="%7."/>
      <w:lvlJc w:val="left"/>
      <w:pPr>
        <w:ind w:left="5832" w:hanging="360"/>
      </w:pPr>
    </w:lvl>
    <w:lvl w:ilvl="7" w:tplc="440A0019" w:tentative="1">
      <w:start w:val="1"/>
      <w:numFmt w:val="lowerLetter"/>
      <w:lvlText w:val="%8."/>
      <w:lvlJc w:val="left"/>
      <w:pPr>
        <w:ind w:left="6552" w:hanging="360"/>
      </w:pPr>
    </w:lvl>
    <w:lvl w:ilvl="8" w:tplc="440A001B" w:tentative="1">
      <w:start w:val="1"/>
      <w:numFmt w:val="lowerRoman"/>
      <w:lvlText w:val="%9."/>
      <w:lvlJc w:val="right"/>
      <w:pPr>
        <w:ind w:left="7272" w:hanging="180"/>
      </w:pPr>
    </w:lvl>
  </w:abstractNum>
  <w:num w:numId="1" w16cid:durableId="1367483810">
    <w:abstractNumId w:val="26"/>
  </w:num>
  <w:num w:numId="2" w16cid:durableId="308020823">
    <w:abstractNumId w:val="18"/>
  </w:num>
  <w:num w:numId="3" w16cid:durableId="1029718180">
    <w:abstractNumId w:val="12"/>
  </w:num>
  <w:num w:numId="4" w16cid:durableId="831219522">
    <w:abstractNumId w:val="17"/>
  </w:num>
  <w:num w:numId="5" w16cid:durableId="654604260">
    <w:abstractNumId w:val="6"/>
  </w:num>
  <w:num w:numId="6" w16cid:durableId="139084003">
    <w:abstractNumId w:val="3"/>
  </w:num>
  <w:num w:numId="7" w16cid:durableId="886406454">
    <w:abstractNumId w:val="11"/>
  </w:num>
  <w:num w:numId="8" w16cid:durableId="340860706">
    <w:abstractNumId w:val="7"/>
  </w:num>
  <w:num w:numId="9" w16cid:durableId="1303924490">
    <w:abstractNumId w:val="5"/>
  </w:num>
  <w:num w:numId="10" w16cid:durableId="499007094">
    <w:abstractNumId w:val="13"/>
  </w:num>
  <w:num w:numId="11" w16cid:durableId="493843749">
    <w:abstractNumId w:val="0"/>
  </w:num>
  <w:num w:numId="12" w16cid:durableId="827787691">
    <w:abstractNumId w:val="22"/>
  </w:num>
  <w:num w:numId="13" w16cid:durableId="1694451607">
    <w:abstractNumId w:val="27"/>
  </w:num>
  <w:num w:numId="14" w16cid:durableId="1413046021">
    <w:abstractNumId w:val="20"/>
  </w:num>
  <w:num w:numId="15" w16cid:durableId="281618913">
    <w:abstractNumId w:val="1"/>
  </w:num>
  <w:num w:numId="16" w16cid:durableId="1725788789">
    <w:abstractNumId w:val="24"/>
  </w:num>
  <w:num w:numId="17" w16cid:durableId="1819223691">
    <w:abstractNumId w:val="21"/>
  </w:num>
  <w:num w:numId="18" w16cid:durableId="1725253488">
    <w:abstractNumId w:val="4"/>
  </w:num>
  <w:num w:numId="19" w16cid:durableId="1884705863">
    <w:abstractNumId w:val="16"/>
  </w:num>
  <w:num w:numId="20" w16cid:durableId="1259871251">
    <w:abstractNumId w:val="9"/>
  </w:num>
  <w:num w:numId="21" w16cid:durableId="947353733">
    <w:abstractNumId w:val="23"/>
  </w:num>
  <w:num w:numId="22" w16cid:durableId="1449398550">
    <w:abstractNumId w:val="14"/>
  </w:num>
  <w:num w:numId="23" w16cid:durableId="38626558">
    <w:abstractNumId w:val="15"/>
  </w:num>
  <w:num w:numId="24" w16cid:durableId="495153520">
    <w:abstractNumId w:val="25"/>
  </w:num>
  <w:num w:numId="25" w16cid:durableId="1026836195">
    <w:abstractNumId w:val="19"/>
  </w:num>
  <w:num w:numId="26" w16cid:durableId="922228685">
    <w:abstractNumId w:val="8"/>
  </w:num>
  <w:num w:numId="27" w16cid:durableId="1327901450">
    <w:abstractNumId w:val="2"/>
  </w:num>
  <w:num w:numId="28" w16cid:durableId="2668866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E6"/>
    <w:rsid w:val="0000171D"/>
    <w:rsid w:val="00001F79"/>
    <w:rsid w:val="000111DA"/>
    <w:rsid w:val="000119DB"/>
    <w:rsid w:val="00011A64"/>
    <w:rsid w:val="000137A9"/>
    <w:rsid w:val="000148AF"/>
    <w:rsid w:val="00020BBC"/>
    <w:rsid w:val="00024810"/>
    <w:rsid w:val="000251F2"/>
    <w:rsid w:val="00031824"/>
    <w:rsid w:val="00031AF7"/>
    <w:rsid w:val="0005646B"/>
    <w:rsid w:val="00063EE0"/>
    <w:rsid w:val="00071C96"/>
    <w:rsid w:val="00073C3A"/>
    <w:rsid w:val="00073D75"/>
    <w:rsid w:val="00082187"/>
    <w:rsid w:val="00085DE2"/>
    <w:rsid w:val="00095B89"/>
    <w:rsid w:val="000A493D"/>
    <w:rsid w:val="000B2ADA"/>
    <w:rsid w:val="000C512F"/>
    <w:rsid w:val="000D0938"/>
    <w:rsid w:val="000D1183"/>
    <w:rsid w:val="000D12D5"/>
    <w:rsid w:val="000D6141"/>
    <w:rsid w:val="000E1F7E"/>
    <w:rsid w:val="000E36C8"/>
    <w:rsid w:val="000E6763"/>
    <w:rsid w:val="000F1182"/>
    <w:rsid w:val="000F422D"/>
    <w:rsid w:val="000F7982"/>
    <w:rsid w:val="0011296C"/>
    <w:rsid w:val="0013175D"/>
    <w:rsid w:val="0013243B"/>
    <w:rsid w:val="0015121D"/>
    <w:rsid w:val="00160A00"/>
    <w:rsid w:val="00163375"/>
    <w:rsid w:val="00172F2E"/>
    <w:rsid w:val="00183096"/>
    <w:rsid w:val="0019386F"/>
    <w:rsid w:val="00195426"/>
    <w:rsid w:val="001A3130"/>
    <w:rsid w:val="001A3B7A"/>
    <w:rsid w:val="001A5BA2"/>
    <w:rsid w:val="001A5DEB"/>
    <w:rsid w:val="001B5971"/>
    <w:rsid w:val="001B5A99"/>
    <w:rsid w:val="001B61CD"/>
    <w:rsid w:val="001C510C"/>
    <w:rsid w:val="001D3DE3"/>
    <w:rsid w:val="001F18CD"/>
    <w:rsid w:val="00201674"/>
    <w:rsid w:val="002063B2"/>
    <w:rsid w:val="00220A55"/>
    <w:rsid w:val="0022300C"/>
    <w:rsid w:val="00223E29"/>
    <w:rsid w:val="00227D52"/>
    <w:rsid w:val="002458E6"/>
    <w:rsid w:val="00246941"/>
    <w:rsid w:val="002530D5"/>
    <w:rsid w:val="002726C6"/>
    <w:rsid w:val="00282EF5"/>
    <w:rsid w:val="002900B8"/>
    <w:rsid w:val="00292BE7"/>
    <w:rsid w:val="002944CD"/>
    <w:rsid w:val="002A179E"/>
    <w:rsid w:val="002B165A"/>
    <w:rsid w:val="002B4429"/>
    <w:rsid w:val="002B5C90"/>
    <w:rsid w:val="002C10B7"/>
    <w:rsid w:val="002C2369"/>
    <w:rsid w:val="002C2718"/>
    <w:rsid w:val="002C3F26"/>
    <w:rsid w:val="002C5B6C"/>
    <w:rsid w:val="002E5E67"/>
    <w:rsid w:val="002F4ECB"/>
    <w:rsid w:val="00307D86"/>
    <w:rsid w:val="0032185E"/>
    <w:rsid w:val="00324E3B"/>
    <w:rsid w:val="00325376"/>
    <w:rsid w:val="00332916"/>
    <w:rsid w:val="00337A50"/>
    <w:rsid w:val="00342518"/>
    <w:rsid w:val="00345838"/>
    <w:rsid w:val="0034749C"/>
    <w:rsid w:val="00351FD8"/>
    <w:rsid w:val="003525C0"/>
    <w:rsid w:val="00356D08"/>
    <w:rsid w:val="00361E7B"/>
    <w:rsid w:val="00375A03"/>
    <w:rsid w:val="00377427"/>
    <w:rsid w:val="0038622E"/>
    <w:rsid w:val="00386C1F"/>
    <w:rsid w:val="00391750"/>
    <w:rsid w:val="0039411A"/>
    <w:rsid w:val="0039478D"/>
    <w:rsid w:val="003A1295"/>
    <w:rsid w:val="003A286E"/>
    <w:rsid w:val="003B54E6"/>
    <w:rsid w:val="003B5AB8"/>
    <w:rsid w:val="003C464A"/>
    <w:rsid w:val="003C58BF"/>
    <w:rsid w:val="003D3FAA"/>
    <w:rsid w:val="003D57E5"/>
    <w:rsid w:val="003E4E11"/>
    <w:rsid w:val="003F1F7F"/>
    <w:rsid w:val="003F4BF8"/>
    <w:rsid w:val="003F4F15"/>
    <w:rsid w:val="003F5FDD"/>
    <w:rsid w:val="00404ECF"/>
    <w:rsid w:val="0040553D"/>
    <w:rsid w:val="0041424B"/>
    <w:rsid w:val="00417053"/>
    <w:rsid w:val="00441BE5"/>
    <w:rsid w:val="004439A2"/>
    <w:rsid w:val="004525A5"/>
    <w:rsid w:val="0046395C"/>
    <w:rsid w:val="00466169"/>
    <w:rsid w:val="00480E29"/>
    <w:rsid w:val="0048396A"/>
    <w:rsid w:val="00483C75"/>
    <w:rsid w:val="004848EE"/>
    <w:rsid w:val="004878FA"/>
    <w:rsid w:val="00497400"/>
    <w:rsid w:val="00497AE7"/>
    <w:rsid w:val="004A14AE"/>
    <w:rsid w:val="004A2E25"/>
    <w:rsid w:val="004A4648"/>
    <w:rsid w:val="004A4E16"/>
    <w:rsid w:val="004B6C03"/>
    <w:rsid w:val="004C77DE"/>
    <w:rsid w:val="004D145F"/>
    <w:rsid w:val="004D2398"/>
    <w:rsid w:val="004D3402"/>
    <w:rsid w:val="004D4C71"/>
    <w:rsid w:val="004D6A13"/>
    <w:rsid w:val="004E6F28"/>
    <w:rsid w:val="00501FCF"/>
    <w:rsid w:val="005049D4"/>
    <w:rsid w:val="00510610"/>
    <w:rsid w:val="00511D28"/>
    <w:rsid w:val="00515F23"/>
    <w:rsid w:val="0052376F"/>
    <w:rsid w:val="005258AC"/>
    <w:rsid w:val="00527839"/>
    <w:rsid w:val="00550016"/>
    <w:rsid w:val="00561EBC"/>
    <w:rsid w:val="00567B55"/>
    <w:rsid w:val="00570C76"/>
    <w:rsid w:val="005719A4"/>
    <w:rsid w:val="0057236B"/>
    <w:rsid w:val="00576488"/>
    <w:rsid w:val="00586589"/>
    <w:rsid w:val="00587AC6"/>
    <w:rsid w:val="005929FB"/>
    <w:rsid w:val="0059460B"/>
    <w:rsid w:val="00594FAE"/>
    <w:rsid w:val="00596B36"/>
    <w:rsid w:val="005A2404"/>
    <w:rsid w:val="005A719C"/>
    <w:rsid w:val="005B7C20"/>
    <w:rsid w:val="005D139C"/>
    <w:rsid w:val="005E5E75"/>
    <w:rsid w:val="00600CF1"/>
    <w:rsid w:val="00604652"/>
    <w:rsid w:val="006068A5"/>
    <w:rsid w:val="00610EE1"/>
    <w:rsid w:val="006117C0"/>
    <w:rsid w:val="0061701F"/>
    <w:rsid w:val="00635732"/>
    <w:rsid w:val="006361BC"/>
    <w:rsid w:val="006404C6"/>
    <w:rsid w:val="00652E61"/>
    <w:rsid w:val="00664C79"/>
    <w:rsid w:val="00667811"/>
    <w:rsid w:val="00681185"/>
    <w:rsid w:val="0068350F"/>
    <w:rsid w:val="00683A7F"/>
    <w:rsid w:val="00683B5E"/>
    <w:rsid w:val="006872C4"/>
    <w:rsid w:val="00693BCC"/>
    <w:rsid w:val="0069440E"/>
    <w:rsid w:val="006950D4"/>
    <w:rsid w:val="006A039E"/>
    <w:rsid w:val="006B1F02"/>
    <w:rsid w:val="006B4FFA"/>
    <w:rsid w:val="006B6DB3"/>
    <w:rsid w:val="006D7E05"/>
    <w:rsid w:val="006E10E6"/>
    <w:rsid w:val="006F17AF"/>
    <w:rsid w:val="006F5C2D"/>
    <w:rsid w:val="00702C19"/>
    <w:rsid w:val="00704897"/>
    <w:rsid w:val="007123F9"/>
    <w:rsid w:val="0071775A"/>
    <w:rsid w:val="007225D3"/>
    <w:rsid w:val="00731C3C"/>
    <w:rsid w:val="007335ED"/>
    <w:rsid w:val="00742480"/>
    <w:rsid w:val="007438A2"/>
    <w:rsid w:val="00755122"/>
    <w:rsid w:val="00757242"/>
    <w:rsid w:val="00762C33"/>
    <w:rsid w:val="00770953"/>
    <w:rsid w:val="00773E36"/>
    <w:rsid w:val="00775598"/>
    <w:rsid w:val="007764F7"/>
    <w:rsid w:val="00776EAD"/>
    <w:rsid w:val="007A3E97"/>
    <w:rsid w:val="007A57FF"/>
    <w:rsid w:val="007B2979"/>
    <w:rsid w:val="007C395A"/>
    <w:rsid w:val="007D42F5"/>
    <w:rsid w:val="007D4728"/>
    <w:rsid w:val="007D51E8"/>
    <w:rsid w:val="007D6C6E"/>
    <w:rsid w:val="007F18AE"/>
    <w:rsid w:val="008023F7"/>
    <w:rsid w:val="00816A27"/>
    <w:rsid w:val="00817CC7"/>
    <w:rsid w:val="00822AE7"/>
    <w:rsid w:val="00831710"/>
    <w:rsid w:val="0084371C"/>
    <w:rsid w:val="00845138"/>
    <w:rsid w:val="00851188"/>
    <w:rsid w:val="008560E0"/>
    <w:rsid w:val="00864787"/>
    <w:rsid w:val="00866C45"/>
    <w:rsid w:val="00867326"/>
    <w:rsid w:val="0088348C"/>
    <w:rsid w:val="0088639F"/>
    <w:rsid w:val="008A24D3"/>
    <w:rsid w:val="008B047F"/>
    <w:rsid w:val="008B2030"/>
    <w:rsid w:val="008D71BD"/>
    <w:rsid w:val="00904C5E"/>
    <w:rsid w:val="00907761"/>
    <w:rsid w:val="00907BA0"/>
    <w:rsid w:val="00910FA1"/>
    <w:rsid w:val="0091482D"/>
    <w:rsid w:val="0092027A"/>
    <w:rsid w:val="00920CC9"/>
    <w:rsid w:val="00944AB0"/>
    <w:rsid w:val="009469D2"/>
    <w:rsid w:val="009511D9"/>
    <w:rsid w:val="00952FF8"/>
    <w:rsid w:val="009708FC"/>
    <w:rsid w:val="00971B60"/>
    <w:rsid w:val="0099042B"/>
    <w:rsid w:val="009A429C"/>
    <w:rsid w:val="009A6FE1"/>
    <w:rsid w:val="009B0520"/>
    <w:rsid w:val="009B0D27"/>
    <w:rsid w:val="009C34A4"/>
    <w:rsid w:val="009D0C38"/>
    <w:rsid w:val="009D634A"/>
    <w:rsid w:val="00A02F7F"/>
    <w:rsid w:val="00A05F42"/>
    <w:rsid w:val="00A217D2"/>
    <w:rsid w:val="00A3459F"/>
    <w:rsid w:val="00A3797B"/>
    <w:rsid w:val="00A46377"/>
    <w:rsid w:val="00A56B7B"/>
    <w:rsid w:val="00A57C38"/>
    <w:rsid w:val="00A60A45"/>
    <w:rsid w:val="00A65C83"/>
    <w:rsid w:val="00A6619E"/>
    <w:rsid w:val="00A6736F"/>
    <w:rsid w:val="00A85489"/>
    <w:rsid w:val="00A8660F"/>
    <w:rsid w:val="00A93225"/>
    <w:rsid w:val="00A93F6F"/>
    <w:rsid w:val="00A9787A"/>
    <w:rsid w:val="00AA215B"/>
    <w:rsid w:val="00AA38B5"/>
    <w:rsid w:val="00AB0853"/>
    <w:rsid w:val="00AB4152"/>
    <w:rsid w:val="00AC0B55"/>
    <w:rsid w:val="00AC23D0"/>
    <w:rsid w:val="00AD0248"/>
    <w:rsid w:val="00AD08E8"/>
    <w:rsid w:val="00AF1020"/>
    <w:rsid w:val="00AF292C"/>
    <w:rsid w:val="00B014E1"/>
    <w:rsid w:val="00B04A9A"/>
    <w:rsid w:val="00B065CA"/>
    <w:rsid w:val="00B23180"/>
    <w:rsid w:val="00B2753A"/>
    <w:rsid w:val="00B30A4C"/>
    <w:rsid w:val="00B36CF5"/>
    <w:rsid w:val="00B41937"/>
    <w:rsid w:val="00B41C7C"/>
    <w:rsid w:val="00B50819"/>
    <w:rsid w:val="00B60530"/>
    <w:rsid w:val="00B62990"/>
    <w:rsid w:val="00B65B54"/>
    <w:rsid w:val="00B666F7"/>
    <w:rsid w:val="00B71C26"/>
    <w:rsid w:val="00B72B6D"/>
    <w:rsid w:val="00B73839"/>
    <w:rsid w:val="00B926E2"/>
    <w:rsid w:val="00B950E9"/>
    <w:rsid w:val="00B96FC8"/>
    <w:rsid w:val="00BA1DE0"/>
    <w:rsid w:val="00BA4E6F"/>
    <w:rsid w:val="00BB082E"/>
    <w:rsid w:val="00BB2E96"/>
    <w:rsid w:val="00BB3425"/>
    <w:rsid w:val="00BE154B"/>
    <w:rsid w:val="00BE60F2"/>
    <w:rsid w:val="00BE6C77"/>
    <w:rsid w:val="00BF0C9C"/>
    <w:rsid w:val="00BF564E"/>
    <w:rsid w:val="00C06E2A"/>
    <w:rsid w:val="00C07BCB"/>
    <w:rsid w:val="00C07FA1"/>
    <w:rsid w:val="00C1238A"/>
    <w:rsid w:val="00C22492"/>
    <w:rsid w:val="00C24D1C"/>
    <w:rsid w:val="00C3449A"/>
    <w:rsid w:val="00C37654"/>
    <w:rsid w:val="00C417C3"/>
    <w:rsid w:val="00C4310C"/>
    <w:rsid w:val="00C538DA"/>
    <w:rsid w:val="00C726F4"/>
    <w:rsid w:val="00C75097"/>
    <w:rsid w:val="00C86172"/>
    <w:rsid w:val="00CA44EB"/>
    <w:rsid w:val="00CC4A10"/>
    <w:rsid w:val="00CD36D2"/>
    <w:rsid w:val="00CD6EF2"/>
    <w:rsid w:val="00CD70AE"/>
    <w:rsid w:val="00CE7411"/>
    <w:rsid w:val="00D14B9C"/>
    <w:rsid w:val="00D42BBC"/>
    <w:rsid w:val="00D5354D"/>
    <w:rsid w:val="00D53CE0"/>
    <w:rsid w:val="00D55F4E"/>
    <w:rsid w:val="00D57B03"/>
    <w:rsid w:val="00D66A93"/>
    <w:rsid w:val="00D7268D"/>
    <w:rsid w:val="00D82D5D"/>
    <w:rsid w:val="00D832F3"/>
    <w:rsid w:val="00D854ED"/>
    <w:rsid w:val="00D879F2"/>
    <w:rsid w:val="00D94A2B"/>
    <w:rsid w:val="00DA2889"/>
    <w:rsid w:val="00DA419A"/>
    <w:rsid w:val="00DC1F8B"/>
    <w:rsid w:val="00DD004E"/>
    <w:rsid w:val="00DE58B3"/>
    <w:rsid w:val="00E03354"/>
    <w:rsid w:val="00E16624"/>
    <w:rsid w:val="00E21DC2"/>
    <w:rsid w:val="00E247E4"/>
    <w:rsid w:val="00E333F7"/>
    <w:rsid w:val="00E37D5F"/>
    <w:rsid w:val="00E4018D"/>
    <w:rsid w:val="00E45DA9"/>
    <w:rsid w:val="00E54168"/>
    <w:rsid w:val="00E63205"/>
    <w:rsid w:val="00E643A2"/>
    <w:rsid w:val="00E6663F"/>
    <w:rsid w:val="00E837E5"/>
    <w:rsid w:val="00E84EFF"/>
    <w:rsid w:val="00E85F58"/>
    <w:rsid w:val="00E90542"/>
    <w:rsid w:val="00E92686"/>
    <w:rsid w:val="00E92F2D"/>
    <w:rsid w:val="00EA1BC4"/>
    <w:rsid w:val="00EA7010"/>
    <w:rsid w:val="00EA7D46"/>
    <w:rsid w:val="00EB3850"/>
    <w:rsid w:val="00EB6891"/>
    <w:rsid w:val="00EC055A"/>
    <w:rsid w:val="00ED16CC"/>
    <w:rsid w:val="00EF20A6"/>
    <w:rsid w:val="00EF6946"/>
    <w:rsid w:val="00F03907"/>
    <w:rsid w:val="00F16402"/>
    <w:rsid w:val="00F16B62"/>
    <w:rsid w:val="00F1722F"/>
    <w:rsid w:val="00F21DDC"/>
    <w:rsid w:val="00F2223A"/>
    <w:rsid w:val="00F249F5"/>
    <w:rsid w:val="00F26362"/>
    <w:rsid w:val="00F3022D"/>
    <w:rsid w:val="00F47739"/>
    <w:rsid w:val="00F610C5"/>
    <w:rsid w:val="00F61BD7"/>
    <w:rsid w:val="00F72408"/>
    <w:rsid w:val="00F861EA"/>
    <w:rsid w:val="00F86B74"/>
    <w:rsid w:val="00F92F9E"/>
    <w:rsid w:val="00FA0BE6"/>
    <w:rsid w:val="00FB1C58"/>
    <w:rsid w:val="00FB1F4F"/>
    <w:rsid w:val="00FB3277"/>
    <w:rsid w:val="00FB43C5"/>
    <w:rsid w:val="00FB6DD1"/>
    <w:rsid w:val="00FC2643"/>
    <w:rsid w:val="00FC4132"/>
    <w:rsid w:val="00FD0F53"/>
    <w:rsid w:val="00FD3BC4"/>
    <w:rsid w:val="00FD78FD"/>
    <w:rsid w:val="00FE26D6"/>
    <w:rsid w:val="00FF030F"/>
    <w:rsid w:val="00FF1A47"/>
    <w:rsid w:val="00FF261F"/>
    <w:rsid w:val="00FF28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B1007"/>
  <w15:docId w15:val="{D9656185-E071-47B9-A316-59CCE49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customStyle="1" w:styleId="PrrafodelistaCar">
    <w:name w:val="Párrafo de lista Car"/>
    <w:aliases w:val="List Paragraph 1 Car"/>
    <w:basedOn w:val="Fuentedeprrafopredeter"/>
    <w:link w:val="Prrafodelista"/>
    <w:uiPriority w:val="34"/>
    <w:rsid w:val="008B047F"/>
  </w:style>
  <w:style w:type="character" w:styleId="Refdecomentario">
    <w:name w:val="annotation reference"/>
    <w:basedOn w:val="Fuentedeprrafopredeter"/>
    <w:uiPriority w:val="99"/>
    <w:semiHidden/>
    <w:unhideWhenUsed/>
    <w:rsid w:val="00DA419A"/>
    <w:rPr>
      <w:sz w:val="16"/>
      <w:szCs w:val="16"/>
    </w:rPr>
  </w:style>
  <w:style w:type="paragraph" w:styleId="Textocomentario">
    <w:name w:val="annotation text"/>
    <w:basedOn w:val="Normal"/>
    <w:link w:val="TextocomentarioCar"/>
    <w:uiPriority w:val="99"/>
    <w:semiHidden/>
    <w:unhideWhenUsed/>
    <w:rsid w:val="00DA4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19A"/>
    <w:rPr>
      <w:sz w:val="20"/>
      <w:szCs w:val="20"/>
    </w:rPr>
  </w:style>
  <w:style w:type="paragraph" w:styleId="Asuntodelcomentario">
    <w:name w:val="annotation subject"/>
    <w:basedOn w:val="Textocomentario"/>
    <w:next w:val="Textocomentario"/>
    <w:link w:val="AsuntodelcomentarioCar"/>
    <w:uiPriority w:val="99"/>
    <w:semiHidden/>
    <w:unhideWhenUsed/>
    <w:rsid w:val="00DA419A"/>
    <w:rPr>
      <w:b/>
      <w:bCs/>
    </w:rPr>
  </w:style>
  <w:style w:type="character" w:customStyle="1" w:styleId="AsuntodelcomentarioCar">
    <w:name w:val="Asunto del comentario Car"/>
    <w:basedOn w:val="TextocomentarioCar"/>
    <w:link w:val="Asuntodelcomentario"/>
    <w:uiPriority w:val="99"/>
    <w:semiHidden/>
    <w:rsid w:val="00DA419A"/>
    <w:rPr>
      <w:b/>
      <w:bCs/>
      <w:sz w:val="20"/>
      <w:szCs w:val="20"/>
    </w:rPr>
  </w:style>
  <w:style w:type="table" w:styleId="Tablaconcuadrculaclara">
    <w:name w:val="Grid Table Light"/>
    <w:basedOn w:val="Tablanormal"/>
    <w:uiPriority w:val="40"/>
    <w:rsid w:val="00755122"/>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907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2957305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689643466">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154417979">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71057007">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990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050CD-D8E9-4069-9B51-FAD2612C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Rocio Lizzeth Castro Perez</cp:lastModifiedBy>
  <cp:revision>5</cp:revision>
  <cp:lastPrinted>2014-09-02T16:41:00Z</cp:lastPrinted>
  <dcterms:created xsi:type="dcterms:W3CDTF">2023-03-21T22:26:00Z</dcterms:created>
  <dcterms:modified xsi:type="dcterms:W3CDTF">2023-06-09T14:29:00Z</dcterms:modified>
</cp:coreProperties>
</file>