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7D2FF8" w:rsidRPr="00AA6B19" w14:paraId="71A89970" w14:textId="77777777" w:rsidTr="00CE79CE">
        <w:trPr>
          <w:trHeight w:val="654"/>
          <w:jc w:val="center"/>
        </w:trPr>
        <w:tc>
          <w:tcPr>
            <w:tcW w:w="2802" w:type="dxa"/>
            <w:vAlign w:val="center"/>
          </w:tcPr>
          <w:p w14:paraId="4E69F386" w14:textId="6A40075F" w:rsidR="007D2FF8" w:rsidRPr="0047765B" w:rsidRDefault="007D2FF8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</w:t>
            </w:r>
            <w:r w:rsidR="00825931">
              <w:rPr>
                <w:rFonts w:ascii="Museo Sans 300" w:hAnsi="Museo Sans 300"/>
                <w:b/>
                <w:bCs/>
                <w:sz w:val="20"/>
                <w:szCs w:val="20"/>
              </w:rPr>
              <w:t>EG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-0</w:t>
            </w:r>
            <w:r w:rsidR="00884362"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="005078D2">
              <w:rPr>
                <w:rFonts w:ascii="Museo Sans 300" w:hAnsi="Museo Sans 300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07" w:type="dxa"/>
            <w:gridSpan w:val="2"/>
            <w:vAlign w:val="center"/>
          </w:tcPr>
          <w:p w14:paraId="51B04089" w14:textId="4A9C557A" w:rsidR="007D2FF8" w:rsidRPr="00B46DEF" w:rsidRDefault="007075F2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A</w:t>
            </w:r>
            <w:r w:rsidR="00AA6B19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CTUALIZACIÓN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="00AA6B19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Y/O RENOVACIÓN</w:t>
            </w:r>
            <w:r w:rsidR="00BD5803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="0043655A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</w:t>
            </w:r>
            <w:r w:rsidR="0082593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E </w:t>
            </w:r>
            <w:r w:rsidR="00BD5803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REASEGURADORES EXTRANJEROS</w:t>
            </w:r>
          </w:p>
        </w:tc>
      </w:tr>
      <w:tr w:rsidR="007D2FF8" w:rsidRPr="00B46DEF" w14:paraId="68D2FD7D" w14:textId="77777777" w:rsidTr="00122D7D">
        <w:trPr>
          <w:jc w:val="center"/>
        </w:trPr>
        <w:tc>
          <w:tcPr>
            <w:tcW w:w="2802" w:type="dxa"/>
            <w:vAlign w:val="center"/>
          </w:tcPr>
          <w:p w14:paraId="6C135D70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3DF4865A" w14:textId="183E62CE" w:rsidR="007D2FF8" w:rsidRPr="00B46DEF" w:rsidRDefault="007D2FF8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</w:t>
            </w:r>
            <w:r w:rsidR="0082593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Seguros</w:t>
            </w:r>
            <w:r w:rsidR="007075F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</w:tc>
      </w:tr>
      <w:tr w:rsidR="007D2FF8" w:rsidRPr="00B46DEF" w14:paraId="59FF1866" w14:textId="77777777" w:rsidTr="00122D7D">
        <w:trPr>
          <w:jc w:val="center"/>
        </w:trPr>
        <w:tc>
          <w:tcPr>
            <w:tcW w:w="2802" w:type="dxa"/>
            <w:vAlign w:val="center"/>
          </w:tcPr>
          <w:p w14:paraId="0153999A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7F385FB7" w14:textId="0A393FB9" w:rsidR="007075F2" w:rsidRPr="00CE79CE" w:rsidRDefault="00BD5803" w:rsidP="00207B6B">
            <w:pPr>
              <w:pStyle w:val="Prrafodelista"/>
              <w:numPr>
                <w:ilvl w:val="0"/>
                <w:numId w:val="3"/>
              </w:numPr>
              <w:ind w:left="395"/>
              <w:jc w:val="both"/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  <w:t>Sociedades de Seguros</w:t>
            </w:r>
          </w:p>
        </w:tc>
        <w:tc>
          <w:tcPr>
            <w:tcW w:w="3204" w:type="dxa"/>
            <w:vAlign w:val="center"/>
          </w:tcPr>
          <w:p w14:paraId="30BCE738" w14:textId="56F5D2B0" w:rsidR="007D2FF8" w:rsidRPr="00B46DEF" w:rsidRDefault="007D2FF8" w:rsidP="00122D7D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BD5803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60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</w:t>
            </w:r>
            <w:r w:rsidR="00CE79C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calendario</w:t>
            </w:r>
          </w:p>
        </w:tc>
      </w:tr>
      <w:tr w:rsidR="007D2FF8" w:rsidRPr="00B46DEF" w14:paraId="334C9419" w14:textId="77777777" w:rsidTr="00122D7D">
        <w:trPr>
          <w:jc w:val="center"/>
        </w:trPr>
        <w:tc>
          <w:tcPr>
            <w:tcW w:w="2802" w:type="dxa"/>
            <w:vAlign w:val="center"/>
          </w:tcPr>
          <w:p w14:paraId="2A57DEB7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0807EE45" w14:textId="2A5435B1" w:rsidR="007D2FF8" w:rsidRPr="0047765B" w:rsidRDefault="00AA6B19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15</w:t>
            </w:r>
            <w:r w:rsidR="007075F2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 w:rsidR="00FE651A">
              <w:rPr>
                <w:rFonts w:ascii="Museo Sans 300" w:hAnsi="Museo Sans 300"/>
                <w:b/>
                <w:bCs/>
                <w:sz w:val="20"/>
                <w:szCs w:val="20"/>
              </w:rPr>
              <w:t>6</w:t>
            </w:r>
            <w:r w:rsidR="007075F2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  <w:bookmarkEnd w:id="0"/>
    </w:tbl>
    <w:p w14:paraId="60777712" w14:textId="77777777" w:rsidR="007D2FF8" w:rsidRDefault="007D2FF8" w:rsidP="007A3BB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707DADE8" w14:textId="77777777" w:rsidR="007A3BB0" w:rsidRPr="007A3BB0" w:rsidRDefault="007A3BB0" w:rsidP="007A3BB0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2085856F" w14:textId="77777777" w:rsidR="007A3BB0" w:rsidRPr="00CE79CE" w:rsidRDefault="00451702" w:rsidP="007A3BB0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CE79CE">
        <w:rPr>
          <w:rFonts w:ascii="Museo Sans 300" w:hAnsi="Museo Sans 300"/>
          <w:b/>
          <w:i w:val="0"/>
          <w:u w:val="single"/>
        </w:rPr>
        <w:t>Base Legal</w:t>
      </w:r>
      <w:r w:rsidR="007A3BB0" w:rsidRPr="00CE79CE">
        <w:rPr>
          <w:rFonts w:ascii="Museo Sans 300" w:hAnsi="Museo Sans 300"/>
          <w:b/>
          <w:i w:val="0"/>
          <w:u w:val="single"/>
        </w:rPr>
        <w:t xml:space="preserve"> </w:t>
      </w:r>
    </w:p>
    <w:p w14:paraId="3D5CB962" w14:textId="77777777" w:rsidR="007A3BB0" w:rsidRPr="00CE79CE" w:rsidRDefault="007A3BB0" w:rsidP="007A3BB0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3F365F8B" w14:textId="19987332" w:rsidR="00825931" w:rsidRPr="00CE79CE" w:rsidRDefault="00825931" w:rsidP="007903D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Museo Sans 300" w:hAnsi="Museo Sans 300"/>
          <w:bCs/>
        </w:rPr>
      </w:pPr>
      <w:r w:rsidRPr="00CE79CE">
        <w:rPr>
          <w:rFonts w:ascii="Museo Sans 300" w:hAnsi="Museo Sans 300"/>
          <w:bCs/>
        </w:rPr>
        <w:t>Ley de Sociedades de Seguros: Artículo</w:t>
      </w:r>
      <w:r w:rsidR="00E65ECD" w:rsidRPr="00CE79CE">
        <w:rPr>
          <w:rFonts w:ascii="Museo Sans 300" w:hAnsi="Museo Sans 300"/>
          <w:bCs/>
        </w:rPr>
        <w:t>s</w:t>
      </w:r>
      <w:r w:rsidRPr="00CE79CE">
        <w:rPr>
          <w:rFonts w:ascii="Museo Sans 300" w:hAnsi="Museo Sans 300"/>
          <w:bCs/>
        </w:rPr>
        <w:t xml:space="preserve"> </w:t>
      </w:r>
      <w:r w:rsidR="00E65ECD" w:rsidRPr="00CE79CE">
        <w:rPr>
          <w:rFonts w:ascii="Museo Sans 300" w:hAnsi="Museo Sans 300"/>
          <w:bCs/>
        </w:rPr>
        <w:t>39 y 41</w:t>
      </w:r>
      <w:r w:rsidRPr="00CE79CE">
        <w:rPr>
          <w:rFonts w:ascii="Museo Sans 300" w:hAnsi="Museo Sans 300"/>
          <w:bCs/>
        </w:rPr>
        <w:t>.</w:t>
      </w:r>
    </w:p>
    <w:p w14:paraId="490225C0" w14:textId="1B40F439" w:rsidR="00825931" w:rsidRPr="00CE79CE" w:rsidRDefault="00E65ECD" w:rsidP="007903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bCs/>
        </w:rPr>
      </w:pPr>
      <w:r w:rsidRPr="00CE79CE">
        <w:rPr>
          <w:rFonts w:ascii="Museo Sans 300" w:hAnsi="Museo Sans 300"/>
          <w:bCs/>
        </w:rPr>
        <w:t>Reglamento de la Ley de Sociedades de Seguros</w:t>
      </w:r>
      <w:r w:rsidR="00E22953" w:rsidRPr="00CE79CE">
        <w:rPr>
          <w:rFonts w:ascii="Museo Sans 300" w:hAnsi="Museo Sans 300"/>
          <w:bCs/>
        </w:rPr>
        <w:t>: artículos 29, 31, 32 y 33</w:t>
      </w:r>
    </w:p>
    <w:p w14:paraId="4607BD96" w14:textId="787BC4D3" w:rsidR="00451702" w:rsidRPr="00CE79CE" w:rsidRDefault="00451702" w:rsidP="00451702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</w:rPr>
      </w:pPr>
    </w:p>
    <w:p w14:paraId="1E8EAD79" w14:textId="77777777" w:rsidR="00E22953" w:rsidRPr="00CE79CE" w:rsidRDefault="00E22953" w:rsidP="00451702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</w:rPr>
      </w:pPr>
    </w:p>
    <w:p w14:paraId="6CB2A426" w14:textId="5E24145D" w:rsidR="007A3BB0" w:rsidRPr="00CE79CE" w:rsidRDefault="00165F54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CE79CE">
        <w:rPr>
          <w:rFonts w:ascii="Museo Sans 300" w:hAnsi="Museo Sans 300"/>
          <w:b/>
          <w:u w:val="single"/>
          <w:lang w:val="es-SV"/>
        </w:rPr>
        <w:t>Requisitos</w:t>
      </w:r>
    </w:p>
    <w:p w14:paraId="292E0BFA" w14:textId="77777777" w:rsidR="0043655A" w:rsidRPr="00CE79CE" w:rsidRDefault="0043655A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Cs/>
          <w:lang w:val="es-SV"/>
        </w:rPr>
      </w:pPr>
    </w:p>
    <w:p w14:paraId="79847C15" w14:textId="7A7C2D39" w:rsidR="002B37BB" w:rsidRPr="00CE79CE" w:rsidRDefault="002B37BB" w:rsidP="002B37BB">
      <w:pPr>
        <w:pStyle w:val="Prrafodelista"/>
        <w:numPr>
          <w:ilvl w:val="0"/>
          <w:numId w:val="17"/>
        </w:numPr>
        <w:tabs>
          <w:tab w:val="left" w:pos="-1440"/>
        </w:tabs>
        <w:spacing w:after="0" w:line="240" w:lineRule="auto"/>
        <w:ind w:left="284" w:right="57" w:hanging="284"/>
        <w:contextualSpacing w:val="0"/>
        <w:jc w:val="both"/>
        <w:rPr>
          <w:rFonts w:ascii="Museo Sans 300" w:hAnsi="Museo Sans 300"/>
          <w:lang w:val="es-SV"/>
        </w:rPr>
      </w:pPr>
      <w:bookmarkStart w:id="1" w:name="_MON_1528725563"/>
      <w:bookmarkEnd w:id="1"/>
      <w:r w:rsidRPr="00CE79CE">
        <w:rPr>
          <w:rFonts w:ascii="Museo Sans 300" w:hAnsi="Museo Sans 300"/>
          <w:lang w:val="es-SV"/>
        </w:rPr>
        <w:t>Solicitud expresa dirigida al Superintendente</w:t>
      </w:r>
      <w:r w:rsidR="00072AC7" w:rsidRPr="00CE79CE">
        <w:rPr>
          <w:rFonts w:ascii="Museo Sans 300" w:hAnsi="Museo Sans 300"/>
          <w:lang w:val="es-SV"/>
        </w:rPr>
        <w:t xml:space="preserve"> del Sistema Financiero</w:t>
      </w:r>
      <w:r w:rsidRPr="00CE79CE">
        <w:rPr>
          <w:rFonts w:ascii="Museo Sans 300" w:hAnsi="Museo Sans 300"/>
          <w:lang w:val="es-SV"/>
        </w:rPr>
        <w:t>, suscrita por el presidente, representante legal o apoderado de la sociedad de seguros</w:t>
      </w:r>
      <w:r w:rsidR="00072AC7" w:rsidRPr="00CE79CE">
        <w:rPr>
          <w:rFonts w:ascii="Museo Sans 300" w:hAnsi="Museo Sans 300"/>
          <w:lang w:val="es-SV"/>
        </w:rPr>
        <w:t xml:space="preserve">, la que debe ser presentada en los 60 días previos al vencimiento del asiento </w:t>
      </w:r>
      <w:r w:rsidR="00EF7BDE" w:rsidRPr="00CE79CE">
        <w:rPr>
          <w:rFonts w:ascii="Museo Sans 300" w:hAnsi="Museo Sans 300"/>
          <w:lang w:val="es-SV"/>
        </w:rPr>
        <w:t>registral, acompañada</w:t>
      </w:r>
      <w:r w:rsidR="00072AC7" w:rsidRPr="00CE79CE">
        <w:rPr>
          <w:rFonts w:ascii="Museo Sans 300" w:hAnsi="Museo Sans 300"/>
          <w:lang w:val="es-SV"/>
        </w:rPr>
        <w:t xml:space="preserve"> de </w:t>
      </w:r>
      <w:r w:rsidR="003426C9" w:rsidRPr="00CE79CE">
        <w:rPr>
          <w:rFonts w:ascii="Museo Sans 300" w:hAnsi="Museo Sans 300"/>
          <w:lang w:val="es-SV"/>
        </w:rPr>
        <w:t>la información correspondiente de</w:t>
      </w:r>
      <w:r w:rsidRPr="00CE79CE">
        <w:rPr>
          <w:rFonts w:ascii="Museo Sans 300" w:hAnsi="Museo Sans 300"/>
          <w:lang w:val="es-SV"/>
        </w:rPr>
        <w:t xml:space="preserve"> la sociedad reaseguradora extranjera</w:t>
      </w:r>
      <w:r w:rsidR="003426C9" w:rsidRPr="00CE79CE">
        <w:rPr>
          <w:rFonts w:ascii="Museo Sans 300" w:hAnsi="Museo Sans 300"/>
          <w:lang w:val="es-SV"/>
        </w:rPr>
        <w:t>.</w:t>
      </w:r>
    </w:p>
    <w:p w14:paraId="6A993906" w14:textId="3A67D803" w:rsidR="002B37BB" w:rsidRPr="00CE79CE" w:rsidRDefault="002B37BB" w:rsidP="003426C9">
      <w:pPr>
        <w:tabs>
          <w:tab w:val="left" w:pos="-1440"/>
        </w:tabs>
        <w:spacing w:after="0" w:line="240" w:lineRule="auto"/>
        <w:ind w:right="57"/>
        <w:jc w:val="both"/>
        <w:rPr>
          <w:rFonts w:ascii="Museo Sans 300" w:hAnsi="Museo Sans 300"/>
          <w:i w:val="0"/>
          <w:iCs/>
        </w:rPr>
      </w:pPr>
    </w:p>
    <w:p w14:paraId="672FC437" w14:textId="07E2EFC9" w:rsidR="002B37BB" w:rsidRPr="00CE79CE" w:rsidRDefault="002B37BB" w:rsidP="002B37BB">
      <w:pPr>
        <w:pStyle w:val="Prrafodelista"/>
        <w:numPr>
          <w:ilvl w:val="0"/>
          <w:numId w:val="17"/>
        </w:numPr>
        <w:tabs>
          <w:tab w:val="left" w:pos="-1440"/>
        </w:tabs>
        <w:spacing w:after="0" w:line="240" w:lineRule="auto"/>
        <w:ind w:left="284" w:right="57" w:hanging="284"/>
        <w:contextualSpacing w:val="0"/>
        <w:jc w:val="both"/>
        <w:rPr>
          <w:rFonts w:ascii="Museo Sans 300" w:hAnsi="Museo Sans 300" w:cs="Arial"/>
          <w:lang w:val="es-SV"/>
        </w:rPr>
      </w:pPr>
      <w:r w:rsidRPr="00CE79CE">
        <w:rPr>
          <w:rFonts w:ascii="Museo Sans 300" w:hAnsi="Museo Sans 300" w:cs="Arial"/>
          <w:lang w:val="es-SV"/>
        </w:rPr>
        <w:t xml:space="preserve">Memoria anual y estados financieros del reasegurador debidamente auditados, correspondientes a los últimos 3 años anteriores a la fecha de la </w:t>
      </w:r>
      <w:r w:rsidR="003426C9" w:rsidRPr="00CE79CE">
        <w:rPr>
          <w:rFonts w:ascii="Museo Sans 300" w:hAnsi="Museo Sans 300" w:cs="Arial"/>
          <w:lang w:val="es-SV"/>
        </w:rPr>
        <w:t>finalización de la vigencia de inscripción</w:t>
      </w:r>
      <w:r w:rsidRPr="00CE79CE">
        <w:rPr>
          <w:rFonts w:ascii="Museo Sans 300" w:hAnsi="Museo Sans 300" w:cs="Arial"/>
          <w:lang w:val="es-SV"/>
        </w:rPr>
        <w:t>.</w:t>
      </w:r>
    </w:p>
    <w:p w14:paraId="2E877196" w14:textId="472F11EC" w:rsidR="002B37BB" w:rsidRPr="00CE79CE" w:rsidRDefault="002B37BB" w:rsidP="002B37BB">
      <w:pPr>
        <w:pStyle w:val="Prrafodelista"/>
        <w:tabs>
          <w:tab w:val="left" w:pos="-1440"/>
        </w:tabs>
        <w:spacing w:after="0" w:line="240" w:lineRule="auto"/>
        <w:ind w:left="284" w:right="57"/>
        <w:jc w:val="both"/>
        <w:rPr>
          <w:rFonts w:ascii="Museo Sans 300" w:hAnsi="Museo Sans 300" w:cs="Arial"/>
          <w:lang w:val="es-SV"/>
        </w:rPr>
      </w:pPr>
    </w:p>
    <w:p w14:paraId="4661ACE5" w14:textId="77777777" w:rsidR="002B37BB" w:rsidRPr="00CE79CE" w:rsidRDefault="002B37BB" w:rsidP="002B37BB">
      <w:pPr>
        <w:pStyle w:val="Prrafodelista"/>
        <w:numPr>
          <w:ilvl w:val="0"/>
          <w:numId w:val="17"/>
        </w:numPr>
        <w:tabs>
          <w:tab w:val="left" w:pos="-1440"/>
        </w:tabs>
        <w:spacing w:after="0" w:line="240" w:lineRule="auto"/>
        <w:ind w:left="284" w:right="57" w:hanging="284"/>
        <w:contextualSpacing w:val="0"/>
        <w:jc w:val="both"/>
        <w:rPr>
          <w:rFonts w:ascii="Museo Sans 300" w:hAnsi="Museo Sans 300" w:cs="Arial"/>
          <w:lang w:val="es-SV"/>
        </w:rPr>
      </w:pPr>
      <w:r w:rsidRPr="00CE79CE">
        <w:rPr>
          <w:rFonts w:ascii="Museo Sans 300" w:hAnsi="Museo Sans 300" w:cs="Arial"/>
          <w:lang w:val="es-SV"/>
        </w:rPr>
        <w:t>Informe completo de la clasificación internacional de riesgos del reasegurador, emitida por institución clasificadora reconocida internacionalmente.</w:t>
      </w:r>
    </w:p>
    <w:p w14:paraId="2C32B51E" w14:textId="77777777" w:rsidR="002B37BB" w:rsidRPr="00CE79CE" w:rsidRDefault="002B37BB" w:rsidP="00473A0A">
      <w:pPr>
        <w:spacing w:after="0" w:line="240" w:lineRule="auto"/>
        <w:rPr>
          <w:rFonts w:ascii="Museo Sans 300" w:hAnsi="Museo Sans 300" w:cs="Arial"/>
          <w:i w:val="0"/>
        </w:rPr>
      </w:pPr>
    </w:p>
    <w:p w14:paraId="0C61F999" w14:textId="77777777" w:rsidR="00473A0A" w:rsidRPr="00CE79CE" w:rsidRDefault="00473A0A" w:rsidP="002B37BB">
      <w:pPr>
        <w:pStyle w:val="Prrafodelista"/>
        <w:tabs>
          <w:tab w:val="left" w:pos="-1440"/>
        </w:tabs>
        <w:spacing w:after="0" w:line="240" w:lineRule="auto"/>
        <w:ind w:left="284" w:right="57"/>
        <w:jc w:val="both"/>
        <w:rPr>
          <w:rFonts w:ascii="Museo Sans 300" w:hAnsi="Museo Sans 300" w:cs="Arial"/>
          <w:lang w:val="es-SV"/>
        </w:rPr>
      </w:pPr>
    </w:p>
    <w:p w14:paraId="1A010D9A" w14:textId="77777777" w:rsidR="002B37BB" w:rsidRPr="00CE79CE" w:rsidRDefault="002B37BB" w:rsidP="002B37BB">
      <w:pPr>
        <w:spacing w:after="0" w:line="240" w:lineRule="auto"/>
        <w:jc w:val="both"/>
        <w:rPr>
          <w:rFonts w:ascii="Museo Sans 300" w:hAnsi="Museo Sans 300"/>
          <w:b/>
          <w:i w:val="0"/>
          <w:lang w:val="es-ES_tradnl"/>
        </w:rPr>
      </w:pPr>
      <w:r w:rsidRPr="00CE79CE">
        <w:rPr>
          <w:rFonts w:ascii="Museo Sans 300" w:hAnsi="Museo Sans 300"/>
          <w:b/>
          <w:i w:val="0"/>
          <w:lang w:val="es-ES_tradnl"/>
        </w:rPr>
        <w:t>Nota aclaratoria</w:t>
      </w:r>
    </w:p>
    <w:p w14:paraId="357399D3" w14:textId="77777777" w:rsidR="002B37BB" w:rsidRPr="00CE79CE" w:rsidRDefault="002B37BB" w:rsidP="002B37BB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lang w:val="es-ES_tradnl"/>
        </w:rPr>
      </w:pPr>
    </w:p>
    <w:p w14:paraId="64D55272" w14:textId="5D94EE4E" w:rsidR="002B37BB" w:rsidRPr="00CE79CE" w:rsidRDefault="002B37BB" w:rsidP="002B37BB">
      <w:pPr>
        <w:spacing w:after="0" w:line="240" w:lineRule="auto"/>
        <w:jc w:val="both"/>
        <w:rPr>
          <w:rFonts w:ascii="Museo Sans 300" w:hAnsi="Museo Sans 300"/>
          <w:i w:val="0"/>
          <w:lang w:val="es-ES_tradnl"/>
        </w:rPr>
      </w:pPr>
      <w:r w:rsidRPr="00CE79CE">
        <w:rPr>
          <w:rFonts w:ascii="Museo Sans 300" w:hAnsi="Museo Sans 300"/>
          <w:i w:val="0"/>
          <w:lang w:val="es-ES_tradnl"/>
        </w:rPr>
        <w:t xml:space="preserve">Los </w:t>
      </w:r>
      <w:r w:rsidR="00414DD3" w:rsidRPr="00CE79CE">
        <w:rPr>
          <w:rFonts w:ascii="Museo Sans 300" w:hAnsi="Museo Sans 300"/>
          <w:i w:val="0"/>
          <w:lang w:val="es-ES_tradnl"/>
        </w:rPr>
        <w:t>estados financieros, así como el informe de la clasificación de riesgo que estén en idioma distinto al castellano deberán acompañarse con la traducción correspondiente</w:t>
      </w:r>
      <w:r w:rsidRPr="00CE79CE">
        <w:rPr>
          <w:rFonts w:ascii="Museo Sans 300" w:hAnsi="Museo Sans 300"/>
          <w:i w:val="0"/>
          <w:lang w:val="es-ES_tradnl"/>
        </w:rPr>
        <w:t>.</w:t>
      </w:r>
    </w:p>
    <w:p w14:paraId="66C8CCF5" w14:textId="77777777" w:rsidR="002B37BB" w:rsidRPr="002B37BB" w:rsidRDefault="002B37BB" w:rsidP="00473A0A">
      <w:pPr>
        <w:spacing w:after="0" w:line="240" w:lineRule="auto"/>
        <w:jc w:val="both"/>
        <w:rPr>
          <w:i w:val="0"/>
          <w:u w:val="single"/>
          <w:lang w:val="es-ES_tradnl"/>
        </w:rPr>
      </w:pPr>
    </w:p>
    <w:sectPr w:rsidR="002B37BB" w:rsidRPr="002B37BB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273E" w14:textId="77777777" w:rsidR="007A57B7" w:rsidRDefault="007A57B7" w:rsidP="005E5D6F">
      <w:pPr>
        <w:spacing w:after="0" w:line="240" w:lineRule="auto"/>
      </w:pPr>
      <w:r>
        <w:separator/>
      </w:r>
    </w:p>
  </w:endnote>
  <w:endnote w:type="continuationSeparator" w:id="0">
    <w:p w14:paraId="23B1A965" w14:textId="77777777" w:rsidR="007A57B7" w:rsidRDefault="007A57B7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F6B8" w14:textId="36A56E37" w:rsidR="00892CC6" w:rsidRPr="00EF672B" w:rsidRDefault="00892CC6" w:rsidP="00D901E5">
    <w:pPr>
      <w:pStyle w:val="Piedepgina"/>
      <w:jc w:val="right"/>
      <w:rPr>
        <w:rFonts w:ascii="Museo Sans 300" w:hAnsi="Museo Sans 300"/>
        <w:i w:val="0"/>
        <w:iCs/>
      </w:rPr>
    </w:pPr>
    <w:r w:rsidRPr="00EF672B">
      <w:rPr>
        <w:rFonts w:ascii="Museo Sans 300" w:hAnsi="Museo Sans 300"/>
        <w:i w:val="0"/>
        <w:iCs/>
      </w:rPr>
      <w:t xml:space="preserve">Página </w:t>
    </w:r>
    <w:r w:rsidR="001B74AD" w:rsidRPr="00EF672B">
      <w:rPr>
        <w:rFonts w:ascii="Museo Sans 300" w:hAnsi="Museo Sans 300"/>
        <w:i w:val="0"/>
        <w:iCs/>
      </w:rPr>
      <w:fldChar w:fldCharType="begin"/>
    </w:r>
    <w:r w:rsidRPr="00EF672B">
      <w:rPr>
        <w:rFonts w:ascii="Museo Sans 300" w:hAnsi="Museo Sans 300"/>
        <w:i w:val="0"/>
        <w:iCs/>
      </w:rPr>
      <w:instrText>PAGE</w:instrText>
    </w:r>
    <w:r w:rsidR="001B74AD" w:rsidRPr="00EF672B">
      <w:rPr>
        <w:rFonts w:ascii="Museo Sans 300" w:hAnsi="Museo Sans 300"/>
        <w:i w:val="0"/>
        <w:iCs/>
      </w:rPr>
      <w:fldChar w:fldCharType="separate"/>
    </w:r>
    <w:r w:rsidR="00931495" w:rsidRPr="00EF672B">
      <w:rPr>
        <w:rFonts w:ascii="Museo Sans 300" w:hAnsi="Museo Sans 300"/>
        <w:i w:val="0"/>
        <w:iCs/>
        <w:noProof/>
      </w:rPr>
      <w:t>5</w:t>
    </w:r>
    <w:r w:rsidR="001B74AD" w:rsidRPr="00EF672B">
      <w:rPr>
        <w:rFonts w:ascii="Museo Sans 300" w:hAnsi="Museo Sans 300"/>
        <w:i w:val="0"/>
        <w:iCs/>
      </w:rPr>
      <w:fldChar w:fldCharType="end"/>
    </w:r>
    <w:r w:rsidRPr="00EF672B">
      <w:rPr>
        <w:rFonts w:ascii="Museo Sans 300" w:hAnsi="Museo Sans 300"/>
        <w:i w:val="0"/>
        <w:iCs/>
      </w:rPr>
      <w:t xml:space="preserve"> de </w:t>
    </w:r>
    <w:r w:rsidR="001B74AD" w:rsidRPr="00EF672B">
      <w:rPr>
        <w:rFonts w:ascii="Museo Sans 300" w:hAnsi="Museo Sans 300"/>
        <w:i w:val="0"/>
        <w:iCs/>
      </w:rPr>
      <w:fldChar w:fldCharType="begin"/>
    </w:r>
    <w:r w:rsidRPr="00EF672B">
      <w:rPr>
        <w:rFonts w:ascii="Museo Sans 300" w:hAnsi="Museo Sans 300"/>
        <w:i w:val="0"/>
        <w:iCs/>
      </w:rPr>
      <w:instrText xml:space="preserve"> SECTIONPAGES  </w:instrText>
    </w:r>
    <w:r w:rsidR="001B74AD" w:rsidRPr="00EF672B">
      <w:rPr>
        <w:rFonts w:ascii="Museo Sans 300" w:hAnsi="Museo Sans 300"/>
        <w:i w:val="0"/>
        <w:iCs/>
      </w:rPr>
      <w:fldChar w:fldCharType="separate"/>
    </w:r>
    <w:r w:rsidR="00CE79CE">
      <w:rPr>
        <w:rFonts w:ascii="Museo Sans 300" w:hAnsi="Museo Sans 300"/>
        <w:i w:val="0"/>
        <w:iCs/>
        <w:noProof/>
      </w:rPr>
      <w:t>1</w:t>
    </w:r>
    <w:r w:rsidR="001B74AD" w:rsidRPr="00EF672B">
      <w:rPr>
        <w:rFonts w:ascii="Museo Sans 300" w:hAnsi="Museo Sans 300"/>
        <w:i w:val="0"/>
        <w:iCs/>
      </w:rPr>
      <w:fldChar w:fldCharType="end"/>
    </w:r>
  </w:p>
  <w:p w14:paraId="553BD2B3" w14:textId="77777777" w:rsidR="00892CC6" w:rsidRDefault="00892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C8BF" w14:textId="77777777" w:rsidR="007A57B7" w:rsidRDefault="007A57B7" w:rsidP="005E5D6F">
      <w:pPr>
        <w:spacing w:after="0" w:line="240" w:lineRule="auto"/>
      </w:pPr>
      <w:r>
        <w:separator/>
      </w:r>
    </w:p>
  </w:footnote>
  <w:footnote w:type="continuationSeparator" w:id="0">
    <w:p w14:paraId="643947D1" w14:textId="77777777" w:rsidR="007A57B7" w:rsidRDefault="007A57B7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B13A" w14:textId="77777777" w:rsidR="00892CC6" w:rsidRDefault="00CE79CE">
    <w:pPr>
      <w:pStyle w:val="Encabezado"/>
    </w:pPr>
    <w:r>
      <w:rPr>
        <w:noProof/>
        <w:lang w:eastAsia="es-SV"/>
      </w:rPr>
      <w:pict w14:anchorId="233F1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1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B3EA" w14:textId="77777777" w:rsidR="00892CC6" w:rsidRDefault="00892CC6" w:rsidP="004F6147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4F6147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45EF53DD" wp14:editId="09711589">
          <wp:extent cx="2297430" cy="1017900"/>
          <wp:effectExtent l="19050" t="0" r="7620" b="0"/>
          <wp:docPr id="6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1EE19" w14:textId="77777777" w:rsidR="00892CC6" w:rsidRDefault="00CE79CE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 w14:anchorId="5253F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2052" type="#_x0000_t75" style="position:absolute;left:0;text-align:left;margin-left:85.6pt;margin-top:14.7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2594" w14:textId="77777777" w:rsidR="00892CC6" w:rsidRDefault="00CE79CE">
    <w:pPr>
      <w:pStyle w:val="Encabezado"/>
    </w:pPr>
    <w:r>
      <w:rPr>
        <w:noProof/>
        <w:lang w:eastAsia="es-SV"/>
      </w:rPr>
      <w:pict w14:anchorId="794BA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50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027"/>
    <w:multiLevelType w:val="hybridMultilevel"/>
    <w:tmpl w:val="DE34222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1966"/>
    <w:multiLevelType w:val="hybridMultilevel"/>
    <w:tmpl w:val="0EA8807E"/>
    <w:lvl w:ilvl="0" w:tplc="E1507F8E">
      <w:start w:val="1"/>
      <w:numFmt w:val="decimal"/>
      <w:lvlText w:val="%1."/>
      <w:lvlJc w:val="left"/>
      <w:pPr>
        <w:ind w:left="2160" w:hanging="360"/>
      </w:pPr>
      <w:rPr>
        <w:rFonts w:eastAsiaTheme="minorHAnsi"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CA1BDE"/>
    <w:multiLevelType w:val="hybridMultilevel"/>
    <w:tmpl w:val="AB76654A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F05C4B"/>
    <w:multiLevelType w:val="hybridMultilevel"/>
    <w:tmpl w:val="005646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B61D1"/>
    <w:multiLevelType w:val="hybridMultilevel"/>
    <w:tmpl w:val="D476551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5139"/>
    <w:multiLevelType w:val="hybridMultilevel"/>
    <w:tmpl w:val="8398EF7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644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220D"/>
    <w:multiLevelType w:val="hybridMultilevel"/>
    <w:tmpl w:val="F0DE3F24"/>
    <w:lvl w:ilvl="0" w:tplc="440A0019">
      <w:start w:val="1"/>
      <w:numFmt w:val="lowerLetter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A657AF"/>
    <w:multiLevelType w:val="hybridMultilevel"/>
    <w:tmpl w:val="27F41C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A72E85"/>
    <w:multiLevelType w:val="hybridMultilevel"/>
    <w:tmpl w:val="B50CF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9120D"/>
    <w:multiLevelType w:val="hybridMultilevel"/>
    <w:tmpl w:val="485ECA20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C3720"/>
    <w:multiLevelType w:val="hybridMultilevel"/>
    <w:tmpl w:val="E91EC9F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592A"/>
    <w:multiLevelType w:val="hybridMultilevel"/>
    <w:tmpl w:val="AD620FC6"/>
    <w:lvl w:ilvl="0" w:tplc="440A0019">
      <w:start w:val="1"/>
      <w:numFmt w:val="lowerLetter"/>
      <w:lvlText w:val="%1.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9E496D"/>
    <w:multiLevelType w:val="hybridMultilevel"/>
    <w:tmpl w:val="8C3076F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F">
      <w:start w:val="1"/>
      <w:numFmt w:val="decimal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67472"/>
    <w:multiLevelType w:val="hybridMultilevel"/>
    <w:tmpl w:val="0168431A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767314"/>
    <w:multiLevelType w:val="multilevel"/>
    <w:tmpl w:val="2B8E4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08F69F6"/>
    <w:multiLevelType w:val="hybridMultilevel"/>
    <w:tmpl w:val="A7BEAD3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4472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F6F06"/>
    <w:multiLevelType w:val="multilevel"/>
    <w:tmpl w:val="9A368ED4"/>
    <w:styleLink w:val="Estilo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2947A1"/>
    <w:multiLevelType w:val="hybridMultilevel"/>
    <w:tmpl w:val="DEA4F6C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4"/>
  </w:num>
  <w:num w:numId="5">
    <w:abstractNumId w:val="14"/>
  </w:num>
  <w:num w:numId="6">
    <w:abstractNumId w:val="5"/>
  </w:num>
  <w:num w:numId="7">
    <w:abstractNumId w:val="9"/>
  </w:num>
  <w:num w:numId="8">
    <w:abstractNumId w:val="15"/>
  </w:num>
  <w:num w:numId="9">
    <w:abstractNumId w:val="17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11"/>
  </w:num>
  <w:num w:numId="15">
    <w:abstractNumId w:val="10"/>
  </w:num>
  <w:num w:numId="16">
    <w:abstractNumId w:val="2"/>
  </w:num>
  <w:num w:numId="17">
    <w:abstractNumId w:val="0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3EF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169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09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AC7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0B9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37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33A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82B"/>
    <w:rsid w:val="000E097E"/>
    <w:rsid w:val="000E14D9"/>
    <w:rsid w:val="000E150B"/>
    <w:rsid w:val="000E165A"/>
    <w:rsid w:val="000E1906"/>
    <w:rsid w:val="000E1B15"/>
    <w:rsid w:val="000E1BC9"/>
    <w:rsid w:val="000E22D6"/>
    <w:rsid w:val="000E270C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0C31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BBD"/>
    <w:rsid w:val="00125DF4"/>
    <w:rsid w:val="0012652A"/>
    <w:rsid w:val="00126906"/>
    <w:rsid w:val="00126ED4"/>
    <w:rsid w:val="001277AA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7D6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5F54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87A"/>
    <w:rsid w:val="00167AF3"/>
    <w:rsid w:val="00167F7E"/>
    <w:rsid w:val="0017031C"/>
    <w:rsid w:val="00170B60"/>
    <w:rsid w:val="00170CFC"/>
    <w:rsid w:val="00171049"/>
    <w:rsid w:val="001712A5"/>
    <w:rsid w:val="0017142F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7E1"/>
    <w:rsid w:val="00176CA3"/>
    <w:rsid w:val="00176EFB"/>
    <w:rsid w:val="001775D5"/>
    <w:rsid w:val="0017779B"/>
    <w:rsid w:val="00177ED4"/>
    <w:rsid w:val="00180330"/>
    <w:rsid w:val="001804DA"/>
    <w:rsid w:val="001806A5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1B5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A66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4AD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2E7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3F1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6E95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4F97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0BC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B6B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1767F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5FA2"/>
    <w:rsid w:val="0024609D"/>
    <w:rsid w:val="002460AB"/>
    <w:rsid w:val="00246163"/>
    <w:rsid w:val="00246326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62A"/>
    <w:rsid w:val="00261EA3"/>
    <w:rsid w:val="00262050"/>
    <w:rsid w:val="00262699"/>
    <w:rsid w:val="00262EB1"/>
    <w:rsid w:val="00263A0C"/>
    <w:rsid w:val="00263B4C"/>
    <w:rsid w:val="00263DDB"/>
    <w:rsid w:val="0026418D"/>
    <w:rsid w:val="0026449C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938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0ECA"/>
    <w:rsid w:val="002B12D3"/>
    <w:rsid w:val="002B14AF"/>
    <w:rsid w:val="002B1744"/>
    <w:rsid w:val="002B28B5"/>
    <w:rsid w:val="002B2D81"/>
    <w:rsid w:val="002B2FA9"/>
    <w:rsid w:val="002B3154"/>
    <w:rsid w:val="002B33BB"/>
    <w:rsid w:val="002B353E"/>
    <w:rsid w:val="002B35DE"/>
    <w:rsid w:val="002B3794"/>
    <w:rsid w:val="002B37BB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5E5C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AE5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3B5C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38A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09E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6C9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841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760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8BC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688D"/>
    <w:rsid w:val="00377012"/>
    <w:rsid w:val="0037752D"/>
    <w:rsid w:val="00377C4C"/>
    <w:rsid w:val="00377EB8"/>
    <w:rsid w:val="00380329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0C4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316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480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4E81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10F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5F39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972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DD3"/>
    <w:rsid w:val="00414F77"/>
    <w:rsid w:val="004150BF"/>
    <w:rsid w:val="0041513B"/>
    <w:rsid w:val="00415252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D61"/>
    <w:rsid w:val="00434E26"/>
    <w:rsid w:val="0043532C"/>
    <w:rsid w:val="00435A14"/>
    <w:rsid w:val="00435D47"/>
    <w:rsid w:val="00435D4C"/>
    <w:rsid w:val="0043655A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0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687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A0A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6D2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550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3F1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088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16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58F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3BE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147"/>
    <w:rsid w:val="004F622C"/>
    <w:rsid w:val="004F62BC"/>
    <w:rsid w:val="004F6322"/>
    <w:rsid w:val="004F63EB"/>
    <w:rsid w:val="004F66A5"/>
    <w:rsid w:val="004F731B"/>
    <w:rsid w:val="004F73CE"/>
    <w:rsid w:val="00500188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D2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35B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75C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C2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5FB0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521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799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77E51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1F4C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5C1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3C7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081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1A7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9A7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73B"/>
    <w:rsid w:val="00626CB8"/>
    <w:rsid w:val="00626E43"/>
    <w:rsid w:val="00626F6C"/>
    <w:rsid w:val="0062741A"/>
    <w:rsid w:val="0062795E"/>
    <w:rsid w:val="00627B0B"/>
    <w:rsid w:val="00627C52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47D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B0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1B9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2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0F6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18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075F2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5BC1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2DF4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158"/>
    <w:rsid w:val="0073346D"/>
    <w:rsid w:val="00733B80"/>
    <w:rsid w:val="00733F23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600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07F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30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6B9C"/>
    <w:rsid w:val="0078746E"/>
    <w:rsid w:val="007879CF"/>
    <w:rsid w:val="00787A99"/>
    <w:rsid w:val="00787BA1"/>
    <w:rsid w:val="007900CB"/>
    <w:rsid w:val="007903B3"/>
    <w:rsid w:val="007903D1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7D4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05C"/>
    <w:rsid w:val="007A4334"/>
    <w:rsid w:val="007A43BC"/>
    <w:rsid w:val="007A4537"/>
    <w:rsid w:val="007A489D"/>
    <w:rsid w:val="007A49C3"/>
    <w:rsid w:val="007A4DD4"/>
    <w:rsid w:val="007A57B7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27"/>
    <w:rsid w:val="007D2133"/>
    <w:rsid w:val="007D21D7"/>
    <w:rsid w:val="007D22F9"/>
    <w:rsid w:val="007D242C"/>
    <w:rsid w:val="007D2F65"/>
    <w:rsid w:val="007D2FF8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48AC"/>
    <w:rsid w:val="007E548A"/>
    <w:rsid w:val="007E5624"/>
    <w:rsid w:val="007E5635"/>
    <w:rsid w:val="007E584D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62DF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116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931"/>
    <w:rsid w:val="00825ADC"/>
    <w:rsid w:val="00825FEF"/>
    <w:rsid w:val="00826092"/>
    <w:rsid w:val="0082636C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08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44E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62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CC6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96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4C6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1A3C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495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127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885"/>
    <w:rsid w:val="00944C56"/>
    <w:rsid w:val="00944D99"/>
    <w:rsid w:val="009456E6"/>
    <w:rsid w:val="00945967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DA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0DB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371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447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4A38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07D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2D4"/>
    <w:rsid w:val="00A723B0"/>
    <w:rsid w:val="00A723E7"/>
    <w:rsid w:val="00A72B88"/>
    <w:rsid w:val="00A72BAE"/>
    <w:rsid w:val="00A72BE3"/>
    <w:rsid w:val="00A72C72"/>
    <w:rsid w:val="00A72F40"/>
    <w:rsid w:val="00A734BF"/>
    <w:rsid w:val="00A734C8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6FC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19"/>
    <w:rsid w:val="00AA6B35"/>
    <w:rsid w:val="00AA6C89"/>
    <w:rsid w:val="00AA6CE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41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BF3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0ED0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33B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2A8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1C2"/>
    <w:rsid w:val="00B51436"/>
    <w:rsid w:val="00B51759"/>
    <w:rsid w:val="00B5183D"/>
    <w:rsid w:val="00B51973"/>
    <w:rsid w:val="00B52145"/>
    <w:rsid w:val="00B52514"/>
    <w:rsid w:val="00B5266F"/>
    <w:rsid w:val="00B52C2E"/>
    <w:rsid w:val="00B52C94"/>
    <w:rsid w:val="00B52E32"/>
    <w:rsid w:val="00B54273"/>
    <w:rsid w:val="00B54675"/>
    <w:rsid w:val="00B54906"/>
    <w:rsid w:val="00B54DD7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3AF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09FB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5C3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55F1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03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06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43D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7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381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8D0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03C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099"/>
    <w:rsid w:val="00C5314E"/>
    <w:rsid w:val="00C53273"/>
    <w:rsid w:val="00C53316"/>
    <w:rsid w:val="00C535FF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9F3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2F77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872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A64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B7B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5E3A"/>
    <w:rsid w:val="00C96043"/>
    <w:rsid w:val="00C964D3"/>
    <w:rsid w:val="00C964DA"/>
    <w:rsid w:val="00C96889"/>
    <w:rsid w:val="00C96F51"/>
    <w:rsid w:val="00C97165"/>
    <w:rsid w:val="00C9750E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2C0"/>
    <w:rsid w:val="00CC3B3E"/>
    <w:rsid w:val="00CC3DDC"/>
    <w:rsid w:val="00CC48D5"/>
    <w:rsid w:val="00CC4B4A"/>
    <w:rsid w:val="00CC4BB6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0986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311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9F4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E79CE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AF"/>
    <w:rsid w:val="00CF3DB0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85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037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2E2"/>
    <w:rsid w:val="00D253ED"/>
    <w:rsid w:val="00D254EF"/>
    <w:rsid w:val="00D256AC"/>
    <w:rsid w:val="00D25954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03A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0B5"/>
    <w:rsid w:val="00D45136"/>
    <w:rsid w:val="00D460FA"/>
    <w:rsid w:val="00D46968"/>
    <w:rsid w:val="00D469FE"/>
    <w:rsid w:val="00D46EBE"/>
    <w:rsid w:val="00D47155"/>
    <w:rsid w:val="00D4783E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AB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4F0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536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5FA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5FC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CE5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4CD"/>
    <w:rsid w:val="00DD7593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5F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0E4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95A"/>
    <w:rsid w:val="00E12C13"/>
    <w:rsid w:val="00E13049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953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506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06C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20D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5ECD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A69"/>
    <w:rsid w:val="00E86BAD"/>
    <w:rsid w:val="00E86E2A"/>
    <w:rsid w:val="00E8768C"/>
    <w:rsid w:val="00E87973"/>
    <w:rsid w:val="00E87C85"/>
    <w:rsid w:val="00E87CD6"/>
    <w:rsid w:val="00E87FAD"/>
    <w:rsid w:val="00E90221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D6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1A1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1675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0C6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72B"/>
    <w:rsid w:val="00EF6CBC"/>
    <w:rsid w:val="00EF70A1"/>
    <w:rsid w:val="00EF7424"/>
    <w:rsid w:val="00EF75AA"/>
    <w:rsid w:val="00EF7780"/>
    <w:rsid w:val="00EF7830"/>
    <w:rsid w:val="00EF7BDE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15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664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87B"/>
    <w:rsid w:val="00F23A23"/>
    <w:rsid w:val="00F23B56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BA3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ABD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7CD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A59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6C2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4B4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7E9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5F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51A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BE7EADA"/>
  <w15:docId w15:val="{B24AF665-6DF5-40C5-A652-E972B2F5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paragraph" w:styleId="Ttulo2">
    <w:name w:val="heading 2"/>
    <w:basedOn w:val="Normal"/>
    <w:link w:val="Ttulo2Car"/>
    <w:uiPriority w:val="9"/>
    <w:qFormat/>
    <w:rsid w:val="0033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07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38A"/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numbering" w:customStyle="1" w:styleId="Estilo1">
    <w:name w:val="Estilo1"/>
    <w:uiPriority w:val="99"/>
    <w:rsid w:val="00246326"/>
    <w:pPr>
      <w:numPr>
        <w:numId w:val="1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C72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F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F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F77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7D2FF8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2B37BB"/>
    <w:pPr>
      <w:spacing w:after="120"/>
    </w:pPr>
    <w:rPr>
      <w:rFonts w:cstheme="minorBidi"/>
      <w:i w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37BB"/>
    <w:rPr>
      <w:rFonts w:cstheme="minorBidi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5121E-B3DB-4D18-B614-12DB7F74D2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4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Jose Abraham Garcia Recinos</cp:lastModifiedBy>
  <cp:revision>11</cp:revision>
  <cp:lastPrinted>2019-09-13T15:27:00Z</cp:lastPrinted>
  <dcterms:created xsi:type="dcterms:W3CDTF">2022-06-10T21:32:00Z</dcterms:created>
  <dcterms:modified xsi:type="dcterms:W3CDTF">2022-07-13T15:29:00Z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