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94510C" w:rsidRPr="00D31C68" w14:paraId="026CF11B" w14:textId="77777777" w:rsidTr="00172635">
        <w:tc>
          <w:tcPr>
            <w:tcW w:w="2679" w:type="dxa"/>
            <w:vAlign w:val="center"/>
          </w:tcPr>
          <w:p w14:paraId="0AD0F9A2" w14:textId="16C554EA" w:rsidR="0094510C" w:rsidRPr="005049CF" w:rsidRDefault="0094510C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SAV-012</w:t>
            </w:r>
          </w:p>
        </w:tc>
        <w:tc>
          <w:tcPr>
            <w:tcW w:w="6530" w:type="dxa"/>
            <w:gridSpan w:val="2"/>
            <w:vAlign w:val="center"/>
          </w:tcPr>
          <w:p w14:paraId="0E05752D" w14:textId="42A15ED1" w:rsidR="0094510C" w:rsidRPr="00D31C68" w:rsidRDefault="0094510C" w:rsidP="0094510C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4510C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SOCIEDADES CLASIFICADORAS DE RIESGO</w:t>
            </w:r>
          </w:p>
        </w:tc>
      </w:tr>
      <w:tr w:rsidR="0094510C" w:rsidRPr="00D31C68" w14:paraId="3C10B410" w14:textId="77777777" w:rsidTr="00172635">
        <w:tc>
          <w:tcPr>
            <w:tcW w:w="2679" w:type="dxa"/>
            <w:vAlign w:val="center"/>
          </w:tcPr>
          <w:p w14:paraId="286A3D4D" w14:textId="77777777" w:rsidR="0094510C" w:rsidRPr="00D31C68" w:rsidRDefault="0094510C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0EBE7810" w14:textId="77777777" w:rsidR="0094510C" w:rsidRPr="00D31C68" w:rsidRDefault="0094510C" w:rsidP="0017263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94510C" w:rsidRPr="00D31C68" w14:paraId="14C8F2D8" w14:textId="77777777" w:rsidTr="00172635">
        <w:tc>
          <w:tcPr>
            <w:tcW w:w="2679" w:type="dxa"/>
            <w:vAlign w:val="center"/>
          </w:tcPr>
          <w:p w14:paraId="67D890C4" w14:textId="77777777" w:rsidR="0094510C" w:rsidRPr="00D31C68" w:rsidRDefault="0094510C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A36AFED" w14:textId="77777777" w:rsidR="0094510C" w:rsidRPr="0087381F" w:rsidRDefault="0094510C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Clasificadoras de Riesgos</w:t>
            </w:r>
          </w:p>
        </w:tc>
        <w:tc>
          <w:tcPr>
            <w:tcW w:w="3265" w:type="dxa"/>
            <w:vAlign w:val="center"/>
          </w:tcPr>
          <w:p w14:paraId="1F08198D" w14:textId="53B4E448" w:rsidR="0094510C" w:rsidRPr="00D31C68" w:rsidRDefault="0094510C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83239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180 días calendario</w:t>
            </w:r>
          </w:p>
        </w:tc>
      </w:tr>
      <w:tr w:rsidR="0094510C" w:rsidRPr="00D31C68" w14:paraId="4994DCE9" w14:textId="77777777" w:rsidTr="00172635">
        <w:tc>
          <w:tcPr>
            <w:tcW w:w="2679" w:type="dxa"/>
            <w:vAlign w:val="center"/>
          </w:tcPr>
          <w:p w14:paraId="7C18F9EB" w14:textId="77777777" w:rsidR="0094510C" w:rsidRPr="00D31C68" w:rsidRDefault="0094510C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6538A813" w14:textId="1C0BED47" w:rsidR="0094510C" w:rsidRPr="00D07ABF" w:rsidRDefault="00D07ABF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548DD4" w:themeColor="text2" w:themeTint="99"/>
                <w:sz w:val="20"/>
                <w:szCs w:val="20"/>
              </w:rPr>
              <w:t>20/03/2023</w:t>
            </w:r>
          </w:p>
        </w:tc>
      </w:tr>
    </w:tbl>
    <w:p w14:paraId="149E45DE" w14:textId="77777777" w:rsidR="0094510C" w:rsidRDefault="0094510C" w:rsidP="00A87D2A">
      <w:pPr>
        <w:spacing w:after="0" w:line="240" w:lineRule="auto"/>
        <w:jc w:val="both"/>
        <w:rPr>
          <w:lang w:val="es-SV"/>
        </w:rPr>
      </w:pPr>
    </w:p>
    <w:p w14:paraId="6E7A7C72" w14:textId="3E8F257F" w:rsidR="00A87D2A" w:rsidRPr="0094510C" w:rsidRDefault="00A87D2A" w:rsidP="00A87D2A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94510C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6C050691" w14:textId="77777777" w:rsidR="00E517A2" w:rsidRPr="0094510C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94510C">
        <w:rPr>
          <w:rFonts w:ascii="Museo Sans 300" w:hAnsi="Museo Sans 300"/>
          <w:szCs w:val="20"/>
          <w:lang w:val="es-SV"/>
        </w:rPr>
        <w:t>Ley de Supervisión y Regulación del Sistema Financiero</w:t>
      </w:r>
    </w:p>
    <w:p w14:paraId="17D9CAE9" w14:textId="77777777" w:rsidR="00E517A2" w:rsidRPr="0094510C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94510C">
        <w:rPr>
          <w:rFonts w:ascii="Museo Sans 300" w:hAnsi="Museo Sans 300"/>
          <w:szCs w:val="20"/>
          <w:lang w:val="es-SV"/>
        </w:rPr>
        <w:t>Arts. 88, 89, 89-A, 95-D, 95-F de la Ley del Mercado de Valores</w:t>
      </w:r>
    </w:p>
    <w:p w14:paraId="194A0538" w14:textId="77777777" w:rsidR="00E517A2" w:rsidRPr="0094510C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94510C">
        <w:rPr>
          <w:rFonts w:ascii="Museo Sans 300" w:hAnsi="Museo Sans 300"/>
          <w:szCs w:val="20"/>
          <w:lang w:val="es-SV"/>
        </w:rPr>
        <w:t>Normas Técnicas sobre las Obligaciones de las Sociedades Clasificadoras de Riesgo (NRP-07)</w:t>
      </w:r>
    </w:p>
    <w:p w14:paraId="47B6EE24" w14:textId="77777777" w:rsidR="00E517A2" w:rsidRPr="0094510C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94510C">
        <w:rPr>
          <w:rFonts w:ascii="Museo Sans 300" w:hAnsi="Museo Sans 300"/>
          <w:szCs w:val="20"/>
          <w:lang w:val="es-SV"/>
        </w:rPr>
        <w:t>Normas Técnicas de Auditoría Interna para los Integrantes del Sistema Financiero (NRP-15)</w:t>
      </w:r>
    </w:p>
    <w:p w14:paraId="4FDAA8C7" w14:textId="77777777" w:rsidR="00E517A2" w:rsidRPr="0094510C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jc w:val="both"/>
        <w:rPr>
          <w:rFonts w:ascii="Museo Sans 300" w:hAnsi="Museo Sans 300"/>
          <w:szCs w:val="20"/>
          <w:lang w:val="es-SV"/>
        </w:rPr>
      </w:pPr>
      <w:r w:rsidRPr="0094510C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1289C1FF" w14:textId="11DF9FF5" w:rsidR="0090334B" w:rsidRDefault="00E517A2" w:rsidP="00E517A2">
      <w:pPr>
        <w:pStyle w:val="Prrafodelista"/>
        <w:numPr>
          <w:ilvl w:val="0"/>
          <w:numId w:val="10"/>
        </w:numPr>
        <w:spacing w:after="100" w:afterAutospacing="1" w:line="240" w:lineRule="auto"/>
        <w:contextualSpacing w:val="0"/>
        <w:jc w:val="both"/>
        <w:rPr>
          <w:rFonts w:ascii="Museo Sans 300" w:hAnsi="Museo Sans 300"/>
          <w:szCs w:val="20"/>
          <w:lang w:val="es-SV"/>
        </w:rPr>
      </w:pPr>
      <w:r w:rsidRPr="0094510C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</w:p>
    <w:p w14:paraId="4B0847DB" w14:textId="41641853" w:rsidR="00813281" w:rsidRPr="00813281" w:rsidRDefault="00813281" w:rsidP="00E517A2">
      <w:pPr>
        <w:pStyle w:val="Prrafodelista"/>
        <w:numPr>
          <w:ilvl w:val="0"/>
          <w:numId w:val="10"/>
        </w:numPr>
        <w:spacing w:after="100" w:afterAutospacing="1" w:line="240" w:lineRule="auto"/>
        <w:contextualSpacing w:val="0"/>
        <w:jc w:val="both"/>
        <w:rPr>
          <w:rFonts w:ascii="Museo Sans 300" w:hAnsi="Museo Sans 300"/>
          <w:color w:val="548DD4" w:themeColor="text2" w:themeTint="99"/>
          <w:szCs w:val="20"/>
          <w:lang w:val="es-SV"/>
        </w:rPr>
      </w:pPr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NDMC-21 </w:t>
      </w:r>
      <w:r w:rsidRPr="00813281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el registro de administradores en el Registro Público Bursátil</w:t>
      </w:r>
    </w:p>
    <w:p w14:paraId="49E41619" w14:textId="77777777" w:rsidR="0086371B" w:rsidRPr="0094510C" w:rsidRDefault="0086371B" w:rsidP="0094510C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94510C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4E309B57" w14:textId="5A2E2F78" w:rsidR="00E517A2" w:rsidRDefault="00E517A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Solicitud de autorización de inicio de operaciones dirigida al Superintendente del Sistema Financiero suscrita por el representante legal</w:t>
      </w:r>
      <w:r w:rsidR="0083239B">
        <w:rPr>
          <w:rFonts w:ascii="Museo Sans 300" w:hAnsi="Museo Sans 300" w:cs="Cambria"/>
          <w:lang w:val="es-SV" w:eastAsia="es-SV"/>
        </w:rPr>
        <w:t>,</w:t>
      </w:r>
      <w:r w:rsidRPr="0094510C">
        <w:rPr>
          <w:rFonts w:ascii="Museo Sans 300" w:hAnsi="Museo Sans 300" w:cs="Cambria"/>
          <w:lang w:val="es-SV" w:eastAsia="es-SV"/>
        </w:rPr>
        <w:t xml:space="preserve"> legalizada por notario.</w:t>
      </w:r>
    </w:p>
    <w:p w14:paraId="38DFF4CC" w14:textId="77777777" w:rsidR="00B80F2E" w:rsidRDefault="00B80F2E" w:rsidP="00B80F2E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</w:p>
    <w:p w14:paraId="4A37CFDD" w14:textId="634BA3AD" w:rsidR="00B80F2E" w:rsidRPr="0094510C" w:rsidRDefault="00B80F2E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Copia certificada del testimonio de la Escritura Pública de Constitución inscrita en el Registro de Comercio</w:t>
      </w:r>
      <w:r>
        <w:rPr>
          <w:rFonts w:ascii="Museo Sans 300" w:hAnsi="Museo Sans 300" w:cs="Cambria"/>
          <w:lang w:val="es-SV" w:eastAsia="es-SV"/>
        </w:rPr>
        <w:t>.</w:t>
      </w:r>
    </w:p>
    <w:p w14:paraId="39C445C7" w14:textId="77777777" w:rsidR="004730F4" w:rsidRPr="0094510C" w:rsidRDefault="004730F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</w:p>
    <w:p w14:paraId="39B5AFB8" w14:textId="39207263" w:rsidR="00E517A2" w:rsidRPr="0094510C" w:rsidRDefault="00E517A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813281">
        <w:rPr>
          <w:rFonts w:ascii="Museo Sans 300" w:hAnsi="Museo Sans 300" w:cs="Cambria"/>
          <w:lang w:val="es-SV" w:eastAsia="es-SV"/>
        </w:rPr>
        <w:t>Certificación del punto de acta de Junta General de Accionistas o de Junta Directiva, en virtud del cual se haya efectuado la autorización de la Estructura Organizacional,</w:t>
      </w:r>
      <w:r w:rsidRPr="0094510C">
        <w:rPr>
          <w:rFonts w:ascii="Museo Sans 300" w:hAnsi="Museo Sans 300" w:cs="Cambria"/>
          <w:lang w:val="es-SV" w:eastAsia="es-SV"/>
        </w:rPr>
        <w:t xml:space="preserve"> y el nombramiento del gerente general o director ejecutivo</w:t>
      </w:r>
      <w:r w:rsidR="00813281">
        <w:rPr>
          <w:rFonts w:ascii="Museo Sans 300" w:hAnsi="Museo Sans 300" w:cs="Cambria"/>
          <w:lang w:val="es-SV" w:eastAsia="es-SV"/>
        </w:rPr>
        <w:t>, cuando no se hubiera nombrado en el acto constitutivo.</w:t>
      </w:r>
    </w:p>
    <w:p w14:paraId="1F2668F9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1F95CE7C" w14:textId="77777777" w:rsidR="00E517A2" w:rsidRPr="0094510C" w:rsidRDefault="00E517A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Copia legible del NIT y del Número de Registro de Contribuyente, certificada por notario.</w:t>
      </w:r>
    </w:p>
    <w:p w14:paraId="511F1D19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0E97F8C5" w14:textId="77777777" w:rsidR="00813281" w:rsidRPr="0094510C" w:rsidRDefault="00E517A2" w:rsidP="0081328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Nombramiento del Auditor Externo inscrito en el Registro de Comercio</w:t>
      </w:r>
      <w:r w:rsidR="009D3691" w:rsidRPr="0094510C">
        <w:rPr>
          <w:rFonts w:ascii="Museo Sans 300" w:hAnsi="Museo Sans 300" w:cs="Cambria"/>
          <w:lang w:val="es-SV" w:eastAsia="es-SV"/>
        </w:rPr>
        <w:t>. El Auditor Externo debe estar inscrito en el Registro Público que lleva la Superintendencia del Sistema Financiero</w:t>
      </w:r>
      <w:r w:rsidR="00813281">
        <w:rPr>
          <w:rFonts w:ascii="Museo Sans 300" w:hAnsi="Museo Sans 300" w:cs="Cambria"/>
          <w:lang w:val="es-SV" w:eastAsia="es-SV"/>
        </w:rPr>
        <w:t>, cuando no se hubiera nombrado en el acto constitutivo.</w:t>
      </w:r>
    </w:p>
    <w:p w14:paraId="358C962A" w14:textId="77777777" w:rsidR="00DA62B8" w:rsidRPr="0094510C" w:rsidRDefault="00DA62B8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6D69905D" w14:textId="77777777" w:rsidR="00E517A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Documento que evidencie que cuenta con Auditoría Interna, conforme a lo establecido en las Normas NRP-15.</w:t>
      </w:r>
    </w:p>
    <w:p w14:paraId="3C0EF88A" w14:textId="77777777" w:rsidR="00DA62B8" w:rsidRPr="0094510C" w:rsidRDefault="00DA62B8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25619F13" w14:textId="77777777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 xml:space="preserve">Descripción de la plataforma informática sobre la cual se ha desarrollado el sistema contable, descripción de sus sistemas de información, descripción de respaldos de </w:t>
      </w:r>
      <w:r w:rsidRPr="0094510C">
        <w:rPr>
          <w:rFonts w:ascii="Museo Sans 300" w:hAnsi="Museo Sans 300" w:cs="Cambria"/>
          <w:lang w:val="es-SV" w:eastAsia="es-SV"/>
        </w:rPr>
        <w:lastRenderedPageBreak/>
        <w:t xml:space="preserve">información, la seguridad y controles en los sistemas; </w:t>
      </w:r>
      <w:r w:rsidR="00DA62B8" w:rsidRPr="0094510C">
        <w:rPr>
          <w:rFonts w:ascii="Museo Sans 300" w:hAnsi="Museo Sans 300" w:cs="Cambria"/>
          <w:lang w:val="es-SV" w:eastAsia="es-SV"/>
        </w:rPr>
        <w:t>así</w:t>
      </w:r>
      <w:r w:rsidRPr="0094510C">
        <w:rPr>
          <w:rFonts w:ascii="Museo Sans 300" w:hAnsi="Museo Sans 300" w:cs="Cambria"/>
          <w:lang w:val="es-SV" w:eastAsia="es-SV"/>
        </w:rPr>
        <w:t xml:space="preserve"> como los formatos a ser utilizados en cada uno de sus registros.</w:t>
      </w:r>
    </w:p>
    <w:p w14:paraId="2D2066AF" w14:textId="77777777" w:rsidR="004730F4" w:rsidRPr="0094510C" w:rsidRDefault="004730F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</w:p>
    <w:p w14:paraId="4F1005B0" w14:textId="77777777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Manuales de control interno para el funcionamiento en cada uno de los procesos operativos de la entidad y Manuales de organización y procedimientos que le permitan cumplir con sus funciones adecuadamente; así como sus planes de contingencia y continuidad del negocio, autorizados por la Junta Directiva de la sociedad.</w:t>
      </w:r>
    </w:p>
    <w:p w14:paraId="34B72108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1D5E028B" w14:textId="77777777" w:rsidR="00B80F2E" w:rsidRPr="0094510C" w:rsidRDefault="00B80F2E" w:rsidP="00B80F2E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Detalle de conformación de Comités de apoyo (Auditoría interna, Riesgo y otros según aplique).</w:t>
      </w:r>
    </w:p>
    <w:p w14:paraId="42D83BAF" w14:textId="77777777" w:rsidR="00B80F2E" w:rsidRPr="00B80F2E" w:rsidRDefault="00B80F2E" w:rsidP="00B80F2E">
      <w:pPr>
        <w:pStyle w:val="Prrafodelista"/>
        <w:rPr>
          <w:rFonts w:ascii="Museo Sans 300" w:hAnsi="Museo Sans 300" w:cs="Cambria"/>
          <w:lang w:val="es-SV" w:eastAsia="es-SV"/>
        </w:rPr>
      </w:pPr>
    </w:p>
    <w:p w14:paraId="707AFF8D" w14:textId="3C69BB12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Políticas sobre estándares éticos de conducta, manejo de conflicto de interés, uso de información privilegiada, prevención de conductas que puedan implicar la manipulación o abuso del mercado, así como el cumplimiento de los principios, reglas o estándares en el manejo de los negocios que establezcan para alcanzar los objetivos corporativos, autorizadas por la Junta Directiva de la sociedad.</w:t>
      </w:r>
    </w:p>
    <w:p w14:paraId="39AAC7A6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4C2D863B" w14:textId="77777777" w:rsidR="00407A22" w:rsidRPr="0094510C" w:rsidRDefault="00407A22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Políticas y mecanismos para la gestión de riesgos, incluyendo aquellas relativas a prevenir e impedir la ejecución de operaciones relacionadas con el lavado de dinero y financiamiento del terrorismo.</w:t>
      </w:r>
    </w:p>
    <w:p w14:paraId="098353F6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0E38C5A2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Metodologías de clasificación de riesgo.</w:t>
      </w:r>
    </w:p>
    <w:p w14:paraId="33029359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04DB795B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Formato de Informe de Clasificación de Riesgo.</w:t>
      </w:r>
    </w:p>
    <w:p w14:paraId="72CB3820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793519EF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Formato de comunicación de nuevos contratos de servicio de clasificación, renovaciones o terminaciones.</w:t>
      </w:r>
    </w:p>
    <w:p w14:paraId="0530DED6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3EE178B5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Formato de Declaración Jurada de Representante Legal que acompaña las clasificaciones de riesgo.</w:t>
      </w:r>
    </w:p>
    <w:p w14:paraId="6AE07DBC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4144882A" w14:textId="4ECAB6D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 xml:space="preserve">Procedimiento para la emisión y </w:t>
      </w:r>
      <w:r w:rsidR="00881E04">
        <w:rPr>
          <w:rFonts w:ascii="Museo Sans 300" w:hAnsi="Museo Sans 300" w:cs="Cambria"/>
          <w:lang w:val="es-SV" w:eastAsia="es-SV"/>
        </w:rPr>
        <w:t xml:space="preserve"> </w:t>
      </w:r>
      <w:r w:rsidRPr="0094510C">
        <w:rPr>
          <w:rFonts w:ascii="Museo Sans 300" w:hAnsi="Museo Sans 300" w:cs="Cambria"/>
          <w:lang w:val="es-SV" w:eastAsia="es-SV"/>
        </w:rPr>
        <w:t>divulgación de clasificaciones de riesgo.</w:t>
      </w:r>
    </w:p>
    <w:p w14:paraId="7D287843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149AADB6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Contratos de servicios con terceros.</w:t>
      </w:r>
    </w:p>
    <w:p w14:paraId="0D06CCE7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58EF6CB8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Plan de Inicio de Operaciones (Actividades, fechas, responsables).</w:t>
      </w:r>
    </w:p>
    <w:p w14:paraId="742AAE86" w14:textId="77777777" w:rsidR="004730F4" w:rsidRPr="0094510C" w:rsidRDefault="004730F4" w:rsidP="0094510C">
      <w:pPr>
        <w:pStyle w:val="Prrafodelista"/>
        <w:ind w:left="360"/>
        <w:rPr>
          <w:rFonts w:ascii="Museo Sans 300" w:hAnsi="Museo Sans 300" w:cs="Cambria"/>
          <w:lang w:val="es-SV" w:eastAsia="es-SV"/>
        </w:rPr>
      </w:pPr>
    </w:p>
    <w:p w14:paraId="24764929" w14:textId="77777777" w:rsidR="00D65514" w:rsidRPr="0094510C" w:rsidRDefault="00D65514" w:rsidP="0094510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Presentar documentación definitiva relativa a:</w:t>
      </w:r>
    </w:p>
    <w:p w14:paraId="68E174BF" w14:textId="77777777" w:rsidR="00D65514" w:rsidRPr="0094510C" w:rsidRDefault="00D6551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a) Plan y modelo de negocio.</w:t>
      </w:r>
    </w:p>
    <w:p w14:paraId="2C48AED6" w14:textId="77777777" w:rsidR="00D65514" w:rsidRPr="0094510C" w:rsidRDefault="00D65514" w:rsidP="0094510C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b) Estudio de mercado y factibilidad financiera.</w:t>
      </w:r>
    </w:p>
    <w:p w14:paraId="7B680D59" w14:textId="7EFDA429" w:rsidR="00D65514" w:rsidRPr="0094510C" w:rsidRDefault="00D65514" w:rsidP="003036F7">
      <w:pPr>
        <w:pStyle w:val="Prrafodelista"/>
        <w:autoSpaceDE w:val="0"/>
        <w:autoSpaceDN w:val="0"/>
        <w:adjustRightInd w:val="0"/>
        <w:ind w:left="567" w:hanging="207"/>
        <w:jc w:val="both"/>
        <w:rPr>
          <w:rFonts w:ascii="Museo Sans 300" w:hAnsi="Museo Sans 300" w:cs="Cambria"/>
          <w:lang w:val="es-SV" w:eastAsia="es-SV"/>
        </w:rPr>
      </w:pPr>
      <w:r w:rsidRPr="0094510C">
        <w:rPr>
          <w:rFonts w:ascii="Museo Sans 300" w:hAnsi="Museo Sans 300" w:cs="Cambria"/>
          <w:lang w:val="es-SV" w:eastAsia="es-SV"/>
        </w:rPr>
        <w:t>c) Modelo financiero en Microsoft Excel que incluya proyecciones a los Estados Financieros</w:t>
      </w:r>
      <w:r w:rsidR="003036F7">
        <w:rPr>
          <w:rFonts w:ascii="Museo Sans 300" w:hAnsi="Museo Sans 300" w:cs="Cambria"/>
          <w:lang w:val="es-SV" w:eastAsia="es-SV"/>
        </w:rPr>
        <w:t xml:space="preserve"> </w:t>
      </w:r>
      <w:r w:rsidRPr="0094510C">
        <w:rPr>
          <w:rFonts w:ascii="Museo Sans 300" w:hAnsi="Museo Sans 300" w:cs="Cambria"/>
          <w:lang w:val="es-SV" w:eastAsia="es-SV"/>
        </w:rPr>
        <w:t>a 3 años mínimo debidamente formuladas, cálculo de VAN y TIR con base al flujo anual.</w:t>
      </w:r>
    </w:p>
    <w:p w14:paraId="48C4B4C3" w14:textId="4B69306D" w:rsidR="003F774D" w:rsidRPr="003F774D" w:rsidRDefault="00D65514" w:rsidP="00813281">
      <w:pPr>
        <w:pStyle w:val="Prrafodelista"/>
        <w:autoSpaceDE w:val="0"/>
        <w:autoSpaceDN w:val="0"/>
        <w:adjustRightInd w:val="0"/>
        <w:ind w:left="360"/>
        <w:jc w:val="both"/>
        <w:rPr>
          <w:rFonts w:ascii="Calibri" w:hAnsi="Calibri"/>
          <w:color w:val="FF0000"/>
          <w:szCs w:val="20"/>
          <w:lang w:val="es-SV"/>
        </w:rPr>
      </w:pPr>
      <w:r w:rsidRPr="0094510C">
        <w:rPr>
          <w:rFonts w:ascii="Museo Sans 300" w:hAnsi="Museo Sans 300" w:cs="Cambria"/>
          <w:lang w:val="es-SV" w:eastAsia="es-SV"/>
        </w:rPr>
        <w:t>d) Supuestos de las proyecciones suscritos por el responsable de la entidad en trámite.</w:t>
      </w:r>
    </w:p>
    <w:sectPr w:rsidR="003F774D" w:rsidRPr="003F774D" w:rsidSect="00DF069B">
      <w:headerReference w:type="default" r:id="rId8"/>
      <w:footerReference w:type="default" r:id="rId9"/>
      <w:pgSz w:w="11906" w:h="16838"/>
      <w:pgMar w:top="167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D863" w14:textId="77777777" w:rsidR="00254F96" w:rsidRDefault="00254F96" w:rsidP="00BB082E">
      <w:pPr>
        <w:spacing w:after="0" w:line="240" w:lineRule="auto"/>
      </w:pPr>
      <w:r>
        <w:separator/>
      </w:r>
    </w:p>
  </w:endnote>
  <w:endnote w:type="continuationSeparator" w:id="0">
    <w:p w14:paraId="34FF8366" w14:textId="77777777" w:rsidR="00254F96" w:rsidRDefault="00254F9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EndPr/>
    <w:sdtContent>
      <w:p w14:paraId="4C855896" w14:textId="77777777" w:rsidR="007D14CF" w:rsidRDefault="00E94D59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B6F2955" wp14:editId="329182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DD62B" w14:textId="6B3E6031" w:rsidR="007D14CF" w:rsidRPr="008F2523" w:rsidRDefault="006756E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7D14CF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881E04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B6F2955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288DD62B" w14:textId="6B3E6031" w:rsidR="007D14CF" w:rsidRPr="008F2523" w:rsidRDefault="006756E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7D14CF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881E04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D859" w14:textId="77777777" w:rsidR="00254F96" w:rsidRDefault="00254F96" w:rsidP="00BB082E">
      <w:pPr>
        <w:spacing w:after="0" w:line="240" w:lineRule="auto"/>
      </w:pPr>
      <w:r>
        <w:separator/>
      </w:r>
    </w:p>
  </w:footnote>
  <w:footnote w:type="continuationSeparator" w:id="0">
    <w:p w14:paraId="40716655" w14:textId="77777777" w:rsidR="00254F96" w:rsidRDefault="00254F9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5D4E" w14:textId="77777777" w:rsidR="007D14CF" w:rsidRDefault="00437F9F" w:rsidP="00B85811">
    <w:pPr>
      <w:pStyle w:val="Encabezado"/>
      <w:jc w:val="center"/>
    </w:pPr>
    <w:r w:rsidRPr="00437F9F">
      <w:rPr>
        <w:noProof/>
        <w:lang w:val="es-SV" w:eastAsia="es-SV"/>
      </w:rPr>
      <w:drawing>
        <wp:inline distT="0" distB="0" distL="0" distR="0" wp14:anchorId="0323C95C" wp14:editId="0EF0801A">
          <wp:extent cx="2297430" cy="1017900"/>
          <wp:effectExtent l="19050" t="0" r="7620" b="0"/>
          <wp:docPr id="10" name="Imagen 10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D7"/>
    <w:multiLevelType w:val="hybridMultilevel"/>
    <w:tmpl w:val="D8280906"/>
    <w:lvl w:ilvl="0" w:tplc="7E90C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C75"/>
    <w:multiLevelType w:val="hybridMultilevel"/>
    <w:tmpl w:val="A24A7A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2E1"/>
    <w:multiLevelType w:val="hybridMultilevel"/>
    <w:tmpl w:val="AA5CFA3A"/>
    <w:lvl w:ilvl="0" w:tplc="1A14C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705C"/>
    <w:multiLevelType w:val="hybridMultilevel"/>
    <w:tmpl w:val="B1826E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8722C"/>
    <w:multiLevelType w:val="hybridMultilevel"/>
    <w:tmpl w:val="EC8086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3582"/>
    <w:multiLevelType w:val="hybridMultilevel"/>
    <w:tmpl w:val="0AC2F13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A0E05"/>
    <w:multiLevelType w:val="hybridMultilevel"/>
    <w:tmpl w:val="1E840C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5FF"/>
    <w:multiLevelType w:val="hybridMultilevel"/>
    <w:tmpl w:val="7576BACA"/>
    <w:lvl w:ilvl="0" w:tplc="DC227F8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85FDA"/>
    <w:multiLevelType w:val="hybridMultilevel"/>
    <w:tmpl w:val="A35A5EB6"/>
    <w:lvl w:ilvl="0" w:tplc="46A4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726C2"/>
    <w:multiLevelType w:val="hybridMultilevel"/>
    <w:tmpl w:val="2EDE57DC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84919">
    <w:abstractNumId w:val="9"/>
  </w:num>
  <w:num w:numId="2" w16cid:durableId="375275924">
    <w:abstractNumId w:val="7"/>
  </w:num>
  <w:num w:numId="3" w16cid:durableId="814681721">
    <w:abstractNumId w:val="8"/>
  </w:num>
  <w:num w:numId="4" w16cid:durableId="2006858846">
    <w:abstractNumId w:val="1"/>
  </w:num>
  <w:num w:numId="5" w16cid:durableId="1861888308">
    <w:abstractNumId w:val="10"/>
  </w:num>
  <w:num w:numId="6" w16cid:durableId="814295857">
    <w:abstractNumId w:val="6"/>
  </w:num>
  <w:num w:numId="7" w16cid:durableId="943539454">
    <w:abstractNumId w:val="0"/>
  </w:num>
  <w:num w:numId="8" w16cid:durableId="153954591">
    <w:abstractNumId w:val="3"/>
  </w:num>
  <w:num w:numId="9" w16cid:durableId="881744896">
    <w:abstractNumId w:val="4"/>
  </w:num>
  <w:num w:numId="10" w16cid:durableId="383987704">
    <w:abstractNumId w:val="5"/>
  </w:num>
  <w:num w:numId="11" w16cid:durableId="730124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115E"/>
    <w:rsid w:val="00047581"/>
    <w:rsid w:val="0005255A"/>
    <w:rsid w:val="0005646B"/>
    <w:rsid w:val="000659A9"/>
    <w:rsid w:val="00071C96"/>
    <w:rsid w:val="00085DE2"/>
    <w:rsid w:val="00094264"/>
    <w:rsid w:val="00095B89"/>
    <w:rsid w:val="000A1C5F"/>
    <w:rsid w:val="000A56F8"/>
    <w:rsid w:val="000B2ADA"/>
    <w:rsid w:val="000B680C"/>
    <w:rsid w:val="000D0938"/>
    <w:rsid w:val="000D1183"/>
    <w:rsid w:val="000D46E3"/>
    <w:rsid w:val="000E1F7E"/>
    <w:rsid w:val="000E6763"/>
    <w:rsid w:val="000F1182"/>
    <w:rsid w:val="000F7982"/>
    <w:rsid w:val="001020B4"/>
    <w:rsid w:val="0011510D"/>
    <w:rsid w:val="0012530F"/>
    <w:rsid w:val="0013243B"/>
    <w:rsid w:val="001566AA"/>
    <w:rsid w:val="00160A00"/>
    <w:rsid w:val="001611F9"/>
    <w:rsid w:val="00163375"/>
    <w:rsid w:val="00176B0A"/>
    <w:rsid w:val="00180A27"/>
    <w:rsid w:val="00182453"/>
    <w:rsid w:val="00185BBB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7F75"/>
    <w:rsid w:val="001F18CD"/>
    <w:rsid w:val="00201107"/>
    <w:rsid w:val="00201674"/>
    <w:rsid w:val="002063B2"/>
    <w:rsid w:val="00222782"/>
    <w:rsid w:val="0022300C"/>
    <w:rsid w:val="00223E29"/>
    <w:rsid w:val="00224367"/>
    <w:rsid w:val="002458E6"/>
    <w:rsid w:val="00246941"/>
    <w:rsid w:val="00254F96"/>
    <w:rsid w:val="00267DEF"/>
    <w:rsid w:val="002759EE"/>
    <w:rsid w:val="00282EF5"/>
    <w:rsid w:val="00283315"/>
    <w:rsid w:val="002900B8"/>
    <w:rsid w:val="00293028"/>
    <w:rsid w:val="002B165A"/>
    <w:rsid w:val="002B4429"/>
    <w:rsid w:val="002C10B7"/>
    <w:rsid w:val="002C2369"/>
    <w:rsid w:val="002C2718"/>
    <w:rsid w:val="002C3F26"/>
    <w:rsid w:val="002D5048"/>
    <w:rsid w:val="002D7B76"/>
    <w:rsid w:val="002E5E67"/>
    <w:rsid w:val="003036F7"/>
    <w:rsid w:val="00307D86"/>
    <w:rsid w:val="0032185E"/>
    <w:rsid w:val="00330C94"/>
    <w:rsid w:val="00333E91"/>
    <w:rsid w:val="0033712E"/>
    <w:rsid w:val="00337A50"/>
    <w:rsid w:val="003406DB"/>
    <w:rsid w:val="00342518"/>
    <w:rsid w:val="0034749C"/>
    <w:rsid w:val="00351FD8"/>
    <w:rsid w:val="003525C0"/>
    <w:rsid w:val="00353636"/>
    <w:rsid w:val="00356D08"/>
    <w:rsid w:val="00361E7B"/>
    <w:rsid w:val="00363EEA"/>
    <w:rsid w:val="003711EF"/>
    <w:rsid w:val="00373FD4"/>
    <w:rsid w:val="00377427"/>
    <w:rsid w:val="0038622E"/>
    <w:rsid w:val="00386C1F"/>
    <w:rsid w:val="00391750"/>
    <w:rsid w:val="003935BF"/>
    <w:rsid w:val="00393C20"/>
    <w:rsid w:val="003A1295"/>
    <w:rsid w:val="003B54E6"/>
    <w:rsid w:val="003B5AB8"/>
    <w:rsid w:val="003C58BF"/>
    <w:rsid w:val="003D3FAA"/>
    <w:rsid w:val="003D57E5"/>
    <w:rsid w:val="003E1DEF"/>
    <w:rsid w:val="003F1F7F"/>
    <w:rsid w:val="003F4F15"/>
    <w:rsid w:val="003F5FDD"/>
    <w:rsid w:val="003F774D"/>
    <w:rsid w:val="00404ECF"/>
    <w:rsid w:val="0040553D"/>
    <w:rsid w:val="00407A22"/>
    <w:rsid w:val="0041424B"/>
    <w:rsid w:val="00417053"/>
    <w:rsid w:val="00437F9F"/>
    <w:rsid w:val="0044044D"/>
    <w:rsid w:val="004525A5"/>
    <w:rsid w:val="004575B9"/>
    <w:rsid w:val="0046395C"/>
    <w:rsid w:val="0047038F"/>
    <w:rsid w:val="004730F4"/>
    <w:rsid w:val="0047692D"/>
    <w:rsid w:val="00480E29"/>
    <w:rsid w:val="00483C75"/>
    <w:rsid w:val="004848EE"/>
    <w:rsid w:val="0048736A"/>
    <w:rsid w:val="004878FA"/>
    <w:rsid w:val="00494E76"/>
    <w:rsid w:val="00497400"/>
    <w:rsid w:val="004A1011"/>
    <w:rsid w:val="004A2E25"/>
    <w:rsid w:val="004A4648"/>
    <w:rsid w:val="004A4E16"/>
    <w:rsid w:val="004B6C03"/>
    <w:rsid w:val="004C558B"/>
    <w:rsid w:val="004C7101"/>
    <w:rsid w:val="004C77DE"/>
    <w:rsid w:val="004D2398"/>
    <w:rsid w:val="004D3402"/>
    <w:rsid w:val="004E253A"/>
    <w:rsid w:val="004E6F28"/>
    <w:rsid w:val="005049D4"/>
    <w:rsid w:val="00510610"/>
    <w:rsid w:val="00511D28"/>
    <w:rsid w:val="0051424E"/>
    <w:rsid w:val="00515F23"/>
    <w:rsid w:val="0052376F"/>
    <w:rsid w:val="005258AC"/>
    <w:rsid w:val="00527839"/>
    <w:rsid w:val="00532A93"/>
    <w:rsid w:val="00537F6D"/>
    <w:rsid w:val="00550016"/>
    <w:rsid w:val="005507BD"/>
    <w:rsid w:val="00555EC1"/>
    <w:rsid w:val="00561EBC"/>
    <w:rsid w:val="00567B55"/>
    <w:rsid w:val="00570C76"/>
    <w:rsid w:val="005719A4"/>
    <w:rsid w:val="0057236B"/>
    <w:rsid w:val="00572806"/>
    <w:rsid w:val="00576488"/>
    <w:rsid w:val="00577BEA"/>
    <w:rsid w:val="00585525"/>
    <w:rsid w:val="00586589"/>
    <w:rsid w:val="00594FAE"/>
    <w:rsid w:val="00596B36"/>
    <w:rsid w:val="005A06CC"/>
    <w:rsid w:val="005A2404"/>
    <w:rsid w:val="005A719C"/>
    <w:rsid w:val="005B1F22"/>
    <w:rsid w:val="005D139C"/>
    <w:rsid w:val="005D2861"/>
    <w:rsid w:val="00600CF1"/>
    <w:rsid w:val="006068A5"/>
    <w:rsid w:val="006117C0"/>
    <w:rsid w:val="00616F0F"/>
    <w:rsid w:val="0061701F"/>
    <w:rsid w:val="00630F57"/>
    <w:rsid w:val="006404C6"/>
    <w:rsid w:val="00652E61"/>
    <w:rsid w:val="00660014"/>
    <w:rsid w:val="00664C79"/>
    <w:rsid w:val="00667811"/>
    <w:rsid w:val="00667E61"/>
    <w:rsid w:val="006756E9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A6589"/>
    <w:rsid w:val="006B1F02"/>
    <w:rsid w:val="006B28FA"/>
    <w:rsid w:val="006B4FFA"/>
    <w:rsid w:val="006D541E"/>
    <w:rsid w:val="006D7E05"/>
    <w:rsid w:val="006E10E6"/>
    <w:rsid w:val="006E62C0"/>
    <w:rsid w:val="006F17AF"/>
    <w:rsid w:val="006F39E1"/>
    <w:rsid w:val="006F5C2D"/>
    <w:rsid w:val="007017BD"/>
    <w:rsid w:val="007123F9"/>
    <w:rsid w:val="007215EE"/>
    <w:rsid w:val="00731C3C"/>
    <w:rsid w:val="00735FC1"/>
    <w:rsid w:val="007438A2"/>
    <w:rsid w:val="007476BD"/>
    <w:rsid w:val="00757242"/>
    <w:rsid w:val="00763109"/>
    <w:rsid w:val="007764F7"/>
    <w:rsid w:val="00776EAD"/>
    <w:rsid w:val="007A169D"/>
    <w:rsid w:val="007A383F"/>
    <w:rsid w:val="007C395A"/>
    <w:rsid w:val="007D14CF"/>
    <w:rsid w:val="007D42F5"/>
    <w:rsid w:val="007D4728"/>
    <w:rsid w:val="007D51E8"/>
    <w:rsid w:val="007D6C6E"/>
    <w:rsid w:val="007E18B9"/>
    <w:rsid w:val="007F024C"/>
    <w:rsid w:val="00813281"/>
    <w:rsid w:val="00816A27"/>
    <w:rsid w:val="00817CC7"/>
    <w:rsid w:val="0083239B"/>
    <w:rsid w:val="0083357E"/>
    <w:rsid w:val="0084371C"/>
    <w:rsid w:val="00851188"/>
    <w:rsid w:val="008560E0"/>
    <w:rsid w:val="0086371B"/>
    <w:rsid w:val="00864787"/>
    <w:rsid w:val="00867326"/>
    <w:rsid w:val="00872325"/>
    <w:rsid w:val="0088022E"/>
    <w:rsid w:val="00881E04"/>
    <w:rsid w:val="0088348C"/>
    <w:rsid w:val="008859AF"/>
    <w:rsid w:val="00887078"/>
    <w:rsid w:val="00890AD2"/>
    <w:rsid w:val="008A37FF"/>
    <w:rsid w:val="008B2030"/>
    <w:rsid w:val="008C0203"/>
    <w:rsid w:val="008C23C1"/>
    <w:rsid w:val="008D00B5"/>
    <w:rsid w:val="008D71BD"/>
    <w:rsid w:val="008E7769"/>
    <w:rsid w:val="008F2523"/>
    <w:rsid w:val="0090334B"/>
    <w:rsid w:val="00904C5E"/>
    <w:rsid w:val="00904CC4"/>
    <w:rsid w:val="009059EB"/>
    <w:rsid w:val="00907BA0"/>
    <w:rsid w:val="00910FA1"/>
    <w:rsid w:val="0091482D"/>
    <w:rsid w:val="0092027A"/>
    <w:rsid w:val="00940A6E"/>
    <w:rsid w:val="0094510C"/>
    <w:rsid w:val="009469D2"/>
    <w:rsid w:val="0095359D"/>
    <w:rsid w:val="00963A9F"/>
    <w:rsid w:val="00965920"/>
    <w:rsid w:val="0096791B"/>
    <w:rsid w:val="009708FC"/>
    <w:rsid w:val="00995270"/>
    <w:rsid w:val="009A3B59"/>
    <w:rsid w:val="009A429C"/>
    <w:rsid w:val="009A7B43"/>
    <w:rsid w:val="009B0520"/>
    <w:rsid w:val="009B0D27"/>
    <w:rsid w:val="009C048D"/>
    <w:rsid w:val="009D0C38"/>
    <w:rsid w:val="009D1E0C"/>
    <w:rsid w:val="009D3691"/>
    <w:rsid w:val="009D634A"/>
    <w:rsid w:val="009D6A0F"/>
    <w:rsid w:val="009D6E39"/>
    <w:rsid w:val="009F66F6"/>
    <w:rsid w:val="00A217D2"/>
    <w:rsid w:val="00A322ED"/>
    <w:rsid w:val="00A37C3F"/>
    <w:rsid w:val="00A57C38"/>
    <w:rsid w:val="00A60A45"/>
    <w:rsid w:val="00A64FEC"/>
    <w:rsid w:val="00A65C83"/>
    <w:rsid w:val="00A6619E"/>
    <w:rsid w:val="00A6736F"/>
    <w:rsid w:val="00A87D2A"/>
    <w:rsid w:val="00A9199D"/>
    <w:rsid w:val="00A91DFF"/>
    <w:rsid w:val="00A93225"/>
    <w:rsid w:val="00A9787A"/>
    <w:rsid w:val="00AA215B"/>
    <w:rsid w:val="00AB114A"/>
    <w:rsid w:val="00AB4152"/>
    <w:rsid w:val="00AB6F8B"/>
    <w:rsid w:val="00AC0B55"/>
    <w:rsid w:val="00AC23D0"/>
    <w:rsid w:val="00AD08E8"/>
    <w:rsid w:val="00AF292C"/>
    <w:rsid w:val="00B014E1"/>
    <w:rsid w:val="00B04A9A"/>
    <w:rsid w:val="00B065CA"/>
    <w:rsid w:val="00B10168"/>
    <w:rsid w:val="00B17434"/>
    <w:rsid w:val="00B23180"/>
    <w:rsid w:val="00B2753A"/>
    <w:rsid w:val="00B36CF5"/>
    <w:rsid w:val="00B41C7C"/>
    <w:rsid w:val="00B43459"/>
    <w:rsid w:val="00B44580"/>
    <w:rsid w:val="00B50819"/>
    <w:rsid w:val="00B53FC5"/>
    <w:rsid w:val="00B72B6D"/>
    <w:rsid w:val="00B80F2E"/>
    <w:rsid w:val="00B85811"/>
    <w:rsid w:val="00B86199"/>
    <w:rsid w:val="00B92008"/>
    <w:rsid w:val="00B925D6"/>
    <w:rsid w:val="00B950E9"/>
    <w:rsid w:val="00BA1DE0"/>
    <w:rsid w:val="00BA4E6F"/>
    <w:rsid w:val="00BB082E"/>
    <w:rsid w:val="00BB2E96"/>
    <w:rsid w:val="00BB3425"/>
    <w:rsid w:val="00BB3923"/>
    <w:rsid w:val="00BD16E6"/>
    <w:rsid w:val="00BD4C4D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6783"/>
    <w:rsid w:val="00C4310C"/>
    <w:rsid w:val="00C5342C"/>
    <w:rsid w:val="00C538DA"/>
    <w:rsid w:val="00C57E78"/>
    <w:rsid w:val="00C65535"/>
    <w:rsid w:val="00C726F4"/>
    <w:rsid w:val="00C75097"/>
    <w:rsid w:val="00C86172"/>
    <w:rsid w:val="00C90004"/>
    <w:rsid w:val="00CA44EB"/>
    <w:rsid w:val="00CC4A10"/>
    <w:rsid w:val="00CD6EF2"/>
    <w:rsid w:val="00CE7411"/>
    <w:rsid w:val="00D036D7"/>
    <w:rsid w:val="00D07ABF"/>
    <w:rsid w:val="00D42BBC"/>
    <w:rsid w:val="00D52727"/>
    <w:rsid w:val="00D53CE0"/>
    <w:rsid w:val="00D55F4E"/>
    <w:rsid w:val="00D57B03"/>
    <w:rsid w:val="00D65514"/>
    <w:rsid w:val="00D66A93"/>
    <w:rsid w:val="00D7583D"/>
    <w:rsid w:val="00D82D5D"/>
    <w:rsid w:val="00D832F3"/>
    <w:rsid w:val="00D854ED"/>
    <w:rsid w:val="00D879F2"/>
    <w:rsid w:val="00D94A2B"/>
    <w:rsid w:val="00D97379"/>
    <w:rsid w:val="00DA2889"/>
    <w:rsid w:val="00DA4419"/>
    <w:rsid w:val="00DA62B8"/>
    <w:rsid w:val="00DB2BCE"/>
    <w:rsid w:val="00DB2E86"/>
    <w:rsid w:val="00DC1F8B"/>
    <w:rsid w:val="00DC459E"/>
    <w:rsid w:val="00DD004E"/>
    <w:rsid w:val="00DD11F8"/>
    <w:rsid w:val="00DD3A18"/>
    <w:rsid w:val="00DD4831"/>
    <w:rsid w:val="00DE281C"/>
    <w:rsid w:val="00DE58B3"/>
    <w:rsid w:val="00DF069B"/>
    <w:rsid w:val="00DF6DAE"/>
    <w:rsid w:val="00E11AFC"/>
    <w:rsid w:val="00E247E4"/>
    <w:rsid w:val="00E25D5A"/>
    <w:rsid w:val="00E4018D"/>
    <w:rsid w:val="00E45DA9"/>
    <w:rsid w:val="00E517A2"/>
    <w:rsid w:val="00E5222D"/>
    <w:rsid w:val="00E522CB"/>
    <w:rsid w:val="00E527EB"/>
    <w:rsid w:val="00E54168"/>
    <w:rsid w:val="00E63205"/>
    <w:rsid w:val="00E643A2"/>
    <w:rsid w:val="00E6663F"/>
    <w:rsid w:val="00E742EE"/>
    <w:rsid w:val="00E74C29"/>
    <w:rsid w:val="00E85F58"/>
    <w:rsid w:val="00E90542"/>
    <w:rsid w:val="00E92686"/>
    <w:rsid w:val="00E92F2D"/>
    <w:rsid w:val="00E94D59"/>
    <w:rsid w:val="00EA1BC4"/>
    <w:rsid w:val="00EA7010"/>
    <w:rsid w:val="00EA7C25"/>
    <w:rsid w:val="00EC055A"/>
    <w:rsid w:val="00ED16CC"/>
    <w:rsid w:val="00EE4510"/>
    <w:rsid w:val="00EF5F40"/>
    <w:rsid w:val="00F03907"/>
    <w:rsid w:val="00F16402"/>
    <w:rsid w:val="00F16B62"/>
    <w:rsid w:val="00F16D2E"/>
    <w:rsid w:val="00F1722F"/>
    <w:rsid w:val="00F21DDC"/>
    <w:rsid w:val="00F2223A"/>
    <w:rsid w:val="00F249F5"/>
    <w:rsid w:val="00F3022D"/>
    <w:rsid w:val="00F364D9"/>
    <w:rsid w:val="00F44124"/>
    <w:rsid w:val="00F47739"/>
    <w:rsid w:val="00F511A3"/>
    <w:rsid w:val="00F610C5"/>
    <w:rsid w:val="00F61BD7"/>
    <w:rsid w:val="00F830EC"/>
    <w:rsid w:val="00F861EA"/>
    <w:rsid w:val="00F86B74"/>
    <w:rsid w:val="00F905B8"/>
    <w:rsid w:val="00F92F9E"/>
    <w:rsid w:val="00F9591F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7F6C645"/>
  <w15:docId w15:val="{D01C1359-8F47-4801-9ED6-8A8DF28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9451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C0CF-C4A5-4845-91B3-DBE0A5B1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12</cp:revision>
  <cp:lastPrinted>2022-05-18T21:38:00Z</cp:lastPrinted>
  <dcterms:created xsi:type="dcterms:W3CDTF">2022-05-18T22:32:00Z</dcterms:created>
  <dcterms:modified xsi:type="dcterms:W3CDTF">2023-03-21T21:17:00Z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bdd9b40c-452e-45a3-8f60-ec7bef7aff29</vt:lpwstr>
  </property>
</Properties>
</file>