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A1" w:rsidRPr="001B3BA1" w:rsidRDefault="000211DE" w:rsidP="001B3BA1">
      <w:pPr>
        <w:tabs>
          <w:tab w:val="left" w:pos="960"/>
        </w:tabs>
        <w:rPr>
          <w:rFonts w:ascii="Museo Sans 300" w:hAnsi="Museo Sans 300"/>
          <w:b/>
          <w:i w:val="0"/>
        </w:rPr>
      </w:pPr>
      <w:r>
        <w:rPr>
          <w:rFonts w:ascii="Museo Sans 300" w:hAnsi="Museo Sans 300"/>
          <w:b/>
          <w:i w:val="0"/>
          <w:noProof/>
          <w:lang w:eastAsia="es-SV"/>
        </w:rPr>
        <w:pict>
          <v:roundrect id="_x0000_s1026" style="position:absolute;margin-left:-19.95pt;margin-top:10.45pt;width:493.55pt;height:79.95pt;z-index:251658240" arcsize="10923f">
            <v:textbox style="mso-next-textbox:#_x0000_s1026">
              <w:txbxContent>
                <w:p w:rsidR="001B3BA1" w:rsidRDefault="001B3BA1" w:rsidP="001B3BA1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BCF-00</w:t>
                  </w: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3</w:t>
                  </w:r>
                  <w:r w:rsidR="00B33B63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</w:t>
                  </w: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Autorización </w:t>
                  </w:r>
                  <w:r w:rsidR="00B33B63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de prórroga para</w:t>
                  </w: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inicio de operaciones</w:t>
                  </w:r>
                </w:p>
                <w:p w:rsidR="009F6C88" w:rsidRPr="009727A0" w:rsidRDefault="009F6C88" w:rsidP="001B3BA1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1B3BA1" w:rsidRDefault="001B3BA1" w:rsidP="001B3BA1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9F6C88" w:rsidRPr="009727A0" w:rsidRDefault="009F6C88" w:rsidP="001B3BA1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1B3BA1" w:rsidRPr="009727A0" w:rsidRDefault="001B3BA1" w:rsidP="001B3BA1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F</w:t>
                  </w:r>
                  <w:r w:rsidR="00187310">
                    <w:rPr>
                      <w:rFonts w:ascii="Museo Sans 300" w:hAnsi="Museo Sans 300"/>
                      <w:i w:val="0"/>
                    </w:rPr>
                    <w:t>echa de última actualización: 13/07</w:t>
                  </w:r>
                  <w:r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1B3BA1" w:rsidRPr="001B3BA1" w:rsidRDefault="001B3BA1" w:rsidP="001B3BA1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1B3BA1" w:rsidRPr="001B3BA1" w:rsidRDefault="001B3BA1" w:rsidP="001B3BA1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1B3BA1" w:rsidRPr="001B3BA1" w:rsidRDefault="001B3BA1" w:rsidP="001B3BA1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1B3BA1" w:rsidRPr="001B3BA1" w:rsidRDefault="001B3BA1" w:rsidP="001B3BA1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9F6C88" w:rsidRDefault="009F6C88" w:rsidP="00D70E24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1B3BA1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0211DE" w:rsidRDefault="000211DE" w:rsidP="00D70E24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1B3BA1">
        <w:rPr>
          <w:rFonts w:ascii="Museo Sans 300" w:hAnsi="Museo Sans 300"/>
          <w:i w:val="0"/>
        </w:rPr>
        <w:t>Bancos</w:t>
      </w:r>
    </w:p>
    <w:p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1B3BA1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:rsidR="00D70E24" w:rsidRPr="001B3BA1" w:rsidRDefault="00D70E24" w:rsidP="00D70E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Ley de Bancos.</w:t>
      </w:r>
    </w:p>
    <w:p w:rsidR="00D70E24" w:rsidRPr="001B3BA1" w:rsidRDefault="00D70E24" w:rsidP="00D70E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Reglamento para Constituir y Operar Nuevos Bancos y Financieras en El Salvador (NPB1-04).</w:t>
      </w:r>
    </w:p>
    <w:p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D70E24" w:rsidRPr="001B3BA1" w:rsidRDefault="00D70E24" w:rsidP="00D70E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  <w:r w:rsidRPr="001B3BA1">
        <w:rPr>
          <w:rFonts w:ascii="Museo Sans 300" w:hAnsi="Museo Sans 300"/>
          <w:b/>
          <w:szCs w:val="20"/>
          <w:lang w:val="es-SV"/>
        </w:rPr>
        <w:t>Bancos:</w:t>
      </w:r>
    </w:p>
    <w:p w:rsidR="00D70E24" w:rsidRPr="001B3BA1" w:rsidRDefault="00D70E24" w:rsidP="00D70E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La certificación extendida por la Superintendencia para iniciar operaciones tiene validez para un período de un año, el cual podrá ser prorrogad</w:t>
      </w:r>
      <w:r w:rsidR="001B3BA1">
        <w:rPr>
          <w:rFonts w:ascii="Museo Sans 300" w:hAnsi="Museo Sans 300"/>
          <w:szCs w:val="20"/>
          <w:lang w:val="es-SV"/>
        </w:rPr>
        <w:t>a</w:t>
      </w:r>
      <w:r w:rsidRPr="001B3BA1">
        <w:rPr>
          <w:rFonts w:ascii="Museo Sans 300" w:hAnsi="Museo Sans 300"/>
          <w:szCs w:val="20"/>
          <w:lang w:val="es-SV"/>
        </w:rPr>
        <w:t xml:space="preserve"> hasta por 180 días. Para tales efectos deberá presentar a la Superintendencia del Sistema Financiero dicha prórroga con al menos 30 días de anticipación al vencimiento original.</w:t>
      </w:r>
    </w:p>
    <w:p w:rsidR="00D70E24" w:rsidRPr="001B3BA1" w:rsidRDefault="00D70E24" w:rsidP="00D70E24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D70E24" w:rsidRPr="001B3BA1" w:rsidRDefault="00D70E24" w:rsidP="00D70E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1B3BA1">
        <w:rPr>
          <w:rFonts w:ascii="Museo Sans 300" w:hAnsi="Museo Sans 300"/>
          <w:b/>
          <w:szCs w:val="20"/>
          <w:u w:val="single"/>
          <w:lang w:val="es-SV"/>
        </w:rPr>
        <w:t>Requisitos a presentar:</w:t>
      </w:r>
    </w:p>
    <w:p w:rsidR="00D70E24" w:rsidRPr="001B3BA1" w:rsidRDefault="00D70E24" w:rsidP="00D70E2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u w:val="single"/>
          <w:lang w:val="es-SV"/>
        </w:rPr>
      </w:pPr>
    </w:p>
    <w:p w:rsidR="00D70E24" w:rsidRPr="001B3BA1" w:rsidRDefault="00D70E24" w:rsidP="00F2555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Solicitud de autorización dirigida al Superintendente del Sistema Financiero, suscrita por el Presidente de la ent</w:t>
      </w:r>
      <w:r w:rsidR="00F64087">
        <w:rPr>
          <w:rFonts w:ascii="Museo Sans 300" w:hAnsi="Museo Sans 300"/>
          <w:szCs w:val="20"/>
          <w:lang w:val="es-SV"/>
        </w:rPr>
        <w:t xml:space="preserve">idad que deberá ser presentada </w:t>
      </w:r>
      <w:r w:rsidRPr="001B3BA1">
        <w:rPr>
          <w:rFonts w:ascii="Museo Sans 300" w:hAnsi="Museo Sans 300"/>
          <w:szCs w:val="20"/>
          <w:lang w:val="es-SV"/>
        </w:rPr>
        <w:t>por lo menos con 30 días de anticipación al vencimiento original;</w:t>
      </w:r>
    </w:p>
    <w:p w:rsidR="00D70E24" w:rsidRPr="001B3BA1" w:rsidRDefault="00D70E24" w:rsidP="00D70E24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szCs w:val="20"/>
          <w:lang w:val="es-SV"/>
        </w:rPr>
      </w:pPr>
    </w:p>
    <w:p w:rsidR="00D70E24" w:rsidRPr="001B3BA1" w:rsidRDefault="00F64087" w:rsidP="00F2555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>
        <w:rPr>
          <w:rFonts w:ascii="Museo Sans 300" w:hAnsi="Museo Sans 300"/>
          <w:szCs w:val="20"/>
          <w:lang w:val="es-SV"/>
        </w:rPr>
        <w:t xml:space="preserve">Deberá detallarse </w:t>
      </w:r>
      <w:r w:rsidR="00D70E24" w:rsidRPr="001B3BA1">
        <w:rPr>
          <w:rFonts w:ascii="Museo Sans 300" w:hAnsi="Museo Sans 300"/>
          <w:szCs w:val="20"/>
          <w:lang w:val="es-SV"/>
        </w:rPr>
        <w:t>las justificaciones correspondientes debidamente documentado; y</w:t>
      </w:r>
    </w:p>
    <w:p w:rsidR="00D70E24" w:rsidRPr="001B3BA1" w:rsidRDefault="00D70E24" w:rsidP="00D70E24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szCs w:val="20"/>
          <w:lang w:val="es-SV"/>
        </w:rPr>
      </w:pPr>
    </w:p>
    <w:p w:rsidR="00D70E24" w:rsidRPr="001B3BA1" w:rsidRDefault="00D70E24" w:rsidP="00F2555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Cronograma proyectado de las actividades a realizar hasta llegar a la nueva fecha de inicio de operaciones estimada por el banco.</w:t>
      </w:r>
    </w:p>
    <w:p w:rsidR="00D70E24" w:rsidRPr="001B3BA1" w:rsidRDefault="00D70E24" w:rsidP="00D70E24">
      <w:pPr>
        <w:tabs>
          <w:tab w:val="left" w:pos="960"/>
        </w:tabs>
        <w:rPr>
          <w:rFonts w:ascii="Museo Sans 300" w:hAnsi="Museo Sans 300"/>
          <w:i w:val="0"/>
        </w:rPr>
      </w:pPr>
    </w:p>
    <w:p w:rsidR="0084253C" w:rsidRPr="001B3BA1" w:rsidRDefault="0084253C" w:rsidP="003D2C1B">
      <w:pPr>
        <w:rPr>
          <w:rFonts w:ascii="Museo Sans 300" w:hAnsi="Museo Sans 300"/>
          <w:i w:val="0"/>
        </w:rPr>
      </w:pPr>
      <w:bookmarkStart w:id="0" w:name="_GoBack"/>
      <w:bookmarkEnd w:id="0"/>
    </w:p>
    <w:sectPr w:rsidR="0084253C" w:rsidRPr="001B3BA1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CE" w:rsidRDefault="00851CCE" w:rsidP="005E5D6F">
      <w:pPr>
        <w:spacing w:after="0" w:line="240" w:lineRule="auto"/>
      </w:pPr>
      <w:r>
        <w:separator/>
      </w:r>
    </w:p>
  </w:endnote>
  <w:endnote w:type="continuationSeparator" w:id="0">
    <w:p w:rsidR="00851CCE" w:rsidRDefault="00851CCE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536E60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536E60" w:rsidRPr="000F5232">
      <w:rPr>
        <w:rFonts w:ascii="Calibri" w:hAnsi="Calibri"/>
        <w:i w:val="0"/>
      </w:rPr>
      <w:fldChar w:fldCharType="separate"/>
    </w:r>
    <w:r w:rsidR="000211DE">
      <w:rPr>
        <w:rFonts w:ascii="Calibri" w:hAnsi="Calibri"/>
        <w:noProof/>
      </w:rPr>
      <w:t>1</w:t>
    </w:r>
    <w:r w:rsidR="00536E60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536E60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536E60" w:rsidRPr="000F5232">
      <w:rPr>
        <w:rFonts w:ascii="Calibri" w:hAnsi="Calibri"/>
        <w:i w:val="0"/>
      </w:rPr>
      <w:fldChar w:fldCharType="separate"/>
    </w:r>
    <w:r w:rsidR="000211DE">
      <w:rPr>
        <w:rFonts w:ascii="Calibri" w:hAnsi="Calibri"/>
        <w:noProof/>
      </w:rPr>
      <w:t>1</w:t>
    </w:r>
    <w:r w:rsidR="00536E60" w:rsidRPr="000F5232">
      <w:rPr>
        <w:rFonts w:ascii="Calibri" w:hAnsi="Calibri"/>
        <w:i w:val="0"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CE" w:rsidRDefault="00851CCE" w:rsidP="005E5D6F">
      <w:pPr>
        <w:spacing w:after="0" w:line="240" w:lineRule="auto"/>
      </w:pPr>
      <w:r>
        <w:separator/>
      </w:r>
    </w:p>
  </w:footnote>
  <w:footnote w:type="continuationSeparator" w:id="0">
    <w:p w:rsidR="00851CCE" w:rsidRDefault="00851CCE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0211D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0211DE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0211D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74A58"/>
    <w:multiLevelType w:val="hybridMultilevel"/>
    <w:tmpl w:val="9DB0186A"/>
    <w:lvl w:ilvl="0" w:tplc="D9426A34">
      <w:start w:val="1"/>
      <w:numFmt w:val="decimal"/>
      <w:lvlText w:val="%1."/>
      <w:lvlJc w:val="left"/>
      <w:pPr>
        <w:ind w:left="1080" w:hanging="360"/>
      </w:pPr>
      <w:rPr>
        <w:rFonts w:ascii="Museo Sans 300" w:eastAsiaTheme="minorHAnsi" w:hAnsi="Museo Sans 300" w:cstheme="minorBidi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1DE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5A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310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3BA1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185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D06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6E60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0DB9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1CCE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1B65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C88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1B7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63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0E24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55A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087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29D49D45"/>
  <w15:docId w15:val="{D18F0072-2CA4-423D-B956-88A3732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70E24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70E24"/>
    <w:rPr>
      <w:rFonts w:cstheme="minorBidi"/>
      <w:i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4A4928-6C69-4860-A00F-2C2D5D1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10</cp:revision>
  <cp:lastPrinted>2019-09-13T15:27:00Z</cp:lastPrinted>
  <dcterms:created xsi:type="dcterms:W3CDTF">2020-04-28T16:23:00Z</dcterms:created>
  <dcterms:modified xsi:type="dcterms:W3CDTF">2020-07-13T21:20:00Z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