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9" w:rsidRPr="007A3BB0" w:rsidRDefault="009740DB" w:rsidP="00AB3909">
      <w:pPr>
        <w:tabs>
          <w:tab w:val="left" w:pos="960"/>
        </w:tabs>
        <w:rPr>
          <w:rFonts w:ascii="Museo Sans 300" w:hAnsi="Museo Sans 300"/>
          <w:b/>
          <w:i w:val="0"/>
        </w:rPr>
      </w:pPr>
      <w:r>
        <w:rPr>
          <w:rFonts w:ascii="Museo Sans 300" w:hAnsi="Museo Sans 300"/>
          <w:b/>
          <w:i w:val="0"/>
          <w:noProof/>
          <w:lang w:eastAsia="es-SV"/>
        </w:rPr>
        <w:pict>
          <v:roundrect id="_x0000_s1026" style="position:absolute;margin-left:-19.95pt;margin-top:5.45pt;width:493.55pt;height:96.2pt;z-index:251658240" arcsize="10923f">
            <v:textbox style="mso-next-textbox:#_x0000_s1026">
              <w:txbxContent>
                <w:p w:rsidR="006229A7" w:rsidRDefault="006229A7" w:rsidP="00472510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BCF-0</w:t>
                  </w:r>
                  <w:r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17 </w:t>
                  </w:r>
                  <w:r w:rsidRPr="00CF2619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AUTORIZACION </w:t>
                  </w:r>
                  <w:r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DE NUEVOS PRODUCTOS Y </w:t>
                  </w:r>
                </w:p>
                <w:p w:rsidR="006229A7" w:rsidRDefault="006229A7" w:rsidP="00472510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SISTEMAS INFORMATICOS ASOCIADOS</w:t>
                  </w:r>
                </w:p>
                <w:p w:rsidR="006229A7" w:rsidRPr="009727A0" w:rsidRDefault="006229A7" w:rsidP="00472510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</w:p>
                <w:p w:rsidR="006229A7" w:rsidRDefault="006229A7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Intendencia de Bancos y Conglomerados</w:t>
                  </w:r>
                </w:p>
                <w:p w:rsidR="006229A7" w:rsidRPr="009727A0" w:rsidRDefault="006229A7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</w:p>
                <w:p w:rsidR="006229A7" w:rsidRPr="009727A0" w:rsidRDefault="006229A7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 w:val="0"/>
                    </w:rPr>
                  </w:pPr>
                  <w:r>
                    <w:rPr>
                      <w:rFonts w:ascii="Museo Sans 300" w:hAnsi="Museo Sans 300"/>
                      <w:i w:val="0"/>
                    </w:rPr>
                    <w:t>Fecha de última actualización: 13/07</w:t>
                  </w:r>
                  <w:r w:rsidRPr="009727A0">
                    <w:rPr>
                      <w:rFonts w:ascii="Museo Sans 300" w:hAnsi="Museo Sans 300"/>
                      <w:i w:val="0"/>
                    </w:rPr>
                    <w:t>/2020</w:t>
                  </w:r>
                </w:p>
              </w:txbxContent>
            </v:textbox>
          </v:roundrect>
        </w:pict>
      </w: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7A3BB0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CF2619" w:rsidRPr="007A3BB0" w:rsidRDefault="00CF261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7A3BB0" w:rsidRPr="007A3BB0" w:rsidRDefault="007A3BB0" w:rsidP="0047251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DD74CD" w:rsidRDefault="00DD74CD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DD74CD" w:rsidRDefault="00DD74CD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DD74CD" w:rsidRDefault="00DD74CD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7A3BB0">
        <w:rPr>
          <w:rFonts w:ascii="Museo Sans 300" w:hAnsi="Museo Sans 300"/>
          <w:b/>
          <w:i w:val="0"/>
        </w:rPr>
        <w:t xml:space="preserve">Sujetos a que aplica el trámite específico: </w:t>
      </w:r>
    </w:p>
    <w:p w:rsidR="009740DB" w:rsidRDefault="009740DB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  <w:r w:rsidRPr="007A3BB0">
        <w:rPr>
          <w:rFonts w:ascii="Museo Sans 300" w:hAnsi="Museo Sans 300"/>
          <w:i w:val="0"/>
        </w:rPr>
        <w:t>Bancos</w:t>
      </w:r>
    </w:p>
    <w:p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  <w:r w:rsidRPr="007A3BB0">
        <w:rPr>
          <w:rFonts w:ascii="Museo Sans 300" w:hAnsi="Museo Sans 300"/>
          <w:b/>
          <w:i w:val="0"/>
          <w:szCs w:val="20"/>
        </w:rPr>
        <w:t xml:space="preserve">Base Legal: </w:t>
      </w:r>
    </w:p>
    <w:p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Ley de Supervisión y Regulación del Sistema Financiero: Artículo</w:t>
      </w:r>
      <w:r w:rsidR="0033238A">
        <w:rPr>
          <w:rFonts w:ascii="Museo Sans 300" w:hAnsi="Museo Sans 300"/>
          <w:szCs w:val="20"/>
          <w:lang w:val="es-SV"/>
        </w:rPr>
        <w:t>s</w:t>
      </w:r>
      <w:r w:rsidRPr="007A3BB0">
        <w:rPr>
          <w:rFonts w:ascii="Museo Sans 300" w:hAnsi="Museo Sans 300"/>
          <w:szCs w:val="20"/>
          <w:lang w:val="es-SV"/>
        </w:rPr>
        <w:t xml:space="preserve"> 32</w:t>
      </w:r>
      <w:r w:rsidR="0033238A">
        <w:rPr>
          <w:rFonts w:ascii="Museo Sans 300" w:hAnsi="Museo Sans 300"/>
          <w:szCs w:val="20"/>
          <w:lang w:val="es-SV"/>
        </w:rPr>
        <w:t xml:space="preserve"> y 56</w:t>
      </w:r>
      <w:r w:rsidRPr="007A3BB0">
        <w:rPr>
          <w:rFonts w:ascii="Museo Sans 300" w:hAnsi="Museo Sans 300"/>
          <w:szCs w:val="20"/>
          <w:lang w:val="es-SV"/>
        </w:rPr>
        <w:t>.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Ley de Protección al Consumidor: Artículo 22.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L</w:t>
      </w:r>
      <w:r w:rsidR="009740DB">
        <w:rPr>
          <w:rFonts w:ascii="Museo Sans 300" w:hAnsi="Museo Sans 300"/>
          <w:szCs w:val="20"/>
          <w:lang w:val="es-SV"/>
        </w:rPr>
        <w:t>ey Contra el Lavado de Dinero y</w:t>
      </w:r>
      <w:bookmarkStart w:id="0" w:name="_GoBack"/>
      <w:bookmarkEnd w:id="0"/>
      <w:r w:rsidRPr="007A3BB0">
        <w:rPr>
          <w:rFonts w:ascii="Museo Sans 300" w:hAnsi="Museo Sans 300"/>
          <w:szCs w:val="20"/>
          <w:lang w:val="es-SV"/>
        </w:rPr>
        <w:t xml:space="preserve"> de Activos y su Reglamento.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Instructivo de la Unidad Investigación Financiera para la Prevención del Lavado de Dinero y de Activos (UIF).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Ley del Sistema de Tarjetas de Crédito.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Reglamento de la Ley de protección al Consumidor: Artículo 12.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Normas para la Gestión del Riesgo Operacional de las Entidades Financieras (NPB4-50)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Reglamento del Sistema Liquidación Bruta en Tiempo Real (LBTR) del Banco Central de Reserva de El Salvador. (Emitido por el BCR).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Normas Para la Estandarización del Cheque y Uso de Caracteres Magnéticos en El Sistema Bancario Salvadoreño. (Emitida por el BCR).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Instructivo para Operar la Compensación Electrónica de Cheques. (Emitido por el BCR).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Instrucciones para liquidación bruta tiempo real. Emitido por el BCR.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Normas Para el Sistema de Tarjetas de Crédito (NTC-01).</w:t>
      </w:r>
    </w:p>
    <w:p w:rsidR="007A3BB0" w:rsidRPr="007A3BB0" w:rsidRDefault="007A3BB0" w:rsidP="007A3BB0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7A3BB0">
        <w:rPr>
          <w:rFonts w:ascii="Museo Sans 300" w:hAnsi="Museo Sans 300"/>
          <w:szCs w:val="20"/>
          <w:lang w:val="es-SV"/>
        </w:rPr>
        <w:t>Normas para la Seguridad Física de los Cajeros Automáticos (NPB4-45).</w:t>
      </w:r>
    </w:p>
    <w:p w:rsidR="007A3BB0" w:rsidRPr="0033238A" w:rsidRDefault="0033238A" w:rsidP="0033238A">
      <w:pPr>
        <w:pStyle w:val="Prrafodelista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33238A">
        <w:rPr>
          <w:rFonts w:ascii="Museo Sans 300" w:hAnsi="Museo Sans 300"/>
          <w:szCs w:val="20"/>
          <w:lang w:val="es-SV"/>
        </w:rPr>
        <w:t>Normas Técnicas para la Transparencia y Divulgación de la Información de los Servicios Financieros Bancarios (NCM-02)</w:t>
      </w:r>
    </w:p>
    <w:p w:rsidR="007A3BB0" w:rsidRPr="007A3BB0" w:rsidRDefault="007A3BB0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</w:p>
    <w:p w:rsidR="007A3BB0" w:rsidRPr="007A3BB0" w:rsidRDefault="007A3BB0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  <w:r w:rsidRPr="007A3BB0">
        <w:rPr>
          <w:rFonts w:ascii="Museo Sans 300" w:hAnsi="Museo Sans 300"/>
          <w:b/>
          <w:szCs w:val="20"/>
          <w:u w:val="single"/>
          <w:lang w:val="es-SV"/>
        </w:rPr>
        <w:t>Requisitos a presentar:</w:t>
      </w:r>
    </w:p>
    <w:p w:rsidR="007A3BB0" w:rsidRPr="007A3BB0" w:rsidRDefault="007A3BB0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</w:p>
    <w:p w:rsidR="007A3BB0" w:rsidRP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Solicitud de autorización expresa dirigida al Superintendente del Sistema Financiero, suscrita por el Presidente o el Representante Legal de la entidad;</w:t>
      </w:r>
    </w:p>
    <w:p w:rsidR="007A3BB0" w:rsidRPr="007A3BB0" w:rsidRDefault="007A3BB0" w:rsidP="007A3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7A3BB0" w:rsidRP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lastRenderedPageBreak/>
        <w:t>Descripción general del producto y de los principales procesos relacionados;</w:t>
      </w:r>
    </w:p>
    <w:p w:rsidR="007A3BB0" w:rsidRPr="007A3BB0" w:rsidRDefault="007A3BB0" w:rsidP="007A3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7A3BB0" w:rsidRP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Modelo de contratos del producto o servicio para su revisión y respectivo depósito;</w:t>
      </w:r>
    </w:p>
    <w:p w:rsidR="007A3BB0" w:rsidRPr="007A3BB0" w:rsidRDefault="007A3BB0" w:rsidP="007A3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7A3BB0" w:rsidRP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Contratos de tercerización de servicios relacionados con el producto según aplique;</w:t>
      </w:r>
    </w:p>
    <w:p w:rsidR="007A3BB0" w:rsidRPr="007A3BB0" w:rsidRDefault="007A3BB0" w:rsidP="007A3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7A3BB0" w:rsidRP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Contratos de emisión, coemisión y administración, según aplique;</w:t>
      </w:r>
    </w:p>
    <w:p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7A3BB0" w:rsidRP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 xml:space="preserve">Opinión de la Unidad de Riesgos del Banco, previo al lanzamiento de los nuevos productos y servicios, que incluya un análisis elaborado por las entidades sobre los riesgos implícitos de ese nuevo producto, así como la gestión del Riesgo de LA/FT de los mismos y los cambios </w:t>
      </w:r>
      <w:r w:rsidRPr="007A3BB0">
        <w:rPr>
          <w:rFonts w:ascii="Museo Sans 300" w:hAnsi="Museo Sans 300"/>
        </w:rPr>
        <w:t>importantes en el ambiente operacional o informático;</w:t>
      </w:r>
    </w:p>
    <w:p w:rsidR="007A3BB0" w:rsidRPr="007A3BB0" w:rsidRDefault="007A3BB0" w:rsidP="007A3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7A3BB0" w:rsidRP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Políticas internas elaboradas por la entidad sobre el producto o servicio;</w:t>
      </w:r>
    </w:p>
    <w:p w:rsidR="007A3BB0" w:rsidRPr="007A3BB0" w:rsidRDefault="007A3BB0" w:rsidP="007A3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7A3BB0" w:rsidRP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Manual del Sistema de Monitoreo y detalle de las alertas parametrizadas en ese Sistema;</w:t>
      </w:r>
    </w:p>
    <w:p w:rsidR="007A3BB0" w:rsidRPr="007A3BB0" w:rsidRDefault="007A3BB0" w:rsidP="007A3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7A3BB0" w:rsidRP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Manual de Funciones actualizado, en la parte relativa a los cargos que intervienen en la operatividad del producto o servicio;</w:t>
      </w:r>
    </w:p>
    <w:p w:rsidR="007A3BB0" w:rsidRPr="007A3BB0" w:rsidRDefault="007A3BB0" w:rsidP="007A3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7A3BB0" w:rsidRP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Procedimientos en materia de prevención de LA/FT del nuevo producto a autorizar;</w:t>
      </w:r>
    </w:p>
    <w:p w:rsidR="007A3BB0" w:rsidRPr="007A3BB0" w:rsidRDefault="007A3BB0" w:rsidP="007A3BB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Requerimientos informáticos:</w:t>
      </w:r>
    </w:p>
    <w:p w:rsidR="007A3BB0" w:rsidRPr="007A3BB0" w:rsidRDefault="007A3BB0" w:rsidP="007A3BB0">
      <w:pPr>
        <w:pStyle w:val="Prrafodelista"/>
        <w:rPr>
          <w:rFonts w:ascii="Museo Sans 300" w:hAnsi="Museo Sans 300"/>
          <w:lang w:val="es-SV"/>
        </w:rPr>
      </w:pPr>
    </w:p>
    <w:p w:rsidR="007A3BB0" w:rsidRDefault="007A3BB0" w:rsidP="007A3BB0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bookmarkStart w:id="1" w:name="OLE_LINK2"/>
      <w:r w:rsidRPr="007A3BB0">
        <w:rPr>
          <w:rFonts w:ascii="Museo Sans 300" w:hAnsi="Museo Sans 300"/>
          <w:lang w:val="es-SV"/>
        </w:rPr>
        <w:t>Manuales de usuario y técnicos de los módulos que soportarán el producto o servicio que se prestará;</w:t>
      </w:r>
    </w:p>
    <w:p w:rsidR="007A3BB0" w:rsidRDefault="007A3BB0" w:rsidP="007A3BB0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Listado de los usuarios que tendrán acceso, indicando el nivel jerárquico del usuario y el tipo de acceso que tendrán a cada una de las opciones;</w:t>
      </w:r>
    </w:p>
    <w:p w:rsidR="007A3BB0" w:rsidRDefault="007A3BB0" w:rsidP="007A3BB0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Inventario y características del equipo central y periféricos;</w:t>
      </w:r>
    </w:p>
    <w:p w:rsidR="007A3BB0" w:rsidRDefault="007A3BB0" w:rsidP="007A3BB0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Inventario y características detalladas de las aplicaciones utilizadas;</w:t>
      </w:r>
    </w:p>
    <w:p w:rsidR="007A3BB0" w:rsidRDefault="007A3BB0" w:rsidP="007A3BB0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Copia del contrato de desarrollo o mantenimiento del sistema o módulo, si estos han sido contratados a terceros;</w:t>
      </w:r>
    </w:p>
    <w:p w:rsidR="007A3BB0" w:rsidRDefault="007A3BB0" w:rsidP="007A3BB0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Documentación de las pruebas efectuadas, así como las actas o certificación de usuario y los informes de revisión por parte de auditoria interna;</w:t>
      </w:r>
    </w:p>
    <w:p w:rsidR="007A3BB0" w:rsidRDefault="007A3BB0" w:rsidP="007A3BB0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Ambiente de pruebas debidamente configurado;</w:t>
      </w:r>
    </w:p>
    <w:p w:rsidR="007A3BB0" w:rsidRDefault="007A3BB0" w:rsidP="007A3BB0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Diagrama de Comunicación;</w:t>
      </w:r>
    </w:p>
    <w:p w:rsidR="007A3BB0" w:rsidRDefault="007A3BB0" w:rsidP="007A3BB0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lastRenderedPageBreak/>
        <w:t>Sistemas informáticos utilizados para la administración y monitoreo de los cajeros automáticos, cuando aplique; y</w:t>
      </w:r>
    </w:p>
    <w:p w:rsidR="007A3BB0" w:rsidRDefault="007A3BB0" w:rsidP="007A3BB0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Informe que contenga las especificaciones mínimas de seguridad para cajeros automáticos siguientes (Anexo No. 1):</w:t>
      </w:r>
    </w:p>
    <w:p w:rsidR="007A3BB0" w:rsidRDefault="007A3BB0" w:rsidP="007A3BB0">
      <w:pPr>
        <w:pStyle w:val="Prrafodelista"/>
        <w:numPr>
          <w:ilvl w:val="2"/>
          <w:numId w:val="25"/>
        </w:numPr>
        <w:spacing w:after="0" w:line="240" w:lineRule="auto"/>
        <w:ind w:left="1418" w:hanging="284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Seguridad física;</w:t>
      </w:r>
    </w:p>
    <w:p w:rsidR="007A3BB0" w:rsidRDefault="007A3BB0" w:rsidP="007A3BB0">
      <w:pPr>
        <w:pStyle w:val="Prrafodelista"/>
        <w:numPr>
          <w:ilvl w:val="2"/>
          <w:numId w:val="25"/>
        </w:numPr>
        <w:spacing w:after="0" w:line="240" w:lineRule="auto"/>
        <w:ind w:left="1418" w:hanging="284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Seguridad electrónica;</w:t>
      </w:r>
    </w:p>
    <w:p w:rsidR="007A3BB0" w:rsidRDefault="007A3BB0" w:rsidP="007A3BB0">
      <w:pPr>
        <w:pStyle w:val="Prrafodelista"/>
        <w:numPr>
          <w:ilvl w:val="2"/>
          <w:numId w:val="25"/>
        </w:numPr>
        <w:spacing w:after="0" w:line="240" w:lineRule="auto"/>
        <w:ind w:left="1418" w:hanging="284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Características mínimas de los espacios físicos; y</w:t>
      </w:r>
    </w:p>
    <w:p w:rsidR="007A3BB0" w:rsidRDefault="007A3BB0" w:rsidP="007A3BB0">
      <w:pPr>
        <w:pStyle w:val="Prrafodelista"/>
        <w:numPr>
          <w:ilvl w:val="2"/>
          <w:numId w:val="25"/>
        </w:numPr>
        <w:spacing w:after="0" w:line="240" w:lineRule="auto"/>
        <w:ind w:left="1418" w:hanging="284"/>
        <w:jc w:val="both"/>
        <w:rPr>
          <w:rFonts w:ascii="Museo Sans 300" w:hAnsi="Museo Sans 300"/>
          <w:lang w:val="es-SV"/>
        </w:rPr>
      </w:pPr>
      <w:r w:rsidRPr="007A3BB0">
        <w:rPr>
          <w:rFonts w:ascii="Museo Sans 300" w:hAnsi="Museo Sans 300"/>
          <w:lang w:val="es-SV"/>
        </w:rPr>
        <w:t>Otras especificaciones.</w:t>
      </w:r>
    </w:p>
    <w:p w:rsidR="007A3BB0" w:rsidRDefault="007A3BB0" w:rsidP="007A3BB0">
      <w:pPr>
        <w:pStyle w:val="Prrafodelista"/>
        <w:spacing w:after="0" w:line="240" w:lineRule="auto"/>
        <w:ind w:left="1418"/>
        <w:jc w:val="both"/>
        <w:rPr>
          <w:rFonts w:ascii="Museo Sans 300" w:hAnsi="Museo Sans 300"/>
          <w:lang w:val="es-SV"/>
        </w:rPr>
      </w:pPr>
    </w:p>
    <w:p w:rsidR="007A3BB0" w:rsidRDefault="0077307F" w:rsidP="007A3BB0">
      <w:pPr>
        <w:pStyle w:val="Prrafodelista"/>
        <w:spacing w:after="0" w:line="240" w:lineRule="auto"/>
        <w:ind w:left="1418"/>
        <w:jc w:val="both"/>
        <w:rPr>
          <w:rFonts w:ascii="Museo Sans 300" w:hAnsi="Museo Sans 300"/>
          <w:b/>
          <w:sz w:val="20"/>
          <w:szCs w:val="20"/>
          <w:lang w:val="es-SV"/>
        </w:rPr>
      </w:pPr>
      <w:r w:rsidRPr="00ED1675">
        <w:rPr>
          <w:rFonts w:ascii="Museo Sans 300" w:hAnsi="Museo Sans 300"/>
          <w:b/>
          <w:sz w:val="20"/>
          <w:szCs w:val="20"/>
          <w:lang w:val="es-SV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2" o:title=""/>
          </v:shape>
          <o:OLEObject Type="Link" ProgID="Word.Document.12" ShapeID="_x0000_i1025" DrawAspect="Icon" r:id="rId13" UpdateMode="Always">
            <o:LinkType>EnhancedMetaFile</o:LinkType>
            <o:LockedField>false</o:LockedField>
            <o:FieldCodes>\f 0</o:FieldCodes>
          </o:OLEObject>
        </w:object>
      </w:r>
    </w:p>
    <w:p w:rsidR="0077307F" w:rsidRPr="007A3BB0" w:rsidRDefault="0077307F" w:rsidP="007A3BB0">
      <w:pPr>
        <w:pStyle w:val="Prrafodelista"/>
        <w:spacing w:after="0" w:line="240" w:lineRule="auto"/>
        <w:ind w:left="1418"/>
        <w:jc w:val="both"/>
        <w:rPr>
          <w:rFonts w:ascii="Museo Sans 300" w:hAnsi="Museo Sans 300"/>
          <w:b/>
          <w:color w:val="FF0000"/>
          <w:lang w:val="es-SV"/>
        </w:rPr>
      </w:pPr>
    </w:p>
    <w:p w:rsidR="007A3BB0" w:rsidRDefault="007A3BB0" w:rsidP="007A3BB0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</w:rPr>
      </w:pPr>
      <w:r w:rsidRPr="007A3BB0">
        <w:rPr>
          <w:rFonts w:ascii="Museo Sans 300" w:hAnsi="Museo Sans 300"/>
        </w:rPr>
        <w:t>Plan de Contingencia incorporado el nuevo producto que incluya:</w:t>
      </w:r>
    </w:p>
    <w:p w:rsidR="00280987" w:rsidRDefault="00280987" w:rsidP="00280987">
      <w:pPr>
        <w:pStyle w:val="Prrafodelista"/>
        <w:spacing w:after="0" w:line="240" w:lineRule="auto"/>
        <w:ind w:left="567"/>
        <w:jc w:val="both"/>
        <w:rPr>
          <w:rFonts w:ascii="Museo Sans 300" w:hAnsi="Museo Sans 300"/>
        </w:rPr>
      </w:pPr>
    </w:p>
    <w:p w:rsidR="007A3BB0" w:rsidRDefault="007A3BB0" w:rsidP="00280987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280987">
        <w:rPr>
          <w:rFonts w:ascii="Museo Sans 300" w:hAnsi="Museo Sans 300"/>
        </w:rPr>
        <w:t>Análisis de Impacto en el Negocio (BIA);</w:t>
      </w:r>
    </w:p>
    <w:p w:rsidR="007A3BB0" w:rsidRDefault="007A3BB0" w:rsidP="00280987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280987">
        <w:rPr>
          <w:rFonts w:ascii="Museo Sans 300" w:hAnsi="Museo Sans 300"/>
        </w:rPr>
        <w:t>Plan de continuidad del Negocio (BCP); y</w:t>
      </w:r>
    </w:p>
    <w:p w:rsidR="007A3BB0" w:rsidRPr="00280987" w:rsidRDefault="007A3BB0" w:rsidP="00280987">
      <w:pPr>
        <w:pStyle w:val="Prrafodelist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Museo Sans 300" w:hAnsi="Museo Sans 300"/>
        </w:rPr>
      </w:pPr>
      <w:r w:rsidRPr="00280987">
        <w:rPr>
          <w:rFonts w:ascii="Museo Sans 300" w:hAnsi="Museo Sans 300"/>
        </w:rPr>
        <w:t>Plan de recuperación ante Desastres (DRP).</w:t>
      </w:r>
    </w:p>
    <w:p w:rsidR="00982CE8" w:rsidRPr="007A3BB0" w:rsidRDefault="00982CE8" w:rsidP="00982CE8">
      <w:pPr>
        <w:pStyle w:val="Prrafodelista"/>
        <w:spacing w:after="0" w:line="240" w:lineRule="auto"/>
        <w:ind w:left="1347"/>
        <w:jc w:val="both"/>
        <w:rPr>
          <w:rFonts w:ascii="Museo Sans 300" w:hAnsi="Museo Sans 300"/>
        </w:rPr>
      </w:pPr>
    </w:p>
    <w:p w:rsidR="007A3BB0" w:rsidRPr="00982CE8" w:rsidRDefault="00982CE8" w:rsidP="00982CE8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982CE8">
        <w:rPr>
          <w:rFonts w:ascii="Museo Sans 300" w:hAnsi="Museo Sans 300"/>
        </w:rPr>
        <w:t>Controles de los procesos utilizados en las transacciones realizadas por medio de POS y ATM´s (Cajeros automáticos), cuando aplique;</w:t>
      </w:r>
    </w:p>
    <w:p w:rsidR="00982CE8" w:rsidRPr="007A3BB0" w:rsidRDefault="00982CE8" w:rsidP="00982CE8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7A3BB0" w:rsidRDefault="00982CE8" w:rsidP="00982CE8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982CE8">
        <w:rPr>
          <w:rFonts w:ascii="Museo Sans 300" w:hAnsi="Museo Sans 300"/>
          <w:lang w:val="es-SV"/>
        </w:rPr>
        <w:t>Informes de Auditoría Interna relativos a las pruebas de verificación de la funcionalidad y ambiente de producción de los sistemas relacionados con el producto o servicio, con la documentación de las pruebas realizadas;</w:t>
      </w:r>
    </w:p>
    <w:p w:rsidR="00982CE8" w:rsidRPr="00982CE8" w:rsidRDefault="00982CE8" w:rsidP="00982CE8">
      <w:pPr>
        <w:pStyle w:val="Prrafodelista"/>
        <w:rPr>
          <w:rFonts w:ascii="Museo Sans 300" w:hAnsi="Museo Sans 300"/>
          <w:lang w:val="es-SV"/>
        </w:rPr>
      </w:pPr>
    </w:p>
    <w:p w:rsidR="00982CE8" w:rsidRDefault="00982CE8" w:rsidP="00982CE8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982CE8">
        <w:rPr>
          <w:rFonts w:ascii="Museo Sans 300" w:hAnsi="Museo Sans 300"/>
          <w:lang w:val="es-SV"/>
        </w:rPr>
        <w:t>Cronograma de capacitaciones y material utilizado en el proceso de capacitación del personal, que incluya lo relacionado a la prevención de lavado de dinero y financiamiento al terrorismo del nuevo producto;</w:t>
      </w:r>
    </w:p>
    <w:p w:rsidR="00982CE8" w:rsidRPr="00982CE8" w:rsidRDefault="00982CE8" w:rsidP="00982CE8">
      <w:pPr>
        <w:pStyle w:val="Prrafodelista"/>
        <w:rPr>
          <w:rFonts w:ascii="Museo Sans 300" w:hAnsi="Museo Sans 300"/>
          <w:lang w:val="es-SV"/>
        </w:rPr>
      </w:pPr>
    </w:p>
    <w:p w:rsidR="00982CE8" w:rsidRDefault="00982CE8" w:rsidP="00982CE8">
      <w:pPr>
        <w:pStyle w:val="Prrafodelista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982CE8">
        <w:rPr>
          <w:rFonts w:ascii="Museo Sans 300" w:hAnsi="Museo Sans 300"/>
          <w:lang w:val="es-SV"/>
        </w:rPr>
        <w:t>Detalle de recargos y comisiones.</w:t>
      </w:r>
    </w:p>
    <w:bookmarkEnd w:id="1"/>
    <w:p w:rsidR="00982CE8" w:rsidRPr="00982CE8" w:rsidRDefault="00982CE8" w:rsidP="00982CE8">
      <w:pPr>
        <w:pStyle w:val="Prrafodelista"/>
        <w:rPr>
          <w:rFonts w:ascii="Museo Sans 300" w:hAnsi="Museo Sans 300"/>
          <w:lang w:val="es-SV"/>
        </w:rPr>
      </w:pPr>
    </w:p>
    <w:sectPr w:rsidR="00982CE8" w:rsidRPr="00982CE8" w:rsidSect="00D901E5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A7" w:rsidRDefault="006229A7" w:rsidP="005E5D6F">
      <w:pPr>
        <w:spacing w:after="0" w:line="240" w:lineRule="auto"/>
      </w:pPr>
      <w:r>
        <w:separator/>
      </w:r>
    </w:p>
  </w:endnote>
  <w:endnote w:type="continuationSeparator" w:id="0">
    <w:p w:rsidR="006229A7" w:rsidRDefault="006229A7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A7" w:rsidRPr="00F22C75" w:rsidRDefault="006229A7" w:rsidP="00D901E5">
    <w:pPr>
      <w:pStyle w:val="Piedepgina"/>
      <w:jc w:val="right"/>
      <w:rPr>
        <w:rFonts w:ascii="Calibri" w:hAnsi="Calibri"/>
        <w:i w:val="0"/>
      </w:rPr>
    </w:pPr>
    <w:r w:rsidRPr="000F5232">
      <w:rPr>
        <w:rFonts w:ascii="Calibri" w:hAnsi="Calibri"/>
      </w:rPr>
      <w:t xml:space="preserve">Página </w:t>
    </w:r>
    <w:r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>PAGE</w:instrText>
    </w:r>
    <w:r w:rsidRPr="000F5232">
      <w:rPr>
        <w:rFonts w:ascii="Calibri" w:hAnsi="Calibri"/>
        <w:i w:val="0"/>
      </w:rPr>
      <w:fldChar w:fldCharType="separate"/>
    </w:r>
    <w:r w:rsidR="009740DB">
      <w:rPr>
        <w:rFonts w:ascii="Calibri" w:hAnsi="Calibri"/>
        <w:noProof/>
      </w:rPr>
      <w:t>1</w:t>
    </w:r>
    <w:r w:rsidRPr="000F5232">
      <w:rPr>
        <w:rFonts w:ascii="Calibri" w:hAnsi="Calibri"/>
        <w:i w:val="0"/>
      </w:rPr>
      <w:fldChar w:fldCharType="end"/>
    </w:r>
    <w:r w:rsidRPr="000F5232">
      <w:rPr>
        <w:rFonts w:ascii="Calibri" w:hAnsi="Calibri"/>
      </w:rPr>
      <w:t xml:space="preserve"> de </w:t>
    </w:r>
    <w:r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Pr="000F5232">
      <w:rPr>
        <w:rFonts w:ascii="Calibri" w:hAnsi="Calibri"/>
        <w:i w:val="0"/>
      </w:rPr>
      <w:fldChar w:fldCharType="separate"/>
    </w:r>
    <w:r w:rsidR="009740DB">
      <w:rPr>
        <w:rFonts w:ascii="Calibri" w:hAnsi="Calibri"/>
        <w:noProof/>
      </w:rPr>
      <w:t>3</w:t>
    </w:r>
    <w:r w:rsidRPr="000F5232">
      <w:rPr>
        <w:rFonts w:ascii="Calibri" w:hAnsi="Calibri"/>
        <w:i w:val="0"/>
      </w:rPr>
      <w:fldChar w:fldCharType="end"/>
    </w:r>
  </w:p>
  <w:p w:rsidR="006229A7" w:rsidRDefault="006229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A7" w:rsidRDefault="006229A7" w:rsidP="005E5D6F">
      <w:pPr>
        <w:spacing w:after="0" w:line="240" w:lineRule="auto"/>
      </w:pPr>
      <w:r>
        <w:separator/>
      </w:r>
    </w:p>
  </w:footnote>
  <w:footnote w:type="continuationSeparator" w:id="0">
    <w:p w:rsidR="006229A7" w:rsidRDefault="006229A7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A7" w:rsidRDefault="009740DB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A7" w:rsidRDefault="006229A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9A7" w:rsidRDefault="006229A7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6229A7" w:rsidRDefault="006229A7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6229A7" w:rsidRDefault="006229A7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6229A7" w:rsidRDefault="006229A7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6229A7" w:rsidRDefault="006229A7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6229A7" w:rsidRDefault="006229A7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6229A7" w:rsidRDefault="006229A7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6229A7" w:rsidRDefault="009740DB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A7" w:rsidRDefault="009740DB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3334C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9BB78C8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D33747"/>
    <w:multiLevelType w:val="hybridMultilevel"/>
    <w:tmpl w:val="342CC2F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36FC9"/>
    <w:multiLevelType w:val="multilevel"/>
    <w:tmpl w:val="92BC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DC3777"/>
    <w:multiLevelType w:val="multilevel"/>
    <w:tmpl w:val="AB4E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0" w15:restartNumberingAfterBreak="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93B04"/>
    <w:multiLevelType w:val="multilevel"/>
    <w:tmpl w:val="DA44F82C"/>
    <w:lvl w:ilvl="0">
      <w:start w:val="2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5908B5"/>
    <w:multiLevelType w:val="multilevel"/>
    <w:tmpl w:val="BE6A799A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3C5832"/>
    <w:multiLevelType w:val="multilevel"/>
    <w:tmpl w:val="BCCED7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4923E3"/>
    <w:multiLevelType w:val="hybridMultilevel"/>
    <w:tmpl w:val="DAD604E6"/>
    <w:lvl w:ilvl="0" w:tplc="6F20B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6525CF"/>
    <w:multiLevelType w:val="multilevel"/>
    <w:tmpl w:val="D3A03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2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13F56"/>
    <w:multiLevelType w:val="hybridMultilevel"/>
    <w:tmpl w:val="F5A2EAFE"/>
    <w:lvl w:ilvl="0" w:tplc="15EEB588">
      <w:start w:val="2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D2986"/>
    <w:multiLevelType w:val="hybridMultilevel"/>
    <w:tmpl w:val="B6AC6636"/>
    <w:lvl w:ilvl="0" w:tplc="81840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E1BDC"/>
    <w:multiLevelType w:val="hybridMultilevel"/>
    <w:tmpl w:val="228257DE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DF716F"/>
    <w:multiLevelType w:val="hybridMultilevel"/>
    <w:tmpl w:val="3F6433F8"/>
    <w:lvl w:ilvl="0" w:tplc="38A4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F1E8A"/>
    <w:multiLevelType w:val="hybridMultilevel"/>
    <w:tmpl w:val="57A2537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5128D"/>
    <w:multiLevelType w:val="multilevel"/>
    <w:tmpl w:val="03948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29"/>
  </w:num>
  <w:num w:numId="5">
    <w:abstractNumId w:val="20"/>
  </w:num>
  <w:num w:numId="6">
    <w:abstractNumId w:val="25"/>
  </w:num>
  <w:num w:numId="7">
    <w:abstractNumId w:val="23"/>
  </w:num>
  <w:num w:numId="8">
    <w:abstractNumId w:val="4"/>
  </w:num>
  <w:num w:numId="9">
    <w:abstractNumId w:val="22"/>
  </w:num>
  <w:num w:numId="10">
    <w:abstractNumId w:val="15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5"/>
  </w:num>
  <w:num w:numId="16">
    <w:abstractNumId w:val="30"/>
  </w:num>
  <w:num w:numId="17">
    <w:abstractNumId w:val="18"/>
  </w:num>
  <w:num w:numId="18">
    <w:abstractNumId w:val="0"/>
  </w:num>
  <w:num w:numId="19">
    <w:abstractNumId w:val="24"/>
  </w:num>
  <w:num w:numId="20">
    <w:abstractNumId w:val="8"/>
  </w:num>
  <w:num w:numId="21">
    <w:abstractNumId w:val="12"/>
  </w:num>
  <w:num w:numId="22">
    <w:abstractNumId w:val="11"/>
  </w:num>
  <w:num w:numId="23">
    <w:abstractNumId w:val="19"/>
  </w:num>
  <w:num w:numId="24">
    <w:abstractNumId w:val="26"/>
  </w:num>
  <w:num w:numId="25">
    <w:abstractNumId w:val="21"/>
  </w:num>
  <w:num w:numId="26">
    <w:abstractNumId w:val="27"/>
  </w:num>
  <w:num w:numId="27">
    <w:abstractNumId w:val="2"/>
  </w:num>
  <w:num w:numId="28">
    <w:abstractNumId w:val="28"/>
  </w:num>
  <w:num w:numId="29">
    <w:abstractNumId w:val="1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1882C9EA"/>
  <w15:docId w15:val="{CE5884A3-9CA5-409C-B65E-131CE2D9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file:///\\ssf.gob\roma\SA01%20Superintendencia%20Adjunta%20de%20Bancos%20Aseguradoras%20y%20Otras\2020\SA01.1%20IBC\Buz&#243;n%20General\17_Tramites\TRAMITES%20ACTUALIZADOS\Anexo%20No%201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11</cp:revision>
  <cp:lastPrinted>2019-09-13T15:27:00Z</cp:lastPrinted>
  <dcterms:created xsi:type="dcterms:W3CDTF">2020-05-11T17:45:00Z</dcterms:created>
  <dcterms:modified xsi:type="dcterms:W3CDTF">2020-07-13T18:50:00Z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