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4C5E" w:rsidRDefault="00651122" w:rsidP="000D1183">
      <w:pPr>
        <w:rPr>
          <w:lang w:val="es-SV"/>
        </w:rPr>
      </w:pPr>
      <w:r>
        <w:rPr>
          <w:noProof/>
          <w:lang w:val="es-SV" w:eastAsia="es-SV"/>
        </w:rPr>
        <w:pict>
          <v:roundrect id="_x0000_s1026" style="position:absolute;margin-left:-25.35pt;margin-top:10.3pt;width:489.15pt;height:111.5pt;z-index:251658240" arcsize="10923f">
            <v:textbox style="mso-next-textbox:#_x0000_s1026">
              <w:txbxContent>
                <w:p w:rsidR="002E4B96" w:rsidRDefault="00596B5A" w:rsidP="002E4B96">
                  <w:pPr>
                    <w:spacing w:after="0" w:line="240" w:lineRule="auto"/>
                    <w:jc w:val="center"/>
                    <w:rPr>
                      <w:b/>
                      <w:lang w:val="es-SV"/>
                    </w:rPr>
                  </w:pPr>
                  <w:r>
                    <w:rPr>
                      <w:b/>
                      <w:lang w:val="es-SV"/>
                    </w:rPr>
                    <w:t>SAC</w:t>
                  </w:r>
                  <w:r w:rsidRPr="00596B5A">
                    <w:rPr>
                      <w:b/>
                      <w:lang w:val="es-SV"/>
                    </w:rPr>
                    <w:t>6-</w:t>
                  </w:r>
                  <w:r w:rsidR="00F77C1E">
                    <w:rPr>
                      <w:b/>
                      <w:lang w:val="es-SV"/>
                    </w:rPr>
                    <w:t>B</w:t>
                  </w:r>
                </w:p>
                <w:p w:rsidR="00EC311F" w:rsidRPr="00CF399E" w:rsidRDefault="00EC311F" w:rsidP="00E63205">
                  <w:pPr>
                    <w:spacing w:after="0" w:line="240" w:lineRule="auto"/>
                    <w:rPr>
                      <w:b/>
                      <w:lang w:val="es-SV"/>
                    </w:rPr>
                  </w:pPr>
                  <w:r w:rsidRPr="00CF399E">
                    <w:rPr>
                      <w:b/>
                      <w:lang w:val="es-SV"/>
                    </w:rPr>
                    <w:t>Tipo de Trámite:</w:t>
                  </w:r>
                  <w:r w:rsidRPr="00CF399E">
                    <w:t xml:space="preserve"> </w:t>
                  </w:r>
                  <w:r w:rsidR="00B70EBE" w:rsidRPr="00CF399E">
                    <w:rPr>
                      <w:b/>
                      <w:lang w:val="es-SV"/>
                    </w:rPr>
                    <w:t xml:space="preserve">Autorización </w:t>
                  </w:r>
                  <w:r w:rsidR="00354F10">
                    <w:rPr>
                      <w:b/>
                      <w:lang w:val="es-SV"/>
                    </w:rPr>
                    <w:t>de fusiones de entidades</w:t>
                  </w:r>
                  <w:r w:rsidR="002E4B96">
                    <w:rPr>
                      <w:b/>
                      <w:lang w:val="es-SV"/>
                    </w:rPr>
                    <w:t xml:space="preserve"> (Autorización </w:t>
                  </w:r>
                  <w:r w:rsidR="00476593">
                    <w:rPr>
                      <w:b/>
                      <w:lang w:val="es-SV"/>
                    </w:rPr>
                    <w:t xml:space="preserve">del </w:t>
                  </w:r>
                  <w:r w:rsidR="002E4B96">
                    <w:rPr>
                      <w:b/>
                      <w:lang w:val="es-SV"/>
                    </w:rPr>
                    <w:t>proceso de fusión)</w:t>
                  </w:r>
                </w:p>
                <w:p w:rsidR="00F77C1E" w:rsidRDefault="00F77C1E" w:rsidP="00CF399E">
                  <w:pPr>
                    <w:spacing w:after="0" w:line="240" w:lineRule="auto"/>
                    <w:jc w:val="both"/>
                    <w:rPr>
                      <w:lang w:val="es-SV"/>
                    </w:rPr>
                  </w:pPr>
                </w:p>
                <w:p w:rsidR="00CF399E" w:rsidRPr="00CF399E" w:rsidRDefault="00EC311F" w:rsidP="00CF399E">
                  <w:pPr>
                    <w:spacing w:after="0" w:line="240" w:lineRule="auto"/>
                    <w:jc w:val="both"/>
                    <w:rPr>
                      <w:bCs/>
                      <w:iCs/>
                    </w:rPr>
                  </w:pPr>
                  <w:r w:rsidRPr="00CF399E">
                    <w:rPr>
                      <w:lang w:val="es-SV"/>
                    </w:rPr>
                    <w:t xml:space="preserve">Subsistemas a que aplica:           </w:t>
                  </w:r>
                  <w:r w:rsidR="00CF399E" w:rsidRPr="00CF399E">
                    <w:rPr>
                      <w:bCs/>
                      <w:iCs/>
                    </w:rPr>
                    <w:t>Sociedades de Ahorro y Crédito</w:t>
                  </w:r>
                </w:p>
                <w:p w:rsidR="00E93A61" w:rsidRDefault="00EC311F" w:rsidP="00E93A61">
                  <w:pPr>
                    <w:spacing w:after="0" w:line="240" w:lineRule="auto"/>
                    <w:rPr>
                      <w:lang w:val="es-SV"/>
                    </w:rPr>
                  </w:pPr>
                  <w:r w:rsidRPr="00CF399E">
                    <w:rPr>
                      <w:lang w:val="es-SV"/>
                    </w:rPr>
                    <w:t xml:space="preserve">Fecha de creación:             </w:t>
                  </w:r>
                  <w:r w:rsidR="005C7839">
                    <w:rPr>
                      <w:lang w:val="es-SV"/>
                    </w:rPr>
                    <w:t xml:space="preserve">           </w:t>
                  </w:r>
                  <w:r w:rsidR="00E93A61">
                    <w:rPr>
                      <w:lang w:val="es-SV"/>
                    </w:rPr>
                    <w:t>18/09/2014</w:t>
                  </w:r>
                </w:p>
                <w:p w:rsidR="00EC311F" w:rsidRPr="00CF399E" w:rsidRDefault="00EC311F" w:rsidP="00DA2889">
                  <w:pPr>
                    <w:spacing w:after="0" w:line="240" w:lineRule="auto"/>
                    <w:rPr>
                      <w:lang w:val="es-SV"/>
                    </w:rPr>
                  </w:pPr>
                  <w:r w:rsidRPr="00CF399E">
                    <w:rPr>
                      <w:lang w:val="es-SV"/>
                    </w:rPr>
                    <w:t xml:space="preserve">Fecha de última modificación:   </w:t>
                  </w:r>
                  <w:r w:rsidR="00354F10">
                    <w:rPr>
                      <w:lang w:val="es-SV"/>
                    </w:rPr>
                    <w:t>12/06/2018</w:t>
                  </w:r>
                </w:p>
                <w:p w:rsidR="00EC311F" w:rsidRPr="00CF399E" w:rsidRDefault="00EC311F" w:rsidP="00DA2889">
                  <w:pPr>
                    <w:spacing w:after="0" w:line="240" w:lineRule="auto"/>
                    <w:rPr>
                      <w:lang w:val="es-SV"/>
                    </w:rPr>
                  </w:pPr>
                </w:p>
              </w:txbxContent>
            </v:textbox>
          </v:roundrect>
        </w:pict>
      </w:r>
    </w:p>
    <w:p w:rsidR="00C538DA" w:rsidRDefault="00C538DA" w:rsidP="000D1183">
      <w:pPr>
        <w:rPr>
          <w:lang w:val="es-SV"/>
        </w:rPr>
      </w:pPr>
    </w:p>
    <w:p w:rsidR="00C538DA" w:rsidRDefault="00C538DA" w:rsidP="000D1183">
      <w:pPr>
        <w:rPr>
          <w:lang w:val="es-SV"/>
        </w:rPr>
      </w:pPr>
    </w:p>
    <w:p w:rsidR="00C538DA" w:rsidRDefault="00C538DA" w:rsidP="00C538DA">
      <w:pPr>
        <w:rPr>
          <w:lang w:val="es-SV"/>
        </w:rPr>
      </w:pPr>
    </w:p>
    <w:p w:rsidR="000E6763" w:rsidRDefault="00C538DA" w:rsidP="00C538DA">
      <w:pPr>
        <w:tabs>
          <w:tab w:val="left" w:pos="960"/>
        </w:tabs>
        <w:rPr>
          <w:lang w:val="es-SV"/>
        </w:rPr>
      </w:pPr>
      <w:r>
        <w:rPr>
          <w:lang w:val="es-SV"/>
        </w:rPr>
        <w:tab/>
      </w:r>
    </w:p>
    <w:p w:rsidR="002E4B96" w:rsidRDefault="002E4B96" w:rsidP="002E4B96">
      <w:pPr>
        <w:spacing w:after="0" w:line="240" w:lineRule="auto"/>
        <w:jc w:val="both"/>
        <w:rPr>
          <w:b/>
          <w:bCs/>
          <w:iCs/>
        </w:rPr>
      </w:pPr>
    </w:p>
    <w:p w:rsidR="002E4B96" w:rsidRPr="00CB4A24" w:rsidRDefault="002E4B96" w:rsidP="002E4B96">
      <w:pPr>
        <w:spacing w:after="0" w:line="240" w:lineRule="auto"/>
        <w:jc w:val="both"/>
        <w:rPr>
          <w:b/>
          <w:bCs/>
          <w:iCs/>
        </w:rPr>
      </w:pPr>
      <w:r w:rsidRPr="00CB4A24">
        <w:rPr>
          <w:b/>
          <w:bCs/>
          <w:iCs/>
        </w:rPr>
        <w:t>Sujetos a que aplica el trámite específico:</w:t>
      </w:r>
    </w:p>
    <w:p w:rsidR="002E4B96" w:rsidRPr="00CB4A24" w:rsidRDefault="002E4B96" w:rsidP="002E4B96">
      <w:pPr>
        <w:spacing w:after="0" w:line="240" w:lineRule="auto"/>
        <w:jc w:val="both"/>
        <w:rPr>
          <w:bCs/>
          <w:iCs/>
        </w:rPr>
      </w:pPr>
      <w:r w:rsidRPr="00CB4A24">
        <w:rPr>
          <w:bCs/>
          <w:iCs/>
        </w:rPr>
        <w:t>Sociedades de Ahorro y Crédito</w:t>
      </w:r>
    </w:p>
    <w:p w:rsidR="002E4B96" w:rsidRPr="00CB4A24" w:rsidRDefault="002E4B96" w:rsidP="002E4B96">
      <w:pPr>
        <w:spacing w:after="0" w:line="240" w:lineRule="auto"/>
        <w:jc w:val="both"/>
        <w:rPr>
          <w:b/>
          <w:bCs/>
          <w:iCs/>
        </w:rPr>
      </w:pPr>
    </w:p>
    <w:p w:rsidR="002E4B96" w:rsidRPr="00CB4A24" w:rsidRDefault="002E4B96" w:rsidP="002E4B96">
      <w:pPr>
        <w:spacing w:after="0" w:line="240" w:lineRule="auto"/>
        <w:jc w:val="both"/>
        <w:rPr>
          <w:b/>
          <w:bCs/>
          <w:iCs/>
        </w:rPr>
      </w:pPr>
      <w:r w:rsidRPr="00CB4A24">
        <w:rPr>
          <w:b/>
          <w:bCs/>
          <w:iCs/>
        </w:rPr>
        <w:t xml:space="preserve">Base legal: </w:t>
      </w:r>
    </w:p>
    <w:p w:rsidR="002E4B96" w:rsidRPr="00CB4A24" w:rsidRDefault="002E4B96" w:rsidP="002E4B96">
      <w:pPr>
        <w:spacing w:after="0" w:line="240" w:lineRule="auto"/>
        <w:jc w:val="both"/>
        <w:rPr>
          <w:iCs/>
        </w:rPr>
      </w:pPr>
    </w:p>
    <w:p w:rsidR="00596B5A" w:rsidRPr="00CB4A24" w:rsidRDefault="00596B5A" w:rsidP="002E4B96">
      <w:pPr>
        <w:pStyle w:val="Prrafodelista"/>
        <w:numPr>
          <w:ilvl w:val="0"/>
          <w:numId w:val="3"/>
        </w:numPr>
        <w:spacing w:after="0" w:line="240" w:lineRule="auto"/>
        <w:jc w:val="both"/>
        <w:rPr>
          <w:iCs/>
        </w:rPr>
      </w:pPr>
      <w:r w:rsidRPr="00CB4A24">
        <w:rPr>
          <w:iCs/>
        </w:rPr>
        <w:t>Código de Comercio: Artículos del 315 al 321.</w:t>
      </w:r>
    </w:p>
    <w:p w:rsidR="002E4B96" w:rsidRPr="00CB4A24" w:rsidRDefault="002E4B96" w:rsidP="002E4B96">
      <w:pPr>
        <w:pStyle w:val="Prrafodelista"/>
        <w:numPr>
          <w:ilvl w:val="0"/>
          <w:numId w:val="3"/>
        </w:numPr>
        <w:spacing w:after="0" w:line="240" w:lineRule="auto"/>
        <w:jc w:val="both"/>
        <w:rPr>
          <w:iCs/>
        </w:rPr>
      </w:pPr>
      <w:r w:rsidRPr="00CB4A24">
        <w:rPr>
          <w:iCs/>
        </w:rPr>
        <w:t xml:space="preserve">Ley de Supervisión y Regulación del Sistema Financiero: Artículo 15 Literal d. </w:t>
      </w:r>
    </w:p>
    <w:p w:rsidR="00A27558" w:rsidRPr="00CB4A24" w:rsidRDefault="00A27558" w:rsidP="00A27558">
      <w:pPr>
        <w:pStyle w:val="Prrafodelista"/>
        <w:numPr>
          <w:ilvl w:val="0"/>
          <w:numId w:val="3"/>
        </w:numPr>
        <w:spacing w:after="0" w:line="240" w:lineRule="auto"/>
        <w:jc w:val="both"/>
        <w:rPr>
          <w:iCs/>
        </w:rPr>
      </w:pPr>
      <w:r w:rsidRPr="00CB4A24">
        <w:rPr>
          <w:iCs/>
        </w:rPr>
        <w:t xml:space="preserve">Ley de Bancos Cooperativos y Sociedades de Ahorro y Crédito: </w:t>
      </w:r>
      <w:r w:rsidR="00A07497" w:rsidRPr="00CB4A24">
        <w:rPr>
          <w:iCs/>
        </w:rPr>
        <w:t>A</w:t>
      </w:r>
      <w:r w:rsidRPr="00CB4A24">
        <w:rPr>
          <w:iCs/>
        </w:rPr>
        <w:t>rt.157</w:t>
      </w:r>
    </w:p>
    <w:p w:rsidR="00A27558" w:rsidRPr="00CB4A24" w:rsidRDefault="00A27558" w:rsidP="00A27558">
      <w:pPr>
        <w:pStyle w:val="Prrafodelista"/>
        <w:numPr>
          <w:ilvl w:val="0"/>
          <w:numId w:val="3"/>
        </w:numPr>
        <w:spacing w:after="0" w:line="240" w:lineRule="auto"/>
        <w:jc w:val="both"/>
        <w:rPr>
          <w:iCs/>
        </w:rPr>
      </w:pPr>
      <w:r w:rsidRPr="00CB4A24">
        <w:rPr>
          <w:iCs/>
        </w:rPr>
        <w:t>Ley de Bancos: Artículos 21 y 229.</w:t>
      </w:r>
    </w:p>
    <w:p w:rsidR="00A27558" w:rsidRPr="00CB4A24" w:rsidRDefault="00A27558" w:rsidP="00A27558">
      <w:pPr>
        <w:pStyle w:val="Prrafodelista"/>
        <w:numPr>
          <w:ilvl w:val="0"/>
          <w:numId w:val="3"/>
        </w:numPr>
        <w:spacing w:after="0" w:line="240" w:lineRule="auto"/>
        <w:jc w:val="both"/>
        <w:rPr>
          <w:iCs/>
        </w:rPr>
      </w:pPr>
      <w:r w:rsidRPr="00CB4A24">
        <w:rPr>
          <w:iCs/>
        </w:rPr>
        <w:t>Ley de Competencia: Artículos 31 al 36.</w:t>
      </w:r>
    </w:p>
    <w:p w:rsidR="00F77C1E" w:rsidRPr="00CB4A24" w:rsidRDefault="00F77C1E" w:rsidP="00F77C1E">
      <w:pPr>
        <w:pStyle w:val="Prrafodelista"/>
        <w:numPr>
          <w:ilvl w:val="0"/>
          <w:numId w:val="3"/>
        </w:numPr>
        <w:spacing w:after="0" w:line="240" w:lineRule="auto"/>
        <w:rPr>
          <w:rFonts w:eastAsia="Times New Roman" w:cs="Times New Roman"/>
          <w:lang w:eastAsia="es-SV"/>
        </w:rPr>
      </w:pPr>
      <w:r w:rsidRPr="00CB4A24">
        <w:rPr>
          <w:rFonts w:eastAsia="Times New Roman" w:cs="Times New Roman"/>
          <w:lang w:eastAsia="es-SV"/>
        </w:rPr>
        <w:t xml:space="preserve">Normas para la modificación de pactos sociales de los Bancos (NPB4-34) (Arts. del </w:t>
      </w:r>
      <w:r w:rsidR="00A07497" w:rsidRPr="00CB4A24">
        <w:rPr>
          <w:rFonts w:eastAsia="Times New Roman" w:cs="Times New Roman"/>
          <w:lang w:eastAsia="es-SV"/>
        </w:rPr>
        <w:t xml:space="preserve"> </w:t>
      </w:r>
      <w:r w:rsidRPr="00CB4A24">
        <w:rPr>
          <w:rFonts w:eastAsia="Times New Roman" w:cs="Times New Roman"/>
          <w:lang w:eastAsia="es-SV"/>
        </w:rPr>
        <w:t>7 al 11).</w:t>
      </w:r>
    </w:p>
    <w:p w:rsidR="00F77C1E" w:rsidRPr="00CB4A24" w:rsidRDefault="00F77C1E" w:rsidP="00F77C1E">
      <w:pPr>
        <w:pStyle w:val="Prrafodelista"/>
        <w:spacing w:after="0" w:line="240" w:lineRule="auto"/>
        <w:rPr>
          <w:rFonts w:eastAsia="Times New Roman" w:cs="Times New Roman"/>
          <w:lang w:eastAsia="es-SV"/>
        </w:rPr>
      </w:pPr>
    </w:p>
    <w:p w:rsidR="002E4B96" w:rsidRPr="00CB4A24" w:rsidRDefault="002E4B96" w:rsidP="002E4B96">
      <w:pPr>
        <w:spacing w:after="0" w:line="240" w:lineRule="auto"/>
        <w:jc w:val="both"/>
        <w:rPr>
          <w:iCs/>
          <w:u w:val="single"/>
        </w:rPr>
      </w:pPr>
      <w:r w:rsidRPr="00CB4A24">
        <w:rPr>
          <w:b/>
          <w:bCs/>
          <w:iCs/>
          <w:u w:val="single"/>
        </w:rPr>
        <w:t>Requisitos a presentar:</w:t>
      </w:r>
    </w:p>
    <w:p w:rsidR="002E4B96" w:rsidRPr="00CB4A24" w:rsidRDefault="002E4B96" w:rsidP="002E4B96">
      <w:pPr>
        <w:spacing w:after="0" w:line="240" w:lineRule="auto"/>
        <w:contextualSpacing/>
        <w:jc w:val="both"/>
        <w:rPr>
          <w:iCs/>
        </w:rPr>
      </w:pPr>
    </w:p>
    <w:p w:rsidR="00E31C61" w:rsidRPr="00CB4A24" w:rsidRDefault="00E31C61" w:rsidP="00E31C61">
      <w:pPr>
        <w:pStyle w:val="Prrafodelista"/>
        <w:numPr>
          <w:ilvl w:val="0"/>
          <w:numId w:val="29"/>
        </w:numPr>
        <w:spacing w:after="0" w:line="240" w:lineRule="auto"/>
        <w:ind w:left="357" w:hanging="357"/>
        <w:jc w:val="both"/>
        <w:rPr>
          <w:rFonts w:eastAsia="Times New Roman" w:cs="Times New Roman"/>
          <w:color w:val="000000"/>
          <w:lang w:eastAsia="es-SV"/>
        </w:rPr>
      </w:pPr>
      <w:r w:rsidRPr="00CB4A24">
        <w:rPr>
          <w:rFonts w:eastAsia="Times New Roman" w:cs="Times New Roman"/>
          <w:color w:val="000000"/>
          <w:lang w:eastAsia="es-SV"/>
        </w:rPr>
        <w:t>Solicitud dirigida al Superintendente del Sistema Financiero suscrita por la persona designada para ejecutar la fusión o el Representante Legal, en la que solicite autorización de lo siguiente:</w:t>
      </w:r>
    </w:p>
    <w:p w:rsidR="00E31C61" w:rsidRPr="00CB4A24" w:rsidRDefault="00E31C61" w:rsidP="00E31C61">
      <w:pPr>
        <w:spacing w:after="0" w:line="240" w:lineRule="auto"/>
        <w:rPr>
          <w:rFonts w:eastAsia="Times New Roman" w:cs="Times New Roman"/>
          <w:color w:val="000000"/>
          <w:lang w:eastAsia="es-SV"/>
        </w:rPr>
      </w:pPr>
    </w:p>
    <w:p w:rsidR="00E31C61" w:rsidRPr="00CB4A24" w:rsidRDefault="00E31C61" w:rsidP="00E31C61">
      <w:pPr>
        <w:pStyle w:val="Prrafodelista"/>
        <w:numPr>
          <w:ilvl w:val="1"/>
          <w:numId w:val="29"/>
        </w:numPr>
        <w:spacing w:after="0" w:line="240" w:lineRule="auto"/>
        <w:jc w:val="both"/>
        <w:rPr>
          <w:rFonts w:eastAsia="Times New Roman" w:cs="Times New Roman"/>
          <w:lang w:eastAsia="es-SV"/>
        </w:rPr>
      </w:pPr>
      <w:r w:rsidRPr="00CB4A24">
        <w:rPr>
          <w:rFonts w:eastAsia="Times New Roman" w:cs="Times New Roman"/>
          <w:lang w:eastAsia="es-SV"/>
        </w:rPr>
        <w:t>Llevar a cabo la fusión.</w:t>
      </w:r>
    </w:p>
    <w:p w:rsidR="00E31C61" w:rsidRPr="00CB4A24" w:rsidRDefault="00E31C61" w:rsidP="00E31C61">
      <w:pPr>
        <w:pStyle w:val="Prrafodelista"/>
        <w:numPr>
          <w:ilvl w:val="1"/>
          <w:numId w:val="29"/>
        </w:numPr>
        <w:spacing w:after="0" w:line="240" w:lineRule="auto"/>
        <w:jc w:val="both"/>
        <w:rPr>
          <w:rFonts w:eastAsia="Times New Roman" w:cs="Times New Roman"/>
          <w:color w:val="000000"/>
          <w:lang w:eastAsia="es-SV"/>
        </w:rPr>
      </w:pPr>
      <w:r w:rsidRPr="00CB4A24">
        <w:rPr>
          <w:rFonts w:eastAsia="Times New Roman" w:cs="Times New Roman"/>
          <w:lang w:eastAsia="es-SV"/>
        </w:rPr>
        <w:t xml:space="preserve">Modificar la </w:t>
      </w:r>
      <w:r w:rsidR="002F20A8" w:rsidRPr="00CB4A24">
        <w:rPr>
          <w:rFonts w:eastAsia="Times New Roman" w:cs="Times New Roman"/>
          <w:lang w:eastAsia="es-SV"/>
        </w:rPr>
        <w:t>E</w:t>
      </w:r>
      <w:r w:rsidRPr="00CB4A24">
        <w:rPr>
          <w:rFonts w:eastAsia="Times New Roman" w:cs="Times New Roman"/>
          <w:lang w:eastAsia="es-SV"/>
        </w:rPr>
        <w:t xml:space="preserve">scritura del Pacto Social o </w:t>
      </w:r>
      <w:r w:rsidR="002F20A8" w:rsidRPr="00CB4A24">
        <w:rPr>
          <w:rFonts w:eastAsia="Times New Roman" w:cs="Times New Roman"/>
          <w:lang w:eastAsia="es-SV"/>
        </w:rPr>
        <w:t>E</w:t>
      </w:r>
      <w:r w:rsidRPr="00CB4A24">
        <w:rPr>
          <w:rFonts w:eastAsia="Times New Roman" w:cs="Times New Roman"/>
          <w:lang w:eastAsia="es-SV"/>
        </w:rPr>
        <w:t>statutos.</w:t>
      </w:r>
    </w:p>
    <w:p w:rsidR="00E31C61" w:rsidRPr="00CB4A24" w:rsidRDefault="00E31C61" w:rsidP="00E31C61">
      <w:pPr>
        <w:spacing w:after="0" w:line="240" w:lineRule="auto"/>
        <w:ind w:left="720"/>
        <w:jc w:val="both"/>
        <w:rPr>
          <w:rFonts w:eastAsia="Times New Roman" w:cs="Times New Roman"/>
          <w:color w:val="000000"/>
          <w:lang w:eastAsia="es-SV"/>
        </w:rPr>
      </w:pPr>
    </w:p>
    <w:p w:rsidR="00E31C61" w:rsidRPr="00CB4A24" w:rsidRDefault="00E31C61" w:rsidP="00E31C61">
      <w:pPr>
        <w:pStyle w:val="Prrafodelista"/>
        <w:numPr>
          <w:ilvl w:val="0"/>
          <w:numId w:val="29"/>
        </w:numPr>
        <w:spacing w:after="0" w:line="240" w:lineRule="auto"/>
        <w:ind w:left="357" w:hanging="357"/>
        <w:jc w:val="both"/>
        <w:rPr>
          <w:rFonts w:eastAsia="Times New Roman" w:cs="Times New Roman"/>
          <w:color w:val="000000"/>
          <w:lang w:eastAsia="es-SV"/>
        </w:rPr>
      </w:pPr>
      <w:r w:rsidRPr="00CB4A24">
        <w:rPr>
          <w:rFonts w:eastAsia="Times New Roman" w:cs="Times New Roman"/>
          <w:color w:val="000000"/>
          <w:lang w:eastAsia="es-SV"/>
        </w:rPr>
        <w:t xml:space="preserve">Constancia de la inscripción de los acuerdos de Junta General Extraordinaria de Accionistas en el Registro de Comercio de la República de El Salvador. </w:t>
      </w:r>
    </w:p>
    <w:p w:rsidR="00AE4552" w:rsidRPr="00CB4A24" w:rsidRDefault="00AE4552" w:rsidP="00AE4552">
      <w:pPr>
        <w:pStyle w:val="Prrafodelista"/>
        <w:spacing w:after="0" w:line="240" w:lineRule="auto"/>
        <w:ind w:left="357"/>
        <w:jc w:val="both"/>
        <w:rPr>
          <w:rFonts w:eastAsia="Times New Roman" w:cs="Times New Roman"/>
          <w:color w:val="000000"/>
          <w:lang w:eastAsia="es-SV"/>
        </w:rPr>
      </w:pPr>
    </w:p>
    <w:p w:rsidR="00E31C61" w:rsidRPr="00CB4A24" w:rsidRDefault="00E31C61" w:rsidP="00E31C61">
      <w:pPr>
        <w:pStyle w:val="Prrafodelista"/>
        <w:numPr>
          <w:ilvl w:val="0"/>
          <w:numId w:val="29"/>
        </w:numPr>
        <w:spacing w:after="0" w:line="240" w:lineRule="auto"/>
        <w:ind w:left="357" w:hanging="357"/>
        <w:jc w:val="both"/>
        <w:rPr>
          <w:rFonts w:eastAsia="Times New Roman" w:cs="Times New Roman"/>
          <w:color w:val="000000"/>
          <w:lang w:eastAsia="es-SV"/>
        </w:rPr>
      </w:pPr>
      <w:r w:rsidRPr="00CB4A24">
        <w:rPr>
          <w:rFonts w:eastAsia="Times New Roman" w:cs="Times New Roman"/>
          <w:color w:val="000000"/>
          <w:lang w:eastAsia="es-SV"/>
        </w:rPr>
        <w:t>Copia de las publicaciones del acuerdo de fusión inscrito y último balance auditado de las sociedades a fusionar, por una sola vez en dos diarios de circulación nacional.</w:t>
      </w:r>
    </w:p>
    <w:p w:rsidR="00AE4552" w:rsidRPr="00CB4A24" w:rsidRDefault="00AE4552" w:rsidP="00AE4552">
      <w:pPr>
        <w:pStyle w:val="Prrafodelista"/>
        <w:rPr>
          <w:rFonts w:eastAsia="Times New Roman" w:cs="Times New Roman"/>
          <w:color w:val="000000"/>
          <w:lang w:eastAsia="es-SV"/>
        </w:rPr>
      </w:pPr>
    </w:p>
    <w:p w:rsidR="00E31C61" w:rsidRPr="00CB4A24" w:rsidRDefault="00E31C61" w:rsidP="00E31C61">
      <w:pPr>
        <w:pStyle w:val="Prrafodelista"/>
        <w:numPr>
          <w:ilvl w:val="0"/>
          <w:numId w:val="29"/>
        </w:numPr>
        <w:spacing w:after="0" w:line="240" w:lineRule="auto"/>
        <w:ind w:left="357" w:hanging="357"/>
        <w:jc w:val="both"/>
        <w:rPr>
          <w:rFonts w:eastAsia="Times New Roman" w:cs="Times New Roman"/>
          <w:color w:val="000000"/>
          <w:lang w:eastAsia="es-SV"/>
        </w:rPr>
      </w:pPr>
      <w:r w:rsidRPr="00CB4A24">
        <w:rPr>
          <w:rFonts w:eastAsia="Times New Roman" w:cs="Times New Roman"/>
          <w:color w:val="000000"/>
          <w:lang w:eastAsia="es-SV"/>
        </w:rPr>
        <w:t xml:space="preserve">Proyecto de la </w:t>
      </w:r>
      <w:r w:rsidR="002F20A8" w:rsidRPr="00CB4A24">
        <w:rPr>
          <w:rFonts w:eastAsia="Times New Roman" w:cs="Times New Roman"/>
          <w:color w:val="000000"/>
          <w:lang w:eastAsia="es-SV"/>
        </w:rPr>
        <w:t>E</w:t>
      </w:r>
      <w:r w:rsidRPr="00CB4A24">
        <w:rPr>
          <w:rFonts w:eastAsia="Times New Roman" w:cs="Times New Roman"/>
          <w:color w:val="000000"/>
          <w:lang w:eastAsia="es-SV"/>
        </w:rPr>
        <w:t>scritura del nuevo Pacto Social con las modificaciones por fusión de sociedades para su respectiva autorización.</w:t>
      </w:r>
    </w:p>
    <w:p w:rsidR="00AE4552" w:rsidRPr="00CB4A24" w:rsidRDefault="00AE4552" w:rsidP="00AE4552">
      <w:pPr>
        <w:pStyle w:val="Prrafodelista"/>
        <w:rPr>
          <w:rFonts w:eastAsia="Times New Roman" w:cs="Times New Roman"/>
          <w:color w:val="000000"/>
          <w:lang w:eastAsia="es-SV"/>
        </w:rPr>
      </w:pPr>
    </w:p>
    <w:p w:rsidR="00E31C61" w:rsidRPr="00CB4A24" w:rsidRDefault="00E31C61" w:rsidP="00E31C61">
      <w:pPr>
        <w:pStyle w:val="Prrafodelista"/>
        <w:numPr>
          <w:ilvl w:val="0"/>
          <w:numId w:val="29"/>
        </w:numPr>
        <w:spacing w:after="0" w:line="240" w:lineRule="auto"/>
        <w:ind w:left="357" w:hanging="357"/>
        <w:jc w:val="both"/>
        <w:rPr>
          <w:rFonts w:eastAsia="Times New Roman" w:cs="Times New Roman"/>
          <w:color w:val="000000"/>
          <w:lang w:eastAsia="es-SV"/>
        </w:rPr>
      </w:pPr>
      <w:r w:rsidRPr="00CB4A24">
        <w:rPr>
          <w:rFonts w:eastAsia="Times New Roman" w:cs="Times New Roman"/>
          <w:color w:val="000000"/>
          <w:lang w:eastAsia="es-SV"/>
        </w:rPr>
        <w:t>Cuadro comparativo de la redacción vigente y nueva de las cláusulas a revisar en el pacto social de la sociedad absorbente.</w:t>
      </w:r>
    </w:p>
    <w:p w:rsidR="00AE4552" w:rsidRPr="00CB4A24" w:rsidRDefault="00AE4552" w:rsidP="00AE4552">
      <w:pPr>
        <w:pStyle w:val="Prrafodelista"/>
        <w:rPr>
          <w:rFonts w:eastAsia="Times New Roman" w:cs="Times New Roman"/>
          <w:color w:val="000000"/>
          <w:lang w:eastAsia="es-SV"/>
        </w:rPr>
      </w:pPr>
    </w:p>
    <w:p w:rsidR="00E31C61" w:rsidRPr="00CB4A24" w:rsidRDefault="00E31C61" w:rsidP="00E31C61">
      <w:pPr>
        <w:pStyle w:val="Prrafodelista"/>
        <w:numPr>
          <w:ilvl w:val="0"/>
          <w:numId w:val="29"/>
        </w:numPr>
        <w:spacing w:after="0" w:line="240" w:lineRule="auto"/>
        <w:ind w:left="357" w:hanging="357"/>
        <w:jc w:val="both"/>
        <w:rPr>
          <w:rFonts w:eastAsia="Times New Roman" w:cs="Times New Roman"/>
          <w:color w:val="000000"/>
          <w:lang w:eastAsia="es-SV"/>
        </w:rPr>
      </w:pPr>
      <w:r w:rsidRPr="00CB4A24">
        <w:rPr>
          <w:rFonts w:eastAsia="Times New Roman" w:cs="Times New Roman"/>
          <w:color w:val="000000"/>
          <w:lang w:eastAsia="es-SV"/>
        </w:rPr>
        <w:t>Cuadro que contenga la situación accionaria de la entidad después de la fusión, detallando el porcentaje de participación accionaria de cada una de las entidades a fusionar, número de acciones y capital social.</w:t>
      </w:r>
    </w:p>
    <w:p w:rsidR="00AE4552" w:rsidRPr="00CB4A24" w:rsidRDefault="00AE4552" w:rsidP="00AE4552">
      <w:pPr>
        <w:pStyle w:val="Prrafodelista"/>
        <w:rPr>
          <w:rFonts w:eastAsia="Times New Roman" w:cs="Times New Roman"/>
          <w:color w:val="000000"/>
          <w:lang w:eastAsia="es-SV"/>
        </w:rPr>
      </w:pPr>
    </w:p>
    <w:p w:rsidR="00E31C61" w:rsidRPr="00CB4A24" w:rsidRDefault="00E31C61" w:rsidP="00E31C61">
      <w:pPr>
        <w:pStyle w:val="Prrafodelista"/>
        <w:numPr>
          <w:ilvl w:val="0"/>
          <w:numId w:val="29"/>
        </w:numPr>
        <w:spacing w:after="0" w:line="240" w:lineRule="auto"/>
        <w:ind w:left="357" w:hanging="357"/>
        <w:jc w:val="both"/>
        <w:rPr>
          <w:rFonts w:eastAsia="Times New Roman" w:cs="Times New Roman"/>
          <w:color w:val="000000"/>
          <w:lang w:eastAsia="es-SV"/>
        </w:rPr>
      </w:pPr>
      <w:r w:rsidRPr="00CB4A24">
        <w:rPr>
          <w:rFonts w:eastAsia="Times New Roman" w:cs="Times New Roman"/>
          <w:color w:val="000000"/>
          <w:lang w:eastAsia="es-SV"/>
        </w:rPr>
        <w:t>Estructura organizacional del nuevo Grupo Financiero una vez se lleve a cabo la fusión, en los casos en que aplique.</w:t>
      </w:r>
    </w:p>
    <w:p w:rsidR="00AE4552" w:rsidRPr="00CB4A24" w:rsidRDefault="00AE4552" w:rsidP="00AE4552">
      <w:pPr>
        <w:pStyle w:val="Prrafodelista"/>
        <w:rPr>
          <w:rFonts w:eastAsia="Times New Roman" w:cs="Times New Roman"/>
          <w:color w:val="000000"/>
          <w:lang w:eastAsia="es-SV"/>
        </w:rPr>
      </w:pPr>
    </w:p>
    <w:p w:rsidR="00E31C61" w:rsidRPr="00CB4A24" w:rsidRDefault="00E31C61" w:rsidP="00E31C61">
      <w:pPr>
        <w:pStyle w:val="Prrafodelista"/>
        <w:numPr>
          <w:ilvl w:val="0"/>
          <w:numId w:val="29"/>
        </w:numPr>
        <w:spacing w:after="0" w:line="240" w:lineRule="auto"/>
        <w:ind w:left="357" w:hanging="357"/>
        <w:jc w:val="both"/>
        <w:rPr>
          <w:rFonts w:eastAsia="Times New Roman" w:cs="Times New Roman"/>
          <w:color w:val="000000"/>
          <w:lang w:eastAsia="es-SV"/>
        </w:rPr>
      </w:pPr>
      <w:proofErr w:type="gramStart"/>
      <w:r w:rsidRPr="00CB4A24">
        <w:rPr>
          <w:rFonts w:eastAsia="Times New Roman" w:cs="Times New Roman"/>
          <w:color w:val="000000"/>
          <w:lang w:eastAsia="es-SV"/>
        </w:rPr>
        <w:t>Estados Financieros proyectados de la sociedad absorbente consolidado con las sociedades</w:t>
      </w:r>
      <w:r w:rsidRPr="00CB4A24">
        <w:rPr>
          <w:rFonts w:eastAsia="Times New Roman" w:cs="Times New Roman"/>
          <w:color w:val="FF0000"/>
          <w:lang w:eastAsia="es-SV"/>
        </w:rPr>
        <w:t xml:space="preserve"> </w:t>
      </w:r>
      <w:r w:rsidRPr="00CB4A24">
        <w:rPr>
          <w:rFonts w:eastAsia="Times New Roman" w:cs="Times New Roman"/>
          <w:color w:val="000000"/>
          <w:lang w:eastAsia="es-SV"/>
        </w:rPr>
        <w:t xml:space="preserve"> absorbidas</w:t>
      </w:r>
      <w:proofErr w:type="gramEnd"/>
      <w:r w:rsidRPr="00CB4A24">
        <w:rPr>
          <w:rFonts w:eastAsia="Times New Roman" w:cs="Times New Roman"/>
          <w:color w:val="000000"/>
          <w:lang w:eastAsia="es-SV"/>
        </w:rPr>
        <w:t>.</w:t>
      </w:r>
    </w:p>
    <w:p w:rsidR="00AE4552" w:rsidRPr="00CB4A24" w:rsidRDefault="00AE4552" w:rsidP="00AE4552">
      <w:pPr>
        <w:pStyle w:val="Prrafodelista"/>
        <w:rPr>
          <w:rFonts w:eastAsia="Times New Roman" w:cs="Times New Roman"/>
          <w:color w:val="000000"/>
          <w:lang w:eastAsia="es-SV"/>
        </w:rPr>
      </w:pPr>
    </w:p>
    <w:p w:rsidR="00E31C61" w:rsidRPr="00CB4A24" w:rsidRDefault="00E31C61" w:rsidP="00E31C61">
      <w:pPr>
        <w:pStyle w:val="Prrafodelista"/>
        <w:numPr>
          <w:ilvl w:val="0"/>
          <w:numId w:val="29"/>
        </w:numPr>
        <w:spacing w:after="0" w:line="240" w:lineRule="auto"/>
        <w:ind w:left="357" w:hanging="357"/>
        <w:jc w:val="both"/>
        <w:rPr>
          <w:rFonts w:eastAsia="Times New Roman" w:cs="Times New Roman"/>
          <w:color w:val="000000"/>
          <w:lang w:eastAsia="es-SV"/>
        </w:rPr>
      </w:pPr>
      <w:r w:rsidRPr="00CB4A24">
        <w:rPr>
          <w:rFonts w:eastAsia="Times New Roman" w:cs="Times New Roman"/>
          <w:color w:val="000000"/>
          <w:lang w:eastAsia="es-SV"/>
        </w:rPr>
        <w:t>Fondo patrimonial proyectado de la sociedad absorbente consolidado con las sociedades</w:t>
      </w:r>
      <w:r w:rsidRPr="00CB4A24">
        <w:rPr>
          <w:rFonts w:eastAsia="Times New Roman" w:cs="Times New Roman"/>
          <w:color w:val="FF0000"/>
          <w:lang w:eastAsia="es-SV"/>
        </w:rPr>
        <w:t xml:space="preserve"> </w:t>
      </w:r>
      <w:r w:rsidRPr="00CB4A24">
        <w:rPr>
          <w:rFonts w:eastAsia="Times New Roman" w:cs="Times New Roman"/>
          <w:color w:val="000000"/>
          <w:lang w:eastAsia="es-SV"/>
        </w:rPr>
        <w:t>absorbidas.</w:t>
      </w:r>
    </w:p>
    <w:p w:rsidR="00AE4552" w:rsidRPr="00CB4A24" w:rsidRDefault="00AE4552" w:rsidP="00AE4552">
      <w:pPr>
        <w:pStyle w:val="Prrafodelista"/>
        <w:rPr>
          <w:rFonts w:eastAsia="Times New Roman" w:cs="Times New Roman"/>
          <w:color w:val="000000"/>
          <w:lang w:eastAsia="es-SV"/>
        </w:rPr>
      </w:pPr>
    </w:p>
    <w:p w:rsidR="00E31C61" w:rsidRPr="00CB4A24" w:rsidRDefault="00E31C61" w:rsidP="00E31C61">
      <w:pPr>
        <w:pStyle w:val="Prrafodelista"/>
        <w:numPr>
          <w:ilvl w:val="0"/>
          <w:numId w:val="29"/>
        </w:numPr>
        <w:spacing w:after="0" w:line="240" w:lineRule="auto"/>
        <w:ind w:left="357" w:hanging="357"/>
        <w:jc w:val="both"/>
        <w:rPr>
          <w:rFonts w:eastAsia="Times New Roman" w:cs="Times New Roman"/>
          <w:color w:val="000000"/>
          <w:lang w:eastAsia="es-SV"/>
        </w:rPr>
      </w:pPr>
      <w:r w:rsidRPr="00CB4A24">
        <w:rPr>
          <w:rFonts w:eastAsia="Times New Roman" w:cs="Times New Roman"/>
          <w:color w:val="000000"/>
          <w:lang w:eastAsia="es-SV"/>
        </w:rPr>
        <w:t>Documentación en la cual se establezca no objeción de la Casa Matriz para llevar a cabo la fusión,  en los casos que aplique.</w:t>
      </w:r>
    </w:p>
    <w:p w:rsidR="00AE4552" w:rsidRPr="00CB4A24" w:rsidRDefault="00AE4552" w:rsidP="00AE4552">
      <w:pPr>
        <w:pStyle w:val="Prrafodelista"/>
        <w:rPr>
          <w:rFonts w:eastAsia="Times New Roman" w:cs="Times New Roman"/>
          <w:color w:val="000000"/>
          <w:lang w:eastAsia="es-SV"/>
        </w:rPr>
      </w:pPr>
    </w:p>
    <w:p w:rsidR="00E31C61" w:rsidRPr="00CB4A24" w:rsidRDefault="00E31C61" w:rsidP="00E31C61">
      <w:pPr>
        <w:pStyle w:val="Prrafodelista"/>
        <w:numPr>
          <w:ilvl w:val="0"/>
          <w:numId w:val="29"/>
        </w:numPr>
        <w:spacing w:after="0" w:line="240" w:lineRule="auto"/>
        <w:ind w:left="357" w:hanging="357"/>
        <w:jc w:val="both"/>
        <w:rPr>
          <w:rFonts w:eastAsia="Times New Roman" w:cs="Times New Roman"/>
          <w:color w:val="000000"/>
          <w:lang w:eastAsia="es-SV"/>
        </w:rPr>
      </w:pPr>
      <w:r w:rsidRPr="00CB4A24">
        <w:rPr>
          <w:rFonts w:eastAsia="Times New Roman" w:cs="Times New Roman"/>
          <w:color w:val="000000"/>
          <w:lang w:eastAsia="es-SV"/>
        </w:rPr>
        <w:t>Certificaciones emitidas por los Auditores Externos de las sociedades involucradas referentes a que el capital social se encuentra totalmente suscrito y pagado.</w:t>
      </w:r>
    </w:p>
    <w:p w:rsidR="00E31C61" w:rsidRPr="00CB4A24" w:rsidRDefault="00E31C61" w:rsidP="00E31C61">
      <w:pPr>
        <w:spacing w:after="0" w:line="240" w:lineRule="auto"/>
        <w:rPr>
          <w:rFonts w:eastAsia="Times New Roman" w:cs="Times New Roman"/>
          <w:color w:val="000000"/>
          <w:lang w:eastAsia="es-SV"/>
        </w:rPr>
      </w:pPr>
      <w:r w:rsidRPr="00CB4A24">
        <w:rPr>
          <w:rFonts w:eastAsia="Times New Roman" w:cs="Times New Roman"/>
          <w:color w:val="000000"/>
          <w:lang w:eastAsia="es-SV"/>
        </w:rPr>
        <w:t>12. Detalle de los integrantes de la Comisión Liquidadora de la entidad que es absorbida o de las que se disuelven para constituir una nueva.</w:t>
      </w:r>
    </w:p>
    <w:p w:rsidR="00E31C61" w:rsidRPr="00CB4A24" w:rsidRDefault="00E31C61" w:rsidP="00E31C61">
      <w:pPr>
        <w:spacing w:after="0" w:line="240" w:lineRule="auto"/>
        <w:rPr>
          <w:rFonts w:eastAsia="Times New Roman" w:cs="Times New Roman"/>
          <w:color w:val="000000"/>
          <w:lang w:eastAsia="es-SV"/>
        </w:rPr>
      </w:pPr>
      <w:r w:rsidRPr="00CB4A24">
        <w:rPr>
          <w:rFonts w:eastAsia="Times New Roman" w:cs="Times New Roman"/>
          <w:color w:val="000000"/>
          <w:lang w:eastAsia="es-SV"/>
        </w:rPr>
        <w:t>13. Publicación de la Comisión Liquidadora en el Diario Oficial y en un periódico de circulación nacional, en el que se haga saber el estado de la disolución de la entidad mencionada en el numeral anterior, y se inste a los acreedores para que se presenten ante la comisión a verificar el monto de los créditos dentro de los quince días siguientes a la última publicación.</w:t>
      </w:r>
    </w:p>
    <w:p w:rsidR="00E31C61" w:rsidRPr="00CB4A24" w:rsidRDefault="00E31C61" w:rsidP="00E31C61">
      <w:pPr>
        <w:spacing w:after="0" w:line="240" w:lineRule="auto"/>
        <w:rPr>
          <w:rFonts w:eastAsia="Times New Roman" w:cs="Times New Roman"/>
          <w:color w:val="000000"/>
          <w:lang w:eastAsia="es-SV"/>
        </w:rPr>
      </w:pPr>
      <w:r w:rsidRPr="00CB4A24">
        <w:rPr>
          <w:rFonts w:eastAsia="Times New Roman" w:cs="Times New Roman"/>
          <w:color w:val="000000"/>
          <w:lang w:eastAsia="es-SV"/>
        </w:rPr>
        <w:t>14. Constancia del Órgano Judicial de la Corte Suprema de Justicia, Juzgado de lo Civil, Juzgado de lo Laboral y Juzgado de lo Mercantil, en las que conste que en el período comprendido de publicación no se encontró ningún registro de demanda presentada de oposición a la fusión.</w:t>
      </w:r>
    </w:p>
    <w:p w:rsidR="00E31C61" w:rsidRPr="00CB4A24" w:rsidRDefault="00E31C61" w:rsidP="00E31C61">
      <w:pPr>
        <w:spacing w:after="0" w:line="240" w:lineRule="auto"/>
        <w:rPr>
          <w:rFonts w:eastAsia="Times New Roman" w:cs="Times New Roman"/>
          <w:color w:val="000000"/>
          <w:lang w:eastAsia="es-SV"/>
        </w:rPr>
      </w:pPr>
      <w:r w:rsidRPr="00CB4A24">
        <w:rPr>
          <w:rFonts w:eastAsia="Times New Roman" w:cs="Times New Roman"/>
          <w:color w:val="000000"/>
          <w:lang w:eastAsia="es-SV"/>
        </w:rPr>
        <w:t>15. Requerimientos tecnológicos:</w:t>
      </w:r>
    </w:p>
    <w:p w:rsidR="00E31C61" w:rsidRPr="00CB4A24" w:rsidRDefault="00E31C61" w:rsidP="00E31C61">
      <w:pPr>
        <w:spacing w:after="0" w:line="240" w:lineRule="auto"/>
        <w:rPr>
          <w:rFonts w:eastAsia="Times New Roman" w:cs="Times New Roman"/>
          <w:color w:val="000000"/>
          <w:lang w:eastAsia="es-SV"/>
        </w:rPr>
      </w:pPr>
    </w:p>
    <w:p w:rsidR="00E31C61" w:rsidRPr="00CB4A24" w:rsidRDefault="00E31C61" w:rsidP="00E31C61">
      <w:pPr>
        <w:spacing w:after="0" w:line="240" w:lineRule="auto"/>
        <w:rPr>
          <w:rFonts w:eastAsia="Times New Roman" w:cs="Times New Roman"/>
          <w:color w:val="000000"/>
          <w:lang w:eastAsia="es-SV"/>
        </w:rPr>
      </w:pPr>
      <w:r w:rsidRPr="00CB4A24">
        <w:rPr>
          <w:rFonts w:eastAsia="Times New Roman" w:cs="Times New Roman"/>
          <w:color w:val="000000"/>
          <w:lang w:eastAsia="es-SV"/>
        </w:rPr>
        <w:t>15.1. Proceso de fusión a nivel tecnológico y validación del funcionamiento del mismo.</w:t>
      </w:r>
      <w:r w:rsidRPr="00CB4A24">
        <w:rPr>
          <w:rFonts w:eastAsia="Times New Roman" w:cs="Times New Roman"/>
          <w:color w:val="000000"/>
          <w:lang w:eastAsia="es-SV"/>
        </w:rPr>
        <w:br/>
        <w:t>15.2. Descripción de la nueva área de tecnología de información que como mínimo incluya: organigrama del área, plan estratégico, cronograma del proyecto de fusión, herramientas de seguridad, ubicación física del centro de datos y sitio alterno.</w:t>
      </w:r>
      <w:r w:rsidRPr="00CB4A24">
        <w:rPr>
          <w:rFonts w:eastAsia="Times New Roman" w:cs="Times New Roman"/>
          <w:color w:val="000000"/>
          <w:lang w:eastAsia="es-SV"/>
        </w:rPr>
        <w:br/>
        <w:t xml:space="preserve">15.3. Descripción de todos los servicios informáticos implementados incluyendo para los </w:t>
      </w:r>
      <w:proofErr w:type="spellStart"/>
      <w:r w:rsidRPr="00CB4A24">
        <w:rPr>
          <w:rFonts w:eastAsia="Times New Roman" w:cs="Times New Roman"/>
          <w:color w:val="000000"/>
          <w:lang w:eastAsia="es-SV"/>
        </w:rPr>
        <w:t>tercerizados</w:t>
      </w:r>
      <w:proofErr w:type="spellEnd"/>
      <w:r w:rsidRPr="00CB4A24">
        <w:rPr>
          <w:rFonts w:eastAsia="Times New Roman" w:cs="Times New Roman"/>
          <w:color w:val="000000"/>
          <w:lang w:eastAsia="es-SV"/>
        </w:rPr>
        <w:t>, la información del proveedor.</w:t>
      </w:r>
      <w:r w:rsidRPr="00CB4A24">
        <w:rPr>
          <w:rFonts w:eastAsia="Times New Roman" w:cs="Times New Roman"/>
          <w:color w:val="000000"/>
          <w:lang w:eastAsia="es-SV"/>
        </w:rPr>
        <w:br/>
        <w:t>15.4. Plan de contingencia:</w:t>
      </w:r>
      <w:r w:rsidRPr="00CB4A24">
        <w:rPr>
          <w:rFonts w:eastAsia="Times New Roman" w:cs="Times New Roman"/>
          <w:color w:val="000000"/>
          <w:lang w:eastAsia="es-SV"/>
        </w:rPr>
        <w:br/>
      </w:r>
      <w:r w:rsidRPr="00CB4A24">
        <w:rPr>
          <w:rFonts w:eastAsia="Times New Roman" w:cs="Times New Roman"/>
          <w:color w:val="000000"/>
          <w:lang w:eastAsia="es-SV"/>
        </w:rPr>
        <w:br/>
        <w:t>a. Análisis de Impacto en el Negocio (BIA).</w:t>
      </w:r>
      <w:r w:rsidRPr="00CB4A24">
        <w:rPr>
          <w:rFonts w:eastAsia="Times New Roman" w:cs="Times New Roman"/>
          <w:color w:val="000000"/>
          <w:lang w:eastAsia="es-SV"/>
        </w:rPr>
        <w:br/>
        <w:t>b. Plan de continuidad del Negocio (BCP).</w:t>
      </w:r>
      <w:r w:rsidRPr="00CB4A24">
        <w:rPr>
          <w:rFonts w:eastAsia="Times New Roman" w:cs="Times New Roman"/>
          <w:color w:val="000000"/>
          <w:lang w:eastAsia="es-SV"/>
        </w:rPr>
        <w:br/>
        <w:t>c. Plan de recuperación ante Desastres (DRP).</w:t>
      </w:r>
      <w:r w:rsidRPr="00CB4A24">
        <w:rPr>
          <w:rFonts w:eastAsia="Times New Roman" w:cs="Times New Roman"/>
          <w:color w:val="000000"/>
          <w:lang w:eastAsia="es-SV"/>
        </w:rPr>
        <w:br/>
      </w:r>
      <w:r w:rsidRPr="00CB4A24">
        <w:rPr>
          <w:rFonts w:eastAsia="Times New Roman" w:cs="Times New Roman"/>
          <w:color w:val="000000"/>
          <w:lang w:eastAsia="es-SV"/>
        </w:rPr>
        <w:br/>
        <w:t>15.5. Inventario de aplicaciones que se mantendrán en producción, en donde se incluya descripción y características.</w:t>
      </w:r>
      <w:r w:rsidRPr="00CB4A24">
        <w:rPr>
          <w:rFonts w:eastAsia="Times New Roman" w:cs="Times New Roman"/>
          <w:color w:val="000000"/>
          <w:lang w:eastAsia="es-SV"/>
        </w:rPr>
        <w:br/>
        <w:t>15.6. Plan de migración de datos.</w:t>
      </w:r>
      <w:r w:rsidRPr="00CB4A24">
        <w:rPr>
          <w:rFonts w:eastAsia="Times New Roman" w:cs="Times New Roman"/>
          <w:color w:val="000000"/>
          <w:lang w:eastAsia="es-SV"/>
        </w:rPr>
        <w:br/>
        <w:t>15.7. Diagramas de comunicaciones (en el que se pueda visualizar como está conformada la infraestructura de red de las entidades), que incluya los enlaces o conexiones hacia entidades externas, así como si los equipos son servidores físicos y virtuales.</w:t>
      </w:r>
      <w:r w:rsidRPr="00CB4A24">
        <w:rPr>
          <w:rFonts w:eastAsia="Times New Roman" w:cs="Times New Roman"/>
          <w:color w:val="000000"/>
          <w:lang w:eastAsia="es-SV"/>
        </w:rPr>
        <w:br/>
        <w:t>15.8. Análisis de riesgos y el sistema de gestión de seguridad de la información implementado o por implementar, que incluya como mínimo la Política de Seguridad Informática.</w:t>
      </w:r>
      <w:r w:rsidRPr="00CB4A24">
        <w:rPr>
          <w:rFonts w:eastAsia="Times New Roman" w:cs="Times New Roman"/>
          <w:color w:val="000000"/>
          <w:lang w:eastAsia="es-SV"/>
        </w:rPr>
        <w:br/>
        <w:t>15.9. Manuales y Políticas de gestión de riesgos: crédito, operacional, mercado y liquidez, LA-FT.</w:t>
      </w:r>
      <w:r w:rsidRPr="00CB4A24">
        <w:rPr>
          <w:rFonts w:eastAsia="Times New Roman" w:cs="Times New Roman"/>
          <w:color w:val="000000"/>
          <w:lang w:eastAsia="es-SV"/>
        </w:rPr>
        <w:br/>
        <w:t>15.10. Documentación de las pruebas de TI efectuadas en el proceso de fusión, así como las actas o certificación de usuario y los informes de revisión por parte de auditoría interna.</w:t>
      </w:r>
    </w:p>
    <w:p w:rsidR="00E31C61" w:rsidRPr="00CB4A24" w:rsidRDefault="00E31C61" w:rsidP="00E31C61">
      <w:pPr>
        <w:spacing w:after="0" w:line="240" w:lineRule="auto"/>
        <w:rPr>
          <w:rFonts w:eastAsia="Times New Roman" w:cs="Times New Roman"/>
          <w:color w:val="000000"/>
          <w:lang w:eastAsia="es-SV"/>
        </w:rPr>
      </w:pPr>
      <w:r w:rsidRPr="00CB4A24">
        <w:rPr>
          <w:rFonts w:eastAsia="Times New Roman" w:cs="Times New Roman"/>
          <w:color w:val="000000"/>
          <w:lang w:eastAsia="es-SV"/>
        </w:rPr>
        <w:t>16. Requerimientos para prevención de lavado de dinero y financiamiento del terrorismo (LA/FT):</w:t>
      </w:r>
    </w:p>
    <w:p w:rsidR="00E31C61" w:rsidRPr="00CB4A24" w:rsidRDefault="00E31C61" w:rsidP="00E31C61">
      <w:pPr>
        <w:spacing w:after="0" w:line="240" w:lineRule="auto"/>
        <w:rPr>
          <w:rFonts w:eastAsia="Times New Roman" w:cs="Times New Roman"/>
          <w:color w:val="000000"/>
          <w:lang w:eastAsia="es-SV"/>
        </w:rPr>
      </w:pPr>
    </w:p>
    <w:p w:rsidR="00E31C61" w:rsidRPr="00CB4A24" w:rsidRDefault="00E31C61" w:rsidP="00E31C61">
      <w:pPr>
        <w:spacing w:after="0" w:line="240" w:lineRule="auto"/>
        <w:rPr>
          <w:rFonts w:eastAsia="Times New Roman" w:cs="Times New Roman"/>
          <w:color w:val="000000"/>
          <w:lang w:eastAsia="es-SV"/>
        </w:rPr>
      </w:pPr>
      <w:r w:rsidRPr="00CB4A24">
        <w:rPr>
          <w:rFonts w:eastAsia="Times New Roman" w:cs="Times New Roman"/>
          <w:color w:val="000000"/>
          <w:lang w:eastAsia="es-SV"/>
        </w:rPr>
        <w:lastRenderedPageBreak/>
        <w:t>16.1. Nombramiento del Oficial de Cumplimiento aprobado por junta Directiva.</w:t>
      </w:r>
      <w:r w:rsidRPr="00CB4A24">
        <w:rPr>
          <w:rFonts w:eastAsia="Times New Roman" w:cs="Times New Roman"/>
          <w:color w:val="000000"/>
          <w:lang w:eastAsia="es-SV"/>
        </w:rPr>
        <w:br/>
        <w:t>16.2. Manual de Prevención de LA/FT aprobado por Junta Directiva.</w:t>
      </w:r>
      <w:r w:rsidRPr="00CB4A24">
        <w:rPr>
          <w:rFonts w:eastAsia="Times New Roman" w:cs="Times New Roman"/>
          <w:color w:val="000000"/>
          <w:lang w:eastAsia="es-SV"/>
        </w:rPr>
        <w:br/>
        <w:t>16.3. Manual del Sistema de Monitoreo a utilizar.</w:t>
      </w:r>
      <w:r w:rsidRPr="00CB4A24">
        <w:rPr>
          <w:rFonts w:eastAsia="Times New Roman" w:cs="Times New Roman"/>
          <w:color w:val="000000"/>
          <w:lang w:eastAsia="es-SV"/>
        </w:rPr>
        <w:br/>
        <w:t xml:space="preserve">16.4. Detalle de las alertas </w:t>
      </w:r>
      <w:proofErr w:type="spellStart"/>
      <w:r w:rsidRPr="00CB4A24">
        <w:rPr>
          <w:rFonts w:eastAsia="Times New Roman" w:cs="Times New Roman"/>
          <w:color w:val="000000"/>
          <w:lang w:eastAsia="es-SV"/>
        </w:rPr>
        <w:t>parametrizadas</w:t>
      </w:r>
      <w:proofErr w:type="spellEnd"/>
      <w:r w:rsidRPr="00CB4A24">
        <w:rPr>
          <w:rFonts w:eastAsia="Times New Roman" w:cs="Times New Roman"/>
          <w:color w:val="000000"/>
          <w:lang w:eastAsia="es-SV"/>
        </w:rPr>
        <w:t xml:space="preserve"> en el Sistema de Monitoreo.</w:t>
      </w:r>
      <w:r w:rsidRPr="00CB4A24">
        <w:rPr>
          <w:rFonts w:eastAsia="Times New Roman" w:cs="Times New Roman"/>
          <w:color w:val="000000"/>
          <w:lang w:eastAsia="es-SV"/>
        </w:rPr>
        <w:br/>
        <w:t>16.5. Detalle de productos y servicios ofrecidos al público.</w:t>
      </w:r>
      <w:r w:rsidRPr="00CB4A24">
        <w:rPr>
          <w:rFonts w:eastAsia="Times New Roman" w:cs="Times New Roman"/>
          <w:color w:val="000000"/>
          <w:lang w:eastAsia="es-SV"/>
        </w:rPr>
        <w:br/>
        <w:t>16.6. Programa de capacitaciones en materia de LA/FT.</w:t>
      </w:r>
    </w:p>
    <w:p w:rsidR="002F20A8" w:rsidRPr="00CB4A24" w:rsidRDefault="002F20A8" w:rsidP="00E31C61">
      <w:pPr>
        <w:spacing w:after="0" w:line="240" w:lineRule="auto"/>
        <w:rPr>
          <w:rFonts w:eastAsia="Times New Roman" w:cs="Times New Roman"/>
          <w:color w:val="000000"/>
          <w:lang w:eastAsia="es-SV"/>
        </w:rPr>
      </w:pPr>
    </w:p>
    <w:p w:rsidR="00E31C61" w:rsidRPr="00CB4A24" w:rsidRDefault="00E31C61" w:rsidP="00E31C61">
      <w:pPr>
        <w:spacing w:after="0" w:line="240" w:lineRule="auto"/>
        <w:rPr>
          <w:rFonts w:eastAsia="Times New Roman" w:cs="Times New Roman"/>
          <w:color w:val="000000"/>
          <w:lang w:eastAsia="es-SV"/>
        </w:rPr>
      </w:pPr>
      <w:r w:rsidRPr="00CB4A24">
        <w:rPr>
          <w:rFonts w:eastAsia="Times New Roman" w:cs="Times New Roman"/>
          <w:color w:val="000000"/>
          <w:lang w:eastAsia="es-SV"/>
        </w:rPr>
        <w:t>17. Detalle del número de agencias y/o establecimientos, cajeros automáticos y número de empleados  de las entidades antes y después de la fusión.</w:t>
      </w:r>
    </w:p>
    <w:p w:rsidR="002F20A8" w:rsidRPr="00CB4A24" w:rsidRDefault="002F20A8" w:rsidP="00E31C61">
      <w:pPr>
        <w:spacing w:after="0" w:line="240" w:lineRule="auto"/>
        <w:rPr>
          <w:rFonts w:eastAsia="Times New Roman" w:cs="Times New Roman"/>
          <w:color w:val="000000"/>
          <w:lang w:eastAsia="es-SV"/>
        </w:rPr>
      </w:pPr>
    </w:p>
    <w:p w:rsidR="0038622E" w:rsidRPr="00CB4A24" w:rsidRDefault="00E31C61" w:rsidP="002F20A8">
      <w:pPr>
        <w:spacing w:after="0" w:line="240" w:lineRule="auto"/>
        <w:rPr>
          <w:rFonts w:eastAsia="Times New Roman" w:cs="Times New Roman"/>
          <w:color w:val="000000"/>
          <w:lang w:eastAsia="es-SV"/>
        </w:rPr>
      </w:pPr>
      <w:r w:rsidRPr="00CB4A24">
        <w:rPr>
          <w:rFonts w:eastAsia="Times New Roman" w:cs="Times New Roman"/>
          <w:color w:val="000000"/>
          <w:lang w:eastAsia="es-SV"/>
        </w:rPr>
        <w:t>18. Detallar el proceso de cambio de imagen y sustitución de papelería si es procedente.</w:t>
      </w:r>
    </w:p>
    <w:sectPr w:rsidR="0038622E" w:rsidRPr="00CB4A24" w:rsidSect="00BB082E">
      <w:headerReference w:type="default" r:id="rId8"/>
      <w:footerReference w:type="default" r:id="rId9"/>
      <w:pgSz w:w="11906" w:h="16838"/>
      <w:pgMar w:top="1673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68C2" w:rsidRDefault="00AC68C2" w:rsidP="00BB082E">
      <w:pPr>
        <w:spacing w:after="0" w:line="240" w:lineRule="auto"/>
      </w:pPr>
      <w:r>
        <w:separator/>
      </w:r>
    </w:p>
  </w:endnote>
  <w:endnote w:type="continuationSeparator" w:id="0">
    <w:p w:rsidR="00AC68C2" w:rsidRDefault="00AC68C2" w:rsidP="00BB08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77918"/>
      <w:docPartObj>
        <w:docPartGallery w:val="Page Numbers (Bottom of Page)"/>
        <w:docPartUnique/>
      </w:docPartObj>
    </w:sdtPr>
    <w:sdtContent>
      <w:p w:rsidR="00F519F3" w:rsidRDefault="00651122" w:rsidP="00555371">
        <w:pPr>
          <w:pStyle w:val="Piedepgina"/>
          <w:jc w:val="right"/>
        </w:pPr>
        <w:fldSimple w:instr=" PAGE   \* MERGEFORMAT ">
          <w:r w:rsidR="00CB4A24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68C2" w:rsidRDefault="00AC68C2" w:rsidP="00BB082E">
      <w:pPr>
        <w:spacing w:after="0" w:line="240" w:lineRule="auto"/>
      </w:pPr>
      <w:r>
        <w:separator/>
      </w:r>
    </w:p>
  </w:footnote>
  <w:footnote w:type="continuationSeparator" w:id="0">
    <w:p w:rsidR="00AC68C2" w:rsidRDefault="00AC68C2" w:rsidP="00BB082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460" w:rsidRDefault="000E2460">
    <w:pPr>
      <w:pStyle w:val="Encabezado"/>
    </w:pPr>
    <w:r w:rsidRPr="000E2460">
      <w:rPr>
        <w:noProof/>
        <w:lang w:val="es-SV" w:eastAsia="es-SV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-377344</wp:posOffset>
          </wp:positionH>
          <wp:positionV relativeFrom="paragraph">
            <wp:posOffset>-70639</wp:posOffset>
          </wp:positionV>
          <wp:extent cx="3103090" cy="667264"/>
          <wp:effectExtent l="19050" t="0" r="0" b="0"/>
          <wp:wrapNone/>
          <wp:docPr id="2" name="Imagen 1" descr="C:\Users\YAVR\Pictures\Nueva imag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YAVR\Pictures\Nueva imagen.pn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106536" cy="665018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BD2C61"/>
    <w:multiLevelType w:val="multilevel"/>
    <w:tmpl w:val="41328DF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03951E97"/>
    <w:multiLevelType w:val="multilevel"/>
    <w:tmpl w:val="69844AF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">
    <w:nsid w:val="0B486F85"/>
    <w:multiLevelType w:val="multilevel"/>
    <w:tmpl w:val="AE56990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3">
    <w:nsid w:val="0CFB3392"/>
    <w:multiLevelType w:val="hybridMultilevel"/>
    <w:tmpl w:val="B83C5104"/>
    <w:lvl w:ilvl="0" w:tplc="44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F5B53B7"/>
    <w:multiLevelType w:val="multilevel"/>
    <w:tmpl w:val="9368701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>
    <w:nsid w:val="16712FCA"/>
    <w:multiLevelType w:val="multilevel"/>
    <w:tmpl w:val="0E368CC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6">
    <w:nsid w:val="1A974EE5"/>
    <w:multiLevelType w:val="multilevel"/>
    <w:tmpl w:val="2A26439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7">
    <w:nsid w:val="1B73539B"/>
    <w:multiLevelType w:val="hybridMultilevel"/>
    <w:tmpl w:val="B83C5104"/>
    <w:lvl w:ilvl="0" w:tplc="44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1DEC1063"/>
    <w:multiLevelType w:val="hybridMultilevel"/>
    <w:tmpl w:val="78A82E3C"/>
    <w:lvl w:ilvl="0" w:tplc="68224F44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0C5550B"/>
    <w:multiLevelType w:val="hybridMultilevel"/>
    <w:tmpl w:val="C0A29642"/>
    <w:lvl w:ilvl="0" w:tplc="440A0019">
      <w:start w:val="1"/>
      <w:numFmt w:val="lowerLetter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22DE64E4"/>
    <w:multiLevelType w:val="hybridMultilevel"/>
    <w:tmpl w:val="82AA4F20"/>
    <w:lvl w:ilvl="0" w:tplc="4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4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4A63487"/>
    <w:multiLevelType w:val="multilevel"/>
    <w:tmpl w:val="CFBA91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2">
    <w:nsid w:val="282971B9"/>
    <w:multiLevelType w:val="singleLevel"/>
    <w:tmpl w:val="BF082226"/>
    <w:lvl w:ilvl="0">
      <w:start w:val="4"/>
      <w:numFmt w:val="lowerLetter"/>
      <w:lvlText w:val="%1)"/>
      <w:lvlJc w:val="left"/>
      <w:pPr>
        <w:tabs>
          <w:tab w:val="num" w:pos="709"/>
        </w:tabs>
        <w:ind w:left="709" w:hanging="705"/>
      </w:pPr>
      <w:rPr>
        <w:rFonts w:hint="default"/>
      </w:rPr>
    </w:lvl>
  </w:abstractNum>
  <w:abstractNum w:abstractNumId="13">
    <w:nsid w:val="33046E8D"/>
    <w:multiLevelType w:val="multilevel"/>
    <w:tmpl w:val="41328DF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4">
    <w:nsid w:val="3D5406A0"/>
    <w:multiLevelType w:val="hybridMultilevel"/>
    <w:tmpl w:val="EFC644EC"/>
    <w:lvl w:ilvl="0" w:tplc="440A000F">
      <w:start w:val="1"/>
      <w:numFmt w:val="decimal"/>
      <w:lvlText w:val="%1."/>
      <w:lvlJc w:val="left"/>
      <w:pPr>
        <w:ind w:left="360" w:hanging="360"/>
      </w:pPr>
    </w:lvl>
    <w:lvl w:ilvl="1" w:tplc="44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4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44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4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4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4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DFE6B91"/>
    <w:multiLevelType w:val="multilevel"/>
    <w:tmpl w:val="C366A61E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16">
    <w:nsid w:val="45B865D7"/>
    <w:multiLevelType w:val="hybridMultilevel"/>
    <w:tmpl w:val="A2FC37F8"/>
    <w:lvl w:ilvl="0" w:tplc="D268A03C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7971FED"/>
    <w:multiLevelType w:val="hybridMultilevel"/>
    <w:tmpl w:val="AE242304"/>
    <w:lvl w:ilvl="0" w:tplc="440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95C0ECB"/>
    <w:multiLevelType w:val="hybridMultilevel"/>
    <w:tmpl w:val="60BA4802"/>
    <w:lvl w:ilvl="0" w:tplc="440A000F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788" w:hanging="360"/>
      </w:pPr>
    </w:lvl>
    <w:lvl w:ilvl="2" w:tplc="440A001B" w:tentative="1">
      <w:start w:val="1"/>
      <w:numFmt w:val="lowerRoman"/>
      <w:lvlText w:val="%3."/>
      <w:lvlJc w:val="right"/>
      <w:pPr>
        <w:ind w:left="2508" w:hanging="180"/>
      </w:pPr>
    </w:lvl>
    <w:lvl w:ilvl="3" w:tplc="440A000F" w:tentative="1">
      <w:start w:val="1"/>
      <w:numFmt w:val="decimal"/>
      <w:lvlText w:val="%4."/>
      <w:lvlJc w:val="left"/>
      <w:pPr>
        <w:ind w:left="3228" w:hanging="360"/>
      </w:pPr>
    </w:lvl>
    <w:lvl w:ilvl="4" w:tplc="440A0019" w:tentative="1">
      <w:start w:val="1"/>
      <w:numFmt w:val="lowerLetter"/>
      <w:lvlText w:val="%5."/>
      <w:lvlJc w:val="left"/>
      <w:pPr>
        <w:ind w:left="3948" w:hanging="360"/>
      </w:pPr>
    </w:lvl>
    <w:lvl w:ilvl="5" w:tplc="440A001B" w:tentative="1">
      <w:start w:val="1"/>
      <w:numFmt w:val="lowerRoman"/>
      <w:lvlText w:val="%6."/>
      <w:lvlJc w:val="right"/>
      <w:pPr>
        <w:ind w:left="4668" w:hanging="180"/>
      </w:pPr>
    </w:lvl>
    <w:lvl w:ilvl="6" w:tplc="440A000F" w:tentative="1">
      <w:start w:val="1"/>
      <w:numFmt w:val="decimal"/>
      <w:lvlText w:val="%7."/>
      <w:lvlJc w:val="left"/>
      <w:pPr>
        <w:ind w:left="5388" w:hanging="360"/>
      </w:pPr>
    </w:lvl>
    <w:lvl w:ilvl="7" w:tplc="440A0019" w:tentative="1">
      <w:start w:val="1"/>
      <w:numFmt w:val="lowerLetter"/>
      <w:lvlText w:val="%8."/>
      <w:lvlJc w:val="left"/>
      <w:pPr>
        <w:ind w:left="6108" w:hanging="360"/>
      </w:pPr>
    </w:lvl>
    <w:lvl w:ilvl="8" w:tplc="44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>
    <w:nsid w:val="4A6A7F37"/>
    <w:multiLevelType w:val="hybridMultilevel"/>
    <w:tmpl w:val="AA40C600"/>
    <w:lvl w:ilvl="0" w:tplc="5E36C756">
      <w:start w:val="7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FF0EE0"/>
    <w:multiLevelType w:val="singleLevel"/>
    <w:tmpl w:val="0E5C2A14"/>
    <w:lvl w:ilvl="0">
      <w:start w:val="3"/>
      <w:numFmt w:val="lowerLetter"/>
      <w:lvlText w:val="%1)"/>
      <w:lvlJc w:val="left"/>
      <w:pPr>
        <w:tabs>
          <w:tab w:val="num" w:pos="720"/>
        </w:tabs>
        <w:ind w:left="720" w:hanging="720"/>
      </w:pPr>
    </w:lvl>
  </w:abstractNum>
  <w:abstractNum w:abstractNumId="21">
    <w:nsid w:val="54DE1330"/>
    <w:multiLevelType w:val="multilevel"/>
    <w:tmpl w:val="41328DF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2">
    <w:nsid w:val="5FF86AD8"/>
    <w:multiLevelType w:val="multilevel"/>
    <w:tmpl w:val="5ADE529E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3">
    <w:nsid w:val="606127CF"/>
    <w:multiLevelType w:val="hybridMultilevel"/>
    <w:tmpl w:val="B32ACAEA"/>
    <w:lvl w:ilvl="0" w:tplc="440A0019">
      <w:start w:val="1"/>
      <w:numFmt w:val="lowerLetter"/>
      <w:lvlText w:val="%1."/>
      <w:lvlJc w:val="left"/>
      <w:pPr>
        <w:ind w:left="1498" w:hanging="360"/>
      </w:pPr>
    </w:lvl>
    <w:lvl w:ilvl="1" w:tplc="440A0019" w:tentative="1">
      <w:start w:val="1"/>
      <w:numFmt w:val="lowerLetter"/>
      <w:lvlText w:val="%2."/>
      <w:lvlJc w:val="left"/>
      <w:pPr>
        <w:ind w:left="2218" w:hanging="360"/>
      </w:pPr>
    </w:lvl>
    <w:lvl w:ilvl="2" w:tplc="440A001B" w:tentative="1">
      <w:start w:val="1"/>
      <w:numFmt w:val="lowerRoman"/>
      <w:lvlText w:val="%3."/>
      <w:lvlJc w:val="right"/>
      <w:pPr>
        <w:ind w:left="2938" w:hanging="180"/>
      </w:pPr>
    </w:lvl>
    <w:lvl w:ilvl="3" w:tplc="440A000F" w:tentative="1">
      <w:start w:val="1"/>
      <w:numFmt w:val="decimal"/>
      <w:lvlText w:val="%4."/>
      <w:lvlJc w:val="left"/>
      <w:pPr>
        <w:ind w:left="3658" w:hanging="360"/>
      </w:pPr>
    </w:lvl>
    <w:lvl w:ilvl="4" w:tplc="440A0019" w:tentative="1">
      <w:start w:val="1"/>
      <w:numFmt w:val="lowerLetter"/>
      <w:lvlText w:val="%5."/>
      <w:lvlJc w:val="left"/>
      <w:pPr>
        <w:ind w:left="4378" w:hanging="360"/>
      </w:pPr>
    </w:lvl>
    <w:lvl w:ilvl="5" w:tplc="440A001B" w:tentative="1">
      <w:start w:val="1"/>
      <w:numFmt w:val="lowerRoman"/>
      <w:lvlText w:val="%6."/>
      <w:lvlJc w:val="right"/>
      <w:pPr>
        <w:ind w:left="5098" w:hanging="180"/>
      </w:pPr>
    </w:lvl>
    <w:lvl w:ilvl="6" w:tplc="440A000F" w:tentative="1">
      <w:start w:val="1"/>
      <w:numFmt w:val="decimal"/>
      <w:lvlText w:val="%7."/>
      <w:lvlJc w:val="left"/>
      <w:pPr>
        <w:ind w:left="5818" w:hanging="360"/>
      </w:pPr>
    </w:lvl>
    <w:lvl w:ilvl="7" w:tplc="440A0019" w:tentative="1">
      <w:start w:val="1"/>
      <w:numFmt w:val="lowerLetter"/>
      <w:lvlText w:val="%8."/>
      <w:lvlJc w:val="left"/>
      <w:pPr>
        <w:ind w:left="6538" w:hanging="360"/>
      </w:pPr>
    </w:lvl>
    <w:lvl w:ilvl="8" w:tplc="440A001B" w:tentative="1">
      <w:start w:val="1"/>
      <w:numFmt w:val="lowerRoman"/>
      <w:lvlText w:val="%9."/>
      <w:lvlJc w:val="right"/>
      <w:pPr>
        <w:ind w:left="7258" w:hanging="180"/>
      </w:pPr>
    </w:lvl>
  </w:abstractNum>
  <w:abstractNum w:abstractNumId="24">
    <w:nsid w:val="69617F64"/>
    <w:multiLevelType w:val="singleLevel"/>
    <w:tmpl w:val="F49E096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720"/>
      </w:pPr>
    </w:lvl>
  </w:abstractNum>
  <w:abstractNum w:abstractNumId="25">
    <w:nsid w:val="73BA080C"/>
    <w:multiLevelType w:val="hybridMultilevel"/>
    <w:tmpl w:val="AE5465F0"/>
    <w:lvl w:ilvl="0" w:tplc="440A0019">
      <w:start w:val="1"/>
      <w:numFmt w:val="lowerLetter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C5B14A1"/>
    <w:multiLevelType w:val="multilevel"/>
    <w:tmpl w:val="7E527C72"/>
    <w:styleLink w:val="Estilo1"/>
    <w:lvl w:ilvl="0">
      <w:start w:val="1"/>
      <w:numFmt w:val="decimal"/>
      <w:lvlText w:val="%1."/>
      <w:lvlJc w:val="left"/>
      <w:pPr>
        <w:ind w:left="1110" w:hanging="750"/>
      </w:pPr>
      <w:rPr>
        <w:rFonts w:hint="default"/>
        <w:color w:val="auto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E33451A"/>
    <w:multiLevelType w:val="multilevel"/>
    <w:tmpl w:val="63124248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320" w:hanging="1440"/>
      </w:pPr>
      <w:rPr>
        <w:rFonts w:hint="default"/>
      </w:rPr>
    </w:lvl>
  </w:abstractNum>
  <w:abstractNum w:abstractNumId="28">
    <w:nsid w:val="7ED3273C"/>
    <w:multiLevelType w:val="hybridMultilevel"/>
    <w:tmpl w:val="A5DA1470"/>
    <w:lvl w:ilvl="0" w:tplc="440A000F">
      <w:start w:val="1"/>
      <w:numFmt w:val="decimal"/>
      <w:lvlText w:val="%1."/>
      <w:lvlJc w:val="left"/>
      <w:pPr>
        <w:ind w:left="720" w:hanging="360"/>
      </w:pPr>
    </w:lvl>
    <w:lvl w:ilvl="1" w:tplc="440A0019" w:tentative="1">
      <w:start w:val="1"/>
      <w:numFmt w:val="lowerLetter"/>
      <w:lvlText w:val="%2."/>
      <w:lvlJc w:val="left"/>
      <w:pPr>
        <w:ind w:left="1440" w:hanging="360"/>
      </w:pPr>
    </w:lvl>
    <w:lvl w:ilvl="2" w:tplc="440A001B" w:tentative="1">
      <w:start w:val="1"/>
      <w:numFmt w:val="lowerRoman"/>
      <w:lvlText w:val="%3."/>
      <w:lvlJc w:val="right"/>
      <w:pPr>
        <w:ind w:left="2160" w:hanging="180"/>
      </w:pPr>
    </w:lvl>
    <w:lvl w:ilvl="3" w:tplc="440A000F" w:tentative="1">
      <w:start w:val="1"/>
      <w:numFmt w:val="decimal"/>
      <w:lvlText w:val="%4."/>
      <w:lvlJc w:val="left"/>
      <w:pPr>
        <w:ind w:left="2880" w:hanging="360"/>
      </w:pPr>
    </w:lvl>
    <w:lvl w:ilvl="4" w:tplc="440A0019" w:tentative="1">
      <w:start w:val="1"/>
      <w:numFmt w:val="lowerLetter"/>
      <w:lvlText w:val="%5."/>
      <w:lvlJc w:val="left"/>
      <w:pPr>
        <w:ind w:left="3600" w:hanging="360"/>
      </w:pPr>
    </w:lvl>
    <w:lvl w:ilvl="5" w:tplc="440A001B" w:tentative="1">
      <w:start w:val="1"/>
      <w:numFmt w:val="lowerRoman"/>
      <w:lvlText w:val="%6."/>
      <w:lvlJc w:val="right"/>
      <w:pPr>
        <w:ind w:left="4320" w:hanging="180"/>
      </w:pPr>
    </w:lvl>
    <w:lvl w:ilvl="6" w:tplc="440A000F" w:tentative="1">
      <w:start w:val="1"/>
      <w:numFmt w:val="decimal"/>
      <w:lvlText w:val="%7."/>
      <w:lvlJc w:val="left"/>
      <w:pPr>
        <w:ind w:left="5040" w:hanging="360"/>
      </w:pPr>
    </w:lvl>
    <w:lvl w:ilvl="7" w:tplc="440A0019" w:tentative="1">
      <w:start w:val="1"/>
      <w:numFmt w:val="lowerLetter"/>
      <w:lvlText w:val="%8."/>
      <w:lvlJc w:val="left"/>
      <w:pPr>
        <w:ind w:left="5760" w:hanging="360"/>
      </w:pPr>
    </w:lvl>
    <w:lvl w:ilvl="8" w:tplc="4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6"/>
  </w:num>
  <w:num w:numId="2">
    <w:abstractNumId w:val="14"/>
  </w:num>
  <w:num w:numId="3">
    <w:abstractNumId w:val="10"/>
  </w:num>
  <w:num w:numId="4">
    <w:abstractNumId w:val="21"/>
  </w:num>
  <w:num w:numId="5">
    <w:abstractNumId w:val="22"/>
  </w:num>
  <w:num w:numId="6">
    <w:abstractNumId w:val="4"/>
  </w:num>
  <w:num w:numId="7">
    <w:abstractNumId w:val="17"/>
  </w:num>
  <w:num w:numId="8">
    <w:abstractNumId w:val="28"/>
  </w:num>
  <w:num w:numId="9">
    <w:abstractNumId w:val="16"/>
  </w:num>
  <w:num w:numId="10">
    <w:abstractNumId w:val="23"/>
  </w:num>
  <w:num w:numId="11">
    <w:abstractNumId w:val="7"/>
  </w:num>
  <w:num w:numId="12">
    <w:abstractNumId w:val="19"/>
  </w:num>
  <w:num w:numId="13">
    <w:abstractNumId w:val="24"/>
  </w:num>
  <w:num w:numId="14">
    <w:abstractNumId w:val="20"/>
  </w:num>
  <w:num w:numId="15">
    <w:abstractNumId w:val="12"/>
  </w:num>
  <w:num w:numId="16">
    <w:abstractNumId w:val="8"/>
  </w:num>
  <w:num w:numId="17">
    <w:abstractNumId w:val="9"/>
  </w:num>
  <w:num w:numId="18">
    <w:abstractNumId w:val="18"/>
  </w:num>
  <w:num w:numId="19">
    <w:abstractNumId w:val="25"/>
  </w:num>
  <w:num w:numId="20">
    <w:abstractNumId w:val="3"/>
  </w:num>
  <w:num w:numId="21">
    <w:abstractNumId w:val="0"/>
  </w:num>
  <w:num w:numId="22">
    <w:abstractNumId w:val="13"/>
  </w:num>
  <w:num w:numId="23">
    <w:abstractNumId w:val="6"/>
  </w:num>
  <w:num w:numId="24">
    <w:abstractNumId w:val="27"/>
  </w:num>
  <w:num w:numId="25">
    <w:abstractNumId w:val="15"/>
  </w:num>
  <w:num w:numId="26">
    <w:abstractNumId w:val="2"/>
  </w:num>
  <w:num w:numId="27">
    <w:abstractNumId w:val="1"/>
  </w:num>
  <w:num w:numId="28">
    <w:abstractNumId w:val="5"/>
  </w:num>
  <w:num w:numId="29">
    <w:abstractNumId w:val="11"/>
  </w:num>
  <w:numIdMacAtCleanup w:val="1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hdrShapeDefaults>
    <o:shapedefaults v:ext="edit" spidmax="17410"/>
  </w:hdrShapeDefaults>
  <w:footnotePr>
    <w:footnote w:id="-1"/>
    <w:footnote w:id="0"/>
  </w:footnotePr>
  <w:endnotePr>
    <w:endnote w:id="-1"/>
    <w:endnote w:id="0"/>
  </w:endnotePr>
  <w:compat/>
  <w:rsids>
    <w:rsidRoot w:val="006E10E6"/>
    <w:rsid w:val="00001F79"/>
    <w:rsid w:val="000044E3"/>
    <w:rsid w:val="00011A64"/>
    <w:rsid w:val="00016F2E"/>
    <w:rsid w:val="0001786B"/>
    <w:rsid w:val="00020BBC"/>
    <w:rsid w:val="00024810"/>
    <w:rsid w:val="00027F74"/>
    <w:rsid w:val="00031824"/>
    <w:rsid w:val="00031AF7"/>
    <w:rsid w:val="00035652"/>
    <w:rsid w:val="00036DCA"/>
    <w:rsid w:val="000437C9"/>
    <w:rsid w:val="0005256E"/>
    <w:rsid w:val="0005646B"/>
    <w:rsid w:val="00067000"/>
    <w:rsid w:val="000724E5"/>
    <w:rsid w:val="000830FE"/>
    <w:rsid w:val="00085DE2"/>
    <w:rsid w:val="00094789"/>
    <w:rsid w:val="00095B89"/>
    <w:rsid w:val="000A4DD8"/>
    <w:rsid w:val="000B2ADA"/>
    <w:rsid w:val="000C0F71"/>
    <w:rsid w:val="000C172A"/>
    <w:rsid w:val="000D0938"/>
    <w:rsid w:val="000D1183"/>
    <w:rsid w:val="000E1F7E"/>
    <w:rsid w:val="000E2460"/>
    <w:rsid w:val="000E6763"/>
    <w:rsid w:val="000F1182"/>
    <w:rsid w:val="00100F5E"/>
    <w:rsid w:val="00101920"/>
    <w:rsid w:val="00116850"/>
    <w:rsid w:val="00125FEF"/>
    <w:rsid w:val="0013243B"/>
    <w:rsid w:val="00137226"/>
    <w:rsid w:val="00163375"/>
    <w:rsid w:val="001717D4"/>
    <w:rsid w:val="00174775"/>
    <w:rsid w:val="001858E5"/>
    <w:rsid w:val="001A182A"/>
    <w:rsid w:val="001A3130"/>
    <w:rsid w:val="001A3B7A"/>
    <w:rsid w:val="001A46DA"/>
    <w:rsid w:val="001A535F"/>
    <w:rsid w:val="001A5BA2"/>
    <w:rsid w:val="001B61CD"/>
    <w:rsid w:val="001B7237"/>
    <w:rsid w:val="001C7C11"/>
    <w:rsid w:val="001D3DE3"/>
    <w:rsid w:val="001D4351"/>
    <w:rsid w:val="001E50E9"/>
    <w:rsid w:val="001F18CD"/>
    <w:rsid w:val="00201674"/>
    <w:rsid w:val="002063B2"/>
    <w:rsid w:val="0021163E"/>
    <w:rsid w:val="002124D6"/>
    <w:rsid w:val="0022300C"/>
    <w:rsid w:val="00223E29"/>
    <w:rsid w:val="00240322"/>
    <w:rsid w:val="0024436B"/>
    <w:rsid w:val="002458E6"/>
    <w:rsid w:val="00246941"/>
    <w:rsid w:val="00271532"/>
    <w:rsid w:val="00282EF5"/>
    <w:rsid w:val="002960E2"/>
    <w:rsid w:val="002A48A9"/>
    <w:rsid w:val="002B165A"/>
    <w:rsid w:val="002B582E"/>
    <w:rsid w:val="002C10B7"/>
    <w:rsid w:val="002C2369"/>
    <w:rsid w:val="002C2718"/>
    <w:rsid w:val="002C3F26"/>
    <w:rsid w:val="002E049E"/>
    <w:rsid w:val="002E0626"/>
    <w:rsid w:val="002E4B96"/>
    <w:rsid w:val="002E7C78"/>
    <w:rsid w:val="002F20A8"/>
    <w:rsid w:val="002F4092"/>
    <w:rsid w:val="0032185E"/>
    <w:rsid w:val="00326063"/>
    <w:rsid w:val="00337A50"/>
    <w:rsid w:val="003407FD"/>
    <w:rsid w:val="00342518"/>
    <w:rsid w:val="00350D28"/>
    <w:rsid w:val="003525C0"/>
    <w:rsid w:val="00354F10"/>
    <w:rsid w:val="00356D08"/>
    <w:rsid w:val="00361E7B"/>
    <w:rsid w:val="00372233"/>
    <w:rsid w:val="0038622E"/>
    <w:rsid w:val="00386C1F"/>
    <w:rsid w:val="00391750"/>
    <w:rsid w:val="003A1295"/>
    <w:rsid w:val="003A22DB"/>
    <w:rsid w:val="003A4D88"/>
    <w:rsid w:val="003B54E6"/>
    <w:rsid w:val="003B5AB8"/>
    <w:rsid w:val="003C58BF"/>
    <w:rsid w:val="003D6374"/>
    <w:rsid w:val="003F2C42"/>
    <w:rsid w:val="003F4F15"/>
    <w:rsid w:val="003F5FDD"/>
    <w:rsid w:val="0040553D"/>
    <w:rsid w:val="0041104A"/>
    <w:rsid w:val="004124DC"/>
    <w:rsid w:val="0041424B"/>
    <w:rsid w:val="00417053"/>
    <w:rsid w:val="00424EB7"/>
    <w:rsid w:val="004433ED"/>
    <w:rsid w:val="00445E93"/>
    <w:rsid w:val="004525A5"/>
    <w:rsid w:val="0045360D"/>
    <w:rsid w:val="0046395C"/>
    <w:rsid w:val="004710A6"/>
    <w:rsid w:val="00476593"/>
    <w:rsid w:val="00480E29"/>
    <w:rsid w:val="00483C75"/>
    <w:rsid w:val="00497400"/>
    <w:rsid w:val="004A2E25"/>
    <w:rsid w:val="004A4648"/>
    <w:rsid w:val="004B0442"/>
    <w:rsid w:val="004B114D"/>
    <w:rsid w:val="004C77DE"/>
    <w:rsid w:val="004D0C28"/>
    <w:rsid w:val="004D2398"/>
    <w:rsid w:val="004D3402"/>
    <w:rsid w:val="004D7BFB"/>
    <w:rsid w:val="004E6F28"/>
    <w:rsid w:val="004F3077"/>
    <w:rsid w:val="0050000B"/>
    <w:rsid w:val="005049D4"/>
    <w:rsid w:val="00510610"/>
    <w:rsid w:val="00511D28"/>
    <w:rsid w:val="00515F23"/>
    <w:rsid w:val="00523544"/>
    <w:rsid w:val="005258AC"/>
    <w:rsid w:val="00532972"/>
    <w:rsid w:val="00536DCF"/>
    <w:rsid w:val="00555371"/>
    <w:rsid w:val="00561EBC"/>
    <w:rsid w:val="00567B55"/>
    <w:rsid w:val="00570C76"/>
    <w:rsid w:val="005719A4"/>
    <w:rsid w:val="00576488"/>
    <w:rsid w:val="00584C9D"/>
    <w:rsid w:val="00586589"/>
    <w:rsid w:val="005967BB"/>
    <w:rsid w:val="00596B36"/>
    <w:rsid w:val="00596B5A"/>
    <w:rsid w:val="005A719C"/>
    <w:rsid w:val="005C7839"/>
    <w:rsid w:val="005D139C"/>
    <w:rsid w:val="005F028A"/>
    <w:rsid w:val="005F0ABF"/>
    <w:rsid w:val="006068A5"/>
    <w:rsid w:val="006117C0"/>
    <w:rsid w:val="00613C6C"/>
    <w:rsid w:val="0061701F"/>
    <w:rsid w:val="00624905"/>
    <w:rsid w:val="00625192"/>
    <w:rsid w:val="006404C6"/>
    <w:rsid w:val="00651122"/>
    <w:rsid w:val="00651646"/>
    <w:rsid w:val="00652E61"/>
    <w:rsid w:val="00664C79"/>
    <w:rsid w:val="00667811"/>
    <w:rsid w:val="00692CA5"/>
    <w:rsid w:val="00692F9D"/>
    <w:rsid w:val="006950D4"/>
    <w:rsid w:val="006B08B1"/>
    <w:rsid w:val="006B0A67"/>
    <w:rsid w:val="006B1F02"/>
    <w:rsid w:val="006B435F"/>
    <w:rsid w:val="006C2209"/>
    <w:rsid w:val="006C6B88"/>
    <w:rsid w:val="006D7E05"/>
    <w:rsid w:val="006E10E6"/>
    <w:rsid w:val="006E1EFC"/>
    <w:rsid w:val="006F5C2D"/>
    <w:rsid w:val="006F5DFB"/>
    <w:rsid w:val="00723B02"/>
    <w:rsid w:val="00731C3C"/>
    <w:rsid w:val="007438A2"/>
    <w:rsid w:val="00757242"/>
    <w:rsid w:val="00776EAD"/>
    <w:rsid w:val="007903A7"/>
    <w:rsid w:val="007A7323"/>
    <w:rsid w:val="007C11C6"/>
    <w:rsid w:val="007C395A"/>
    <w:rsid w:val="007D4728"/>
    <w:rsid w:val="007D6C6E"/>
    <w:rsid w:val="00806841"/>
    <w:rsid w:val="00816A27"/>
    <w:rsid w:val="00817CC7"/>
    <w:rsid w:val="00831E77"/>
    <w:rsid w:val="0084521A"/>
    <w:rsid w:val="0084650A"/>
    <w:rsid w:val="008560E0"/>
    <w:rsid w:val="008660FE"/>
    <w:rsid w:val="00867326"/>
    <w:rsid w:val="008766C2"/>
    <w:rsid w:val="0088610B"/>
    <w:rsid w:val="008B1746"/>
    <w:rsid w:val="008B317C"/>
    <w:rsid w:val="008C2C2B"/>
    <w:rsid w:val="008C4AD8"/>
    <w:rsid w:val="008C54F1"/>
    <w:rsid w:val="008D0833"/>
    <w:rsid w:val="008D71BD"/>
    <w:rsid w:val="008E14D3"/>
    <w:rsid w:val="008F0320"/>
    <w:rsid w:val="00904C5E"/>
    <w:rsid w:val="00907BA0"/>
    <w:rsid w:val="00910FA1"/>
    <w:rsid w:val="00913512"/>
    <w:rsid w:val="0092027A"/>
    <w:rsid w:val="00921529"/>
    <w:rsid w:val="009350E1"/>
    <w:rsid w:val="0094171F"/>
    <w:rsid w:val="009469D2"/>
    <w:rsid w:val="009554E7"/>
    <w:rsid w:val="009708FC"/>
    <w:rsid w:val="00974077"/>
    <w:rsid w:val="0097580C"/>
    <w:rsid w:val="00985171"/>
    <w:rsid w:val="009A429C"/>
    <w:rsid w:val="009A42EF"/>
    <w:rsid w:val="009C675C"/>
    <w:rsid w:val="009D0C38"/>
    <w:rsid w:val="009D634A"/>
    <w:rsid w:val="009F1DBB"/>
    <w:rsid w:val="00A07497"/>
    <w:rsid w:val="00A20F2E"/>
    <w:rsid w:val="00A248DB"/>
    <w:rsid w:val="00A27558"/>
    <w:rsid w:val="00A41E10"/>
    <w:rsid w:val="00A54B93"/>
    <w:rsid w:val="00A57068"/>
    <w:rsid w:val="00A57FAF"/>
    <w:rsid w:val="00A65C83"/>
    <w:rsid w:val="00A6619E"/>
    <w:rsid w:val="00A8371B"/>
    <w:rsid w:val="00A93225"/>
    <w:rsid w:val="00AA215B"/>
    <w:rsid w:val="00AA289E"/>
    <w:rsid w:val="00AC23D0"/>
    <w:rsid w:val="00AC4D71"/>
    <w:rsid w:val="00AC68C2"/>
    <w:rsid w:val="00AD258E"/>
    <w:rsid w:val="00AE23A4"/>
    <w:rsid w:val="00AE2B3D"/>
    <w:rsid w:val="00AE4552"/>
    <w:rsid w:val="00AF290B"/>
    <w:rsid w:val="00AF292C"/>
    <w:rsid w:val="00B014E1"/>
    <w:rsid w:val="00B065CA"/>
    <w:rsid w:val="00B14897"/>
    <w:rsid w:val="00B2753A"/>
    <w:rsid w:val="00B34CB1"/>
    <w:rsid w:val="00B36CF5"/>
    <w:rsid w:val="00B40193"/>
    <w:rsid w:val="00B41C7C"/>
    <w:rsid w:val="00B50819"/>
    <w:rsid w:val="00B527CB"/>
    <w:rsid w:val="00B6463C"/>
    <w:rsid w:val="00B70EBE"/>
    <w:rsid w:val="00B72970"/>
    <w:rsid w:val="00B7731A"/>
    <w:rsid w:val="00B950E9"/>
    <w:rsid w:val="00BA4E6F"/>
    <w:rsid w:val="00BB082E"/>
    <w:rsid w:val="00BE154B"/>
    <w:rsid w:val="00BE6C77"/>
    <w:rsid w:val="00C00136"/>
    <w:rsid w:val="00C06E2A"/>
    <w:rsid w:val="00C07FA1"/>
    <w:rsid w:val="00C1238A"/>
    <w:rsid w:val="00C538DA"/>
    <w:rsid w:val="00C54DEF"/>
    <w:rsid w:val="00C553BA"/>
    <w:rsid w:val="00C62CDD"/>
    <w:rsid w:val="00C726F4"/>
    <w:rsid w:val="00C75097"/>
    <w:rsid w:val="00C86172"/>
    <w:rsid w:val="00C87B9E"/>
    <w:rsid w:val="00CA0A2C"/>
    <w:rsid w:val="00CB039F"/>
    <w:rsid w:val="00CB4A24"/>
    <w:rsid w:val="00CC4A10"/>
    <w:rsid w:val="00CD07A1"/>
    <w:rsid w:val="00CD36A4"/>
    <w:rsid w:val="00CD6EF2"/>
    <w:rsid w:val="00CE6A65"/>
    <w:rsid w:val="00CE72B9"/>
    <w:rsid w:val="00CE7411"/>
    <w:rsid w:val="00CF399E"/>
    <w:rsid w:val="00D14E87"/>
    <w:rsid w:val="00D26D97"/>
    <w:rsid w:val="00D37ED9"/>
    <w:rsid w:val="00D42B00"/>
    <w:rsid w:val="00D44007"/>
    <w:rsid w:val="00D53CE0"/>
    <w:rsid w:val="00D55F4E"/>
    <w:rsid w:val="00D636AF"/>
    <w:rsid w:val="00D77D08"/>
    <w:rsid w:val="00D82379"/>
    <w:rsid w:val="00D82D5D"/>
    <w:rsid w:val="00D832F3"/>
    <w:rsid w:val="00D854ED"/>
    <w:rsid w:val="00D85E7E"/>
    <w:rsid w:val="00D94A2B"/>
    <w:rsid w:val="00DA2889"/>
    <w:rsid w:val="00DA48D4"/>
    <w:rsid w:val="00DC1F8B"/>
    <w:rsid w:val="00DD004E"/>
    <w:rsid w:val="00DD2975"/>
    <w:rsid w:val="00DD51C4"/>
    <w:rsid w:val="00DD5B91"/>
    <w:rsid w:val="00DE1626"/>
    <w:rsid w:val="00DF2E41"/>
    <w:rsid w:val="00DF5756"/>
    <w:rsid w:val="00E247E4"/>
    <w:rsid w:val="00E31C61"/>
    <w:rsid w:val="00E4399C"/>
    <w:rsid w:val="00E45DA9"/>
    <w:rsid w:val="00E63205"/>
    <w:rsid w:val="00E64A57"/>
    <w:rsid w:val="00E6663F"/>
    <w:rsid w:val="00E85F58"/>
    <w:rsid w:val="00E87A0D"/>
    <w:rsid w:val="00E92686"/>
    <w:rsid w:val="00E93A61"/>
    <w:rsid w:val="00EA1BC4"/>
    <w:rsid w:val="00EA7010"/>
    <w:rsid w:val="00EC055A"/>
    <w:rsid w:val="00EC311F"/>
    <w:rsid w:val="00ED16CC"/>
    <w:rsid w:val="00ED522A"/>
    <w:rsid w:val="00EE167B"/>
    <w:rsid w:val="00F01531"/>
    <w:rsid w:val="00F03907"/>
    <w:rsid w:val="00F10C9F"/>
    <w:rsid w:val="00F1461A"/>
    <w:rsid w:val="00F16B62"/>
    <w:rsid w:val="00F1722F"/>
    <w:rsid w:val="00F2223A"/>
    <w:rsid w:val="00F30A42"/>
    <w:rsid w:val="00F41C0B"/>
    <w:rsid w:val="00F46EEF"/>
    <w:rsid w:val="00F47739"/>
    <w:rsid w:val="00F519F3"/>
    <w:rsid w:val="00F5239C"/>
    <w:rsid w:val="00F610C5"/>
    <w:rsid w:val="00F616B2"/>
    <w:rsid w:val="00F61BD7"/>
    <w:rsid w:val="00F62C0E"/>
    <w:rsid w:val="00F7494A"/>
    <w:rsid w:val="00F749BC"/>
    <w:rsid w:val="00F77C1E"/>
    <w:rsid w:val="00F861EA"/>
    <w:rsid w:val="00F86B74"/>
    <w:rsid w:val="00FA2BA7"/>
    <w:rsid w:val="00FA4A8B"/>
    <w:rsid w:val="00FA7D1A"/>
    <w:rsid w:val="00FB1C58"/>
    <w:rsid w:val="00FB1F4F"/>
    <w:rsid w:val="00FC2643"/>
    <w:rsid w:val="00FD4BAD"/>
    <w:rsid w:val="00FE0CF5"/>
    <w:rsid w:val="00FF030F"/>
    <w:rsid w:val="00FF76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1F79"/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AD258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Ttulo3">
    <w:name w:val="heading 3"/>
    <w:basedOn w:val="Normal"/>
    <w:next w:val="Normal"/>
    <w:link w:val="Ttulo3Car"/>
    <w:qFormat/>
    <w:rsid w:val="005F0ABF"/>
    <w:pPr>
      <w:keepNext/>
      <w:spacing w:after="0" w:line="240" w:lineRule="auto"/>
      <w:ind w:left="705"/>
      <w:jc w:val="both"/>
      <w:outlineLvl w:val="2"/>
    </w:pPr>
    <w:rPr>
      <w:rFonts w:ascii="Arial" w:eastAsia="Times New Roman" w:hAnsi="Arial" w:cs="Times New Roman"/>
      <w:b/>
      <w:sz w:val="24"/>
      <w:szCs w:val="20"/>
      <w:lang w:val="es-MX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semiHidden/>
    <w:unhideWhenUsed/>
    <w:rsid w:val="00BB08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BB082E"/>
  </w:style>
  <w:style w:type="paragraph" w:styleId="Piedepgina">
    <w:name w:val="footer"/>
    <w:basedOn w:val="Normal"/>
    <w:link w:val="PiedepginaCar"/>
    <w:uiPriority w:val="99"/>
    <w:unhideWhenUsed/>
    <w:rsid w:val="00BB082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082E"/>
  </w:style>
  <w:style w:type="paragraph" w:styleId="Prrafodelista">
    <w:name w:val="List Paragraph"/>
    <w:basedOn w:val="Normal"/>
    <w:link w:val="PrrafodelistaCar"/>
    <w:uiPriority w:val="34"/>
    <w:qFormat/>
    <w:rsid w:val="00BB082E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5764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76488"/>
    <w:rPr>
      <w:rFonts w:ascii="Tahoma" w:hAnsi="Tahoma" w:cs="Tahoma"/>
      <w:sz w:val="16"/>
      <w:szCs w:val="16"/>
    </w:rPr>
  </w:style>
  <w:style w:type="table" w:customStyle="1" w:styleId="Sombreadoclaro1">
    <w:name w:val="Sombreado claro1"/>
    <w:basedOn w:val="Tablanormal"/>
    <w:uiPriority w:val="60"/>
    <w:rsid w:val="00904C5E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Tablaconcuadrcula">
    <w:name w:val="Table Grid"/>
    <w:basedOn w:val="Tablanormal"/>
    <w:uiPriority w:val="59"/>
    <w:rsid w:val="00904C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Estilo1">
    <w:name w:val="Estilo1"/>
    <w:uiPriority w:val="99"/>
    <w:rsid w:val="00511D28"/>
    <w:pPr>
      <w:numPr>
        <w:numId w:val="1"/>
      </w:numPr>
    </w:pPr>
  </w:style>
  <w:style w:type="paragraph" w:styleId="Sangradetextonormal">
    <w:name w:val="Body Text Indent"/>
    <w:basedOn w:val="Normal"/>
    <w:link w:val="SangradetextonormalCar"/>
    <w:rsid w:val="0045360D"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</w:tabs>
      <w:spacing w:after="81" w:line="240" w:lineRule="auto"/>
      <w:ind w:left="706" w:hanging="706"/>
      <w:jc w:val="both"/>
    </w:pPr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45360D"/>
    <w:rPr>
      <w:rFonts w:ascii="Times New Roman" w:eastAsia="Times New Roman" w:hAnsi="Times New Roman" w:cs="Times New Roman"/>
      <w:sz w:val="24"/>
      <w:szCs w:val="20"/>
      <w:lang w:val="es-ES_tradnl" w:eastAsia="es-ES"/>
    </w:rPr>
  </w:style>
  <w:style w:type="character" w:customStyle="1" w:styleId="Ttulo3Car">
    <w:name w:val="Título 3 Car"/>
    <w:basedOn w:val="Fuentedeprrafopredeter"/>
    <w:link w:val="Ttulo3"/>
    <w:rsid w:val="005F0ABF"/>
    <w:rPr>
      <w:rFonts w:ascii="Arial" w:eastAsia="Times New Roman" w:hAnsi="Arial" w:cs="Times New Roman"/>
      <w:b/>
      <w:sz w:val="24"/>
      <w:szCs w:val="20"/>
      <w:lang w:val="es-MX" w:eastAsia="es-E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D258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PrrafodelistaCar">
    <w:name w:val="Párrafo de lista Car"/>
    <w:basedOn w:val="Fuentedeprrafopredeter"/>
    <w:link w:val="Prrafodelista"/>
    <w:uiPriority w:val="34"/>
    <w:rsid w:val="0055537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65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88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96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02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38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25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D1B15D-373A-474C-9886-DE1A7A984C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798</Words>
  <Characters>4395</Characters>
  <Application>Microsoft Office Word</Application>
  <DocSecurity>0</DocSecurity>
  <Lines>36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ndlorena</dc:creator>
  <cp:lastModifiedBy>Marlene Marroquin  de Sánchez</cp:lastModifiedBy>
  <cp:revision>5</cp:revision>
  <cp:lastPrinted>2014-09-02T16:41:00Z</cp:lastPrinted>
  <dcterms:created xsi:type="dcterms:W3CDTF">2018-06-13T16:24:00Z</dcterms:created>
  <dcterms:modified xsi:type="dcterms:W3CDTF">2018-06-20T21:40:00Z</dcterms:modified>
</cp:coreProperties>
</file>