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EE" w:rsidRPr="007B38A8" w:rsidRDefault="000A5FEE" w:rsidP="000A5FEE">
      <w:pPr>
        <w:widowControl w:val="0"/>
        <w:ind w:left="397" w:hanging="397"/>
        <w:rPr>
          <w:rFonts w:ascii="Arial Narrow" w:hAnsi="Arial Narrow" w:cs="Arial"/>
          <w:b/>
          <w:caps/>
          <w:color w:val="000000" w:themeColor="text1"/>
          <w:sz w:val="24"/>
          <w:szCs w:val="24"/>
        </w:rPr>
      </w:pPr>
      <w:r w:rsidRPr="007B38A8">
        <w:rPr>
          <w:rFonts w:ascii="Arial Narrow" w:hAnsi="Arial Narrow" w:cs="Arial"/>
          <w:b/>
          <w:caps/>
          <w:color w:val="000000" w:themeColor="text1"/>
          <w:sz w:val="24"/>
          <w:szCs w:val="24"/>
        </w:rPr>
        <w:t xml:space="preserve">El Comité de Normas del Banco Central de Reserva de el salvador, </w:t>
      </w:r>
    </w:p>
    <w:p w:rsidR="000A5FEE" w:rsidRPr="007B38A8" w:rsidRDefault="000A5FEE" w:rsidP="000A5FEE">
      <w:pPr>
        <w:widowControl w:val="0"/>
        <w:rPr>
          <w:rFonts w:ascii="Arial Narrow" w:hAnsi="Arial Narrow" w:cs="Arial"/>
          <w:color w:val="000000" w:themeColor="text1"/>
          <w:sz w:val="24"/>
          <w:szCs w:val="24"/>
        </w:rPr>
      </w:pPr>
    </w:p>
    <w:p w:rsidR="000A5FEE" w:rsidRPr="007B38A8" w:rsidRDefault="000A5FEE" w:rsidP="000A5FEE">
      <w:pPr>
        <w:widowControl w:val="0"/>
        <w:rPr>
          <w:rFonts w:ascii="Arial Narrow" w:hAnsi="Arial Narrow" w:cs="Arial"/>
          <w:b/>
          <w:color w:val="000000" w:themeColor="text1"/>
          <w:sz w:val="24"/>
          <w:szCs w:val="24"/>
        </w:rPr>
      </w:pPr>
      <w:r w:rsidRPr="007B38A8">
        <w:rPr>
          <w:rFonts w:ascii="Arial Narrow" w:hAnsi="Arial Narrow" w:cs="Arial"/>
          <w:b/>
          <w:color w:val="000000" w:themeColor="text1"/>
          <w:sz w:val="24"/>
          <w:szCs w:val="24"/>
        </w:rPr>
        <w:t xml:space="preserve">CONSIDERANDO: </w:t>
      </w:r>
    </w:p>
    <w:p w:rsidR="000A5FEE" w:rsidRPr="007B38A8" w:rsidRDefault="000A5FEE" w:rsidP="000A5FEE">
      <w:pPr>
        <w:widowControl w:val="0"/>
        <w:rPr>
          <w:rFonts w:ascii="Arial Narrow" w:hAnsi="Arial Narrow" w:cs="Arial"/>
          <w:b/>
          <w:color w:val="000000" w:themeColor="text1"/>
          <w:sz w:val="24"/>
          <w:szCs w:val="24"/>
        </w:rPr>
      </w:pPr>
    </w:p>
    <w:p w:rsidR="00530BCB" w:rsidRPr="007B38A8" w:rsidRDefault="00530BCB" w:rsidP="008E6CAE">
      <w:pPr>
        <w:pStyle w:val="Prrafodelista"/>
        <w:widowControl w:val="0"/>
        <w:numPr>
          <w:ilvl w:val="0"/>
          <w:numId w:val="17"/>
        </w:numPr>
        <w:ind w:left="425" w:hanging="425"/>
        <w:jc w:val="both"/>
        <w:rPr>
          <w:rFonts w:ascii="Arial Narrow" w:hAnsi="Arial Narrow"/>
          <w:color w:val="000000" w:themeColor="text1"/>
          <w:sz w:val="24"/>
          <w:szCs w:val="24"/>
        </w:rPr>
      </w:pPr>
      <w:r w:rsidRPr="007B38A8">
        <w:rPr>
          <w:rFonts w:ascii="Arial Narrow" w:hAnsi="Arial Narrow"/>
          <w:color w:val="000000" w:themeColor="text1"/>
          <w:sz w:val="24"/>
          <w:szCs w:val="24"/>
        </w:rPr>
        <w:t>Que mediante Decreto Legislativo No. 564, de fecha 16 de diciembre de 2010, publicado en el Diario Oficial No. 241, Tomo No. 389 de 23 de diciembre del mismo año, se aprobó la Ley de Creación del Fideicomiso de Apoyo a la Producción del Café</w:t>
      </w:r>
      <w:r w:rsidR="00BE365D" w:rsidRPr="007B38A8">
        <w:rPr>
          <w:rFonts w:ascii="Arial Narrow" w:hAnsi="Arial Narrow"/>
          <w:color w:val="000000" w:themeColor="text1"/>
          <w:sz w:val="24"/>
          <w:szCs w:val="24"/>
        </w:rPr>
        <w:t>.</w:t>
      </w:r>
    </w:p>
    <w:p w:rsidR="00530BCB" w:rsidRPr="007B38A8" w:rsidRDefault="00530BCB" w:rsidP="00530BCB">
      <w:pPr>
        <w:pStyle w:val="Prrafodelista"/>
        <w:widowControl w:val="0"/>
        <w:ind w:left="425"/>
        <w:jc w:val="both"/>
        <w:rPr>
          <w:rFonts w:ascii="Arial Narrow" w:hAnsi="Arial Narrow"/>
          <w:color w:val="000000" w:themeColor="text1"/>
          <w:sz w:val="24"/>
          <w:szCs w:val="24"/>
        </w:rPr>
      </w:pPr>
    </w:p>
    <w:p w:rsidR="008E6CAE" w:rsidRPr="007B38A8" w:rsidRDefault="00530BCB" w:rsidP="008E6CAE">
      <w:pPr>
        <w:pStyle w:val="Prrafodelista"/>
        <w:widowControl w:val="0"/>
        <w:numPr>
          <w:ilvl w:val="0"/>
          <w:numId w:val="17"/>
        </w:numPr>
        <w:ind w:left="425" w:hanging="425"/>
        <w:jc w:val="both"/>
        <w:rPr>
          <w:rFonts w:ascii="Arial Narrow" w:hAnsi="Arial Narrow"/>
          <w:color w:val="000000" w:themeColor="text1"/>
          <w:sz w:val="24"/>
          <w:szCs w:val="24"/>
        </w:rPr>
      </w:pPr>
      <w:r w:rsidRPr="007B38A8">
        <w:rPr>
          <w:rFonts w:ascii="Arial Narrow" w:hAnsi="Arial Narrow"/>
          <w:color w:val="000000" w:themeColor="text1"/>
          <w:sz w:val="24"/>
          <w:szCs w:val="24"/>
        </w:rPr>
        <w:t>Que mediante Decreto Legislativo No. 864, de fecha 21 de diciembre de 2017, publicado en el Diario Oficial No. 240, Tomo No. 417 de 22 de diciembre del mismo año, se aprobaron las Reformas a la Ley de Creación del Fideicomiso de Apoyo a la Producción del Café</w:t>
      </w:r>
      <w:r w:rsidR="008E6CAE" w:rsidRPr="007B38A8">
        <w:rPr>
          <w:rFonts w:ascii="Arial Narrow" w:hAnsi="Arial Narrow"/>
          <w:color w:val="000000" w:themeColor="text1"/>
          <w:sz w:val="24"/>
          <w:szCs w:val="24"/>
        </w:rPr>
        <w:t xml:space="preserve">. </w:t>
      </w:r>
    </w:p>
    <w:p w:rsidR="008E6CAE" w:rsidRPr="007B38A8" w:rsidRDefault="008E6CAE" w:rsidP="008E6CAE">
      <w:pPr>
        <w:pStyle w:val="Prrafodelista"/>
        <w:widowControl w:val="0"/>
        <w:ind w:left="425"/>
        <w:jc w:val="both"/>
        <w:rPr>
          <w:rFonts w:ascii="Arial Narrow" w:hAnsi="Arial Narrow"/>
          <w:color w:val="000000" w:themeColor="text1"/>
          <w:sz w:val="24"/>
          <w:szCs w:val="24"/>
        </w:rPr>
      </w:pPr>
    </w:p>
    <w:p w:rsidR="00463CFC" w:rsidRPr="007B38A8" w:rsidRDefault="008E6CAE" w:rsidP="008E6CAE">
      <w:pPr>
        <w:pStyle w:val="Prrafodelista"/>
        <w:widowControl w:val="0"/>
        <w:numPr>
          <w:ilvl w:val="0"/>
          <w:numId w:val="17"/>
        </w:numPr>
        <w:ind w:left="425" w:hanging="425"/>
        <w:jc w:val="both"/>
        <w:rPr>
          <w:rFonts w:ascii="Arial Narrow" w:hAnsi="Arial Narrow"/>
          <w:color w:val="000000" w:themeColor="text1"/>
          <w:sz w:val="24"/>
          <w:szCs w:val="24"/>
        </w:rPr>
      </w:pPr>
      <w:r w:rsidRPr="007B38A8">
        <w:rPr>
          <w:rFonts w:ascii="Arial Narrow" w:hAnsi="Arial Narrow"/>
          <w:color w:val="000000" w:themeColor="text1"/>
          <w:sz w:val="24"/>
          <w:szCs w:val="24"/>
        </w:rPr>
        <w:t>Que el Artículo 12 de la</w:t>
      </w:r>
      <w:r w:rsidR="00BE365D" w:rsidRPr="007B38A8">
        <w:rPr>
          <w:rFonts w:ascii="Arial Narrow" w:hAnsi="Arial Narrow"/>
          <w:color w:val="000000" w:themeColor="text1"/>
          <w:sz w:val="24"/>
          <w:szCs w:val="24"/>
        </w:rPr>
        <w:t>s Reformas a la</w:t>
      </w:r>
      <w:r w:rsidRPr="007B38A8">
        <w:rPr>
          <w:rFonts w:ascii="Arial Narrow" w:hAnsi="Arial Narrow"/>
          <w:color w:val="000000" w:themeColor="text1"/>
          <w:sz w:val="24"/>
          <w:szCs w:val="24"/>
        </w:rPr>
        <w:t xml:space="preserve"> Ley de Creación del Fideicomiso de Apoyo a la Producción del Café, establece que </w:t>
      </w:r>
      <w:r w:rsidR="00A21502" w:rsidRPr="007B38A8">
        <w:rPr>
          <w:rFonts w:ascii="Arial Narrow" w:hAnsi="Arial Narrow"/>
          <w:color w:val="000000" w:themeColor="text1"/>
          <w:sz w:val="24"/>
          <w:szCs w:val="24"/>
        </w:rPr>
        <w:t>d</w:t>
      </w:r>
      <w:r w:rsidRPr="007B38A8">
        <w:rPr>
          <w:rFonts w:ascii="Arial Narrow" w:hAnsi="Arial Narrow"/>
          <w:color w:val="000000" w:themeColor="text1"/>
          <w:sz w:val="24"/>
          <w:szCs w:val="24"/>
        </w:rPr>
        <w:t>urante el período de dos años, y contados a partir de la fecha de entrada en vigencia del presente Decreto, los productores de café que sean calificados e incluyen como beneficiarios del fideicomiso y que tengan las categorías de riesgos C, D, o E, podrán ser sujetos de crédito, y .las instituciones financieras o el Fideicomiso que les otorguen financiamiento o refinanciamiento, no estarán en la obligación de constituir, al momento de la originación</w:t>
      </w:r>
      <w:bookmarkStart w:id="0" w:name="_GoBack"/>
      <w:bookmarkEnd w:id="0"/>
      <w:r w:rsidRPr="007B38A8">
        <w:rPr>
          <w:rFonts w:ascii="Arial Narrow" w:hAnsi="Arial Narrow"/>
          <w:color w:val="000000" w:themeColor="text1"/>
          <w:sz w:val="24"/>
          <w:szCs w:val="24"/>
        </w:rPr>
        <w:t xml:space="preserve"> del crédito, las reservas de saneamiento previstas para sujetos de crédito con esas calificaciones; siempre que ese financiamiento o refinanciamiento sean destinados a la producción de café o al pago de deudas en el sector cafetalero</w:t>
      </w:r>
      <w:r w:rsidR="00FB79F4">
        <w:rPr>
          <w:rFonts w:ascii="Arial Narrow" w:hAnsi="Arial Narrow"/>
          <w:color w:val="000000" w:themeColor="text1"/>
          <w:sz w:val="24"/>
          <w:szCs w:val="24"/>
        </w:rPr>
        <w:t>.</w:t>
      </w:r>
      <w:r w:rsidRPr="007B38A8">
        <w:rPr>
          <w:rFonts w:ascii="Arial Narrow" w:hAnsi="Arial Narrow"/>
          <w:color w:val="000000" w:themeColor="text1"/>
          <w:sz w:val="24"/>
          <w:szCs w:val="24"/>
        </w:rPr>
        <w:t xml:space="preserve"> </w:t>
      </w:r>
    </w:p>
    <w:p w:rsidR="000A5FEE" w:rsidRPr="007B38A8" w:rsidRDefault="000A5FEE" w:rsidP="000A5FEE">
      <w:pPr>
        <w:pStyle w:val="Prrafodelista"/>
        <w:widowControl w:val="0"/>
        <w:ind w:left="425" w:hanging="425"/>
        <w:rPr>
          <w:rFonts w:ascii="Arial Narrow" w:hAnsi="Arial Narrow"/>
          <w:color w:val="000000" w:themeColor="text1"/>
          <w:sz w:val="24"/>
          <w:szCs w:val="24"/>
        </w:rPr>
      </w:pPr>
    </w:p>
    <w:p w:rsidR="000A5FEE" w:rsidRPr="007B38A8" w:rsidRDefault="000A5FEE" w:rsidP="000A5FEE">
      <w:pPr>
        <w:widowControl w:val="0"/>
        <w:rPr>
          <w:rFonts w:ascii="Arial Narrow" w:hAnsi="Arial Narrow"/>
          <w:b/>
          <w:color w:val="000000" w:themeColor="text1"/>
          <w:sz w:val="24"/>
          <w:szCs w:val="24"/>
        </w:rPr>
      </w:pPr>
      <w:r w:rsidRPr="007B38A8">
        <w:rPr>
          <w:rFonts w:ascii="Arial Narrow" w:hAnsi="Arial Narrow"/>
          <w:b/>
          <w:color w:val="000000" w:themeColor="text1"/>
          <w:sz w:val="24"/>
          <w:szCs w:val="24"/>
        </w:rPr>
        <w:t xml:space="preserve">POR TANTO, </w:t>
      </w:r>
    </w:p>
    <w:p w:rsidR="000A5FEE" w:rsidRPr="007B38A8" w:rsidRDefault="000A5FEE" w:rsidP="000A5FEE">
      <w:pPr>
        <w:widowControl w:val="0"/>
        <w:rPr>
          <w:rFonts w:ascii="Arial Narrow" w:hAnsi="Arial Narrow"/>
          <w:color w:val="000000" w:themeColor="text1"/>
          <w:sz w:val="24"/>
          <w:szCs w:val="24"/>
        </w:rPr>
      </w:pPr>
    </w:p>
    <w:p w:rsidR="000A5FEE" w:rsidRPr="007B38A8" w:rsidRDefault="000A5FEE" w:rsidP="00950DBF">
      <w:pPr>
        <w:widowControl w:val="0"/>
        <w:jc w:val="both"/>
        <w:rPr>
          <w:rFonts w:ascii="Arial Narrow" w:hAnsi="Arial Narrow"/>
          <w:color w:val="000000" w:themeColor="text1"/>
          <w:sz w:val="24"/>
          <w:szCs w:val="24"/>
        </w:rPr>
      </w:pPr>
      <w:r w:rsidRPr="007B38A8">
        <w:rPr>
          <w:rFonts w:ascii="Arial Narrow" w:hAnsi="Arial Narrow"/>
          <w:color w:val="000000" w:themeColor="text1"/>
          <w:sz w:val="24"/>
          <w:szCs w:val="24"/>
        </w:rPr>
        <w:t xml:space="preserve">en virtud de las facultades normativas que le confiere el artículo 99 de la Ley de Supervisión y Regulación del Sistema Financiero, </w:t>
      </w:r>
    </w:p>
    <w:p w:rsidR="00950DBF" w:rsidRPr="007B38A8" w:rsidRDefault="00950DBF" w:rsidP="000A5FEE">
      <w:pPr>
        <w:widowControl w:val="0"/>
        <w:rPr>
          <w:rFonts w:ascii="Arial Narrow" w:hAnsi="Arial Narrow"/>
          <w:color w:val="000000" w:themeColor="text1"/>
          <w:sz w:val="24"/>
          <w:szCs w:val="24"/>
        </w:rPr>
      </w:pPr>
    </w:p>
    <w:p w:rsidR="00463CFC" w:rsidRPr="007B38A8" w:rsidRDefault="000A5FEE" w:rsidP="008E6CAE">
      <w:pPr>
        <w:widowControl w:val="0"/>
        <w:rPr>
          <w:rFonts w:ascii="Arial Narrow" w:hAnsi="Arial Narrow"/>
          <w:b/>
          <w:color w:val="000000" w:themeColor="text1"/>
          <w:sz w:val="24"/>
          <w:szCs w:val="24"/>
        </w:rPr>
      </w:pPr>
      <w:r w:rsidRPr="007B38A8">
        <w:rPr>
          <w:rFonts w:ascii="Arial Narrow" w:hAnsi="Arial Narrow"/>
          <w:b/>
          <w:color w:val="000000" w:themeColor="text1"/>
          <w:sz w:val="24"/>
          <w:szCs w:val="24"/>
        </w:rPr>
        <w:t>ACUERDA,</w:t>
      </w:r>
      <w:r w:rsidRPr="007B38A8">
        <w:rPr>
          <w:rFonts w:ascii="Arial Narrow" w:hAnsi="Arial Narrow"/>
          <w:color w:val="000000" w:themeColor="text1"/>
          <w:sz w:val="24"/>
          <w:szCs w:val="24"/>
        </w:rPr>
        <w:t xml:space="preserve"> emitir las siguientes: </w:t>
      </w:r>
    </w:p>
    <w:p w:rsidR="00B46399" w:rsidRPr="007B38A8" w:rsidRDefault="00B46399" w:rsidP="0089536A">
      <w:pPr>
        <w:jc w:val="center"/>
        <w:rPr>
          <w:rFonts w:ascii="Arial Narrow" w:hAnsi="Arial Narrow"/>
          <w:b/>
          <w:color w:val="000000" w:themeColor="text1"/>
          <w:sz w:val="24"/>
          <w:szCs w:val="24"/>
        </w:rPr>
      </w:pPr>
    </w:p>
    <w:p w:rsidR="00463CFC" w:rsidRPr="007B38A8" w:rsidRDefault="008E6CAE" w:rsidP="008E6CAE">
      <w:pPr>
        <w:jc w:val="center"/>
        <w:rPr>
          <w:rFonts w:ascii="Arial Narrow" w:hAnsi="Arial Narrow"/>
          <w:sz w:val="24"/>
          <w:szCs w:val="24"/>
          <w:lang w:val="es-ES"/>
        </w:rPr>
      </w:pPr>
      <w:r w:rsidRPr="007B38A8">
        <w:rPr>
          <w:rFonts w:ascii="Arial Narrow" w:hAnsi="Arial Narrow"/>
          <w:b/>
          <w:color w:val="000000" w:themeColor="text1"/>
          <w:sz w:val="24"/>
          <w:szCs w:val="24"/>
        </w:rPr>
        <w:t xml:space="preserve">MEDIDAS TRANSITORIAS PARA FACILITAR LA IMPLEMENTACIÓN DEL ARTÍCULO 12 DEL DECRETO LEGISLATIVO No. 864 QUE CONTIENE </w:t>
      </w:r>
      <w:r w:rsidR="00FB79F4">
        <w:rPr>
          <w:rFonts w:ascii="Arial Narrow" w:hAnsi="Arial Narrow"/>
          <w:b/>
          <w:color w:val="000000" w:themeColor="text1"/>
          <w:sz w:val="24"/>
          <w:szCs w:val="24"/>
        </w:rPr>
        <w:t>LAS REFORMAS A LA LEY DE CREACIÓ</w:t>
      </w:r>
      <w:r w:rsidRPr="007B38A8">
        <w:rPr>
          <w:rFonts w:ascii="Arial Narrow" w:hAnsi="Arial Narrow"/>
          <w:b/>
          <w:color w:val="000000" w:themeColor="text1"/>
          <w:sz w:val="24"/>
          <w:szCs w:val="24"/>
        </w:rPr>
        <w:t>N DEL FIDEICOMISO DE APOYO A LA PRODUCCIÓN DEL CAFÉ</w:t>
      </w:r>
    </w:p>
    <w:p w:rsidR="00B46399" w:rsidRPr="007B38A8" w:rsidRDefault="00B46399" w:rsidP="00910F15">
      <w:pPr>
        <w:rPr>
          <w:rFonts w:ascii="Arial Narrow" w:hAnsi="Arial Narrow"/>
          <w:sz w:val="24"/>
          <w:szCs w:val="24"/>
          <w:lang w:val="es-ES"/>
        </w:rPr>
      </w:pPr>
    </w:p>
    <w:p w:rsidR="000B4D71" w:rsidRPr="007B38A8" w:rsidRDefault="000B4D71">
      <w:pPr>
        <w:pStyle w:val="Ttulo2"/>
        <w:rPr>
          <w:rFonts w:ascii="Arial Narrow" w:hAnsi="Arial Narrow"/>
          <w:color w:val="000000" w:themeColor="text1"/>
          <w:sz w:val="24"/>
          <w:szCs w:val="24"/>
        </w:rPr>
      </w:pPr>
      <w:r w:rsidRPr="007B38A8">
        <w:rPr>
          <w:rFonts w:ascii="Arial Narrow" w:hAnsi="Arial Narrow"/>
          <w:color w:val="000000" w:themeColor="text1"/>
          <w:sz w:val="24"/>
          <w:szCs w:val="24"/>
        </w:rPr>
        <w:t>CAP</w:t>
      </w:r>
      <w:r w:rsidR="00EB1707" w:rsidRPr="007B38A8">
        <w:rPr>
          <w:rFonts w:ascii="Arial Narrow" w:hAnsi="Arial Narrow"/>
          <w:color w:val="000000" w:themeColor="text1"/>
          <w:sz w:val="24"/>
          <w:szCs w:val="24"/>
        </w:rPr>
        <w:t>Í</w:t>
      </w:r>
      <w:r w:rsidRPr="007B38A8">
        <w:rPr>
          <w:rFonts w:ascii="Arial Narrow" w:hAnsi="Arial Narrow"/>
          <w:color w:val="000000" w:themeColor="text1"/>
          <w:sz w:val="24"/>
          <w:szCs w:val="24"/>
        </w:rPr>
        <w:t>TULO I</w:t>
      </w:r>
    </w:p>
    <w:p w:rsidR="001357C9" w:rsidRPr="007B38A8" w:rsidRDefault="00DB725C" w:rsidP="008E6CAE">
      <w:pPr>
        <w:pStyle w:val="Default"/>
        <w:widowControl w:val="0"/>
        <w:jc w:val="center"/>
        <w:rPr>
          <w:rFonts w:ascii="Arial Narrow" w:hAnsi="Arial Narrow"/>
          <w:color w:val="000000" w:themeColor="text1"/>
        </w:rPr>
      </w:pPr>
      <w:r w:rsidRPr="007B38A8">
        <w:rPr>
          <w:rFonts w:ascii="Arial Narrow" w:hAnsi="Arial Narrow"/>
          <w:b/>
          <w:color w:val="000000" w:themeColor="text1"/>
        </w:rPr>
        <w:t>OBJETO</w:t>
      </w:r>
      <w:r w:rsidR="008E6CAE" w:rsidRPr="007B38A8">
        <w:rPr>
          <w:rFonts w:ascii="Arial Narrow" w:hAnsi="Arial Narrow"/>
          <w:b/>
          <w:color w:val="000000" w:themeColor="text1"/>
        </w:rPr>
        <w:t xml:space="preserve"> Y</w:t>
      </w:r>
      <w:r w:rsidRPr="007B38A8">
        <w:rPr>
          <w:rFonts w:ascii="Arial Narrow" w:hAnsi="Arial Narrow"/>
          <w:b/>
          <w:color w:val="000000" w:themeColor="text1"/>
        </w:rPr>
        <w:t xml:space="preserve"> SUJETOS </w:t>
      </w:r>
    </w:p>
    <w:p w:rsidR="008E6CAE" w:rsidRPr="007B38A8" w:rsidRDefault="008E6CAE" w:rsidP="008E6CAE">
      <w:pPr>
        <w:pStyle w:val="Piedepgina"/>
        <w:rPr>
          <w:rFonts w:ascii="Arial Narrow" w:hAnsi="Arial Narrow"/>
          <w:color w:val="000000" w:themeColor="text1"/>
          <w:sz w:val="24"/>
          <w:szCs w:val="24"/>
          <w:lang w:val="es-SV"/>
        </w:rPr>
      </w:pPr>
    </w:p>
    <w:p w:rsidR="008E6CAE" w:rsidRPr="007B38A8" w:rsidRDefault="008E6CAE" w:rsidP="008E6CAE">
      <w:pPr>
        <w:pStyle w:val="Piedepgina"/>
        <w:jc w:val="both"/>
        <w:rPr>
          <w:rFonts w:ascii="Arial Narrow" w:hAnsi="Arial Narrow"/>
          <w:b/>
          <w:color w:val="000000" w:themeColor="text1"/>
          <w:sz w:val="24"/>
          <w:szCs w:val="24"/>
          <w:lang w:val="es-SV"/>
        </w:rPr>
      </w:pPr>
      <w:r w:rsidRPr="007B38A8">
        <w:rPr>
          <w:rFonts w:ascii="Arial Narrow" w:hAnsi="Arial Narrow"/>
          <w:b/>
          <w:color w:val="000000" w:themeColor="text1"/>
          <w:sz w:val="24"/>
          <w:szCs w:val="24"/>
          <w:lang w:val="es-SV"/>
        </w:rPr>
        <w:t>Objeto</w:t>
      </w:r>
    </w:p>
    <w:p w:rsidR="008E6CAE" w:rsidRPr="007B38A8" w:rsidRDefault="008E6CAE" w:rsidP="008E6CAE">
      <w:pPr>
        <w:pStyle w:val="Piedepgina"/>
        <w:jc w:val="both"/>
        <w:rPr>
          <w:rFonts w:ascii="Arial Narrow" w:hAnsi="Arial Narrow"/>
          <w:color w:val="000000" w:themeColor="text1"/>
          <w:sz w:val="24"/>
          <w:szCs w:val="24"/>
          <w:lang w:val="es-SV"/>
        </w:rPr>
      </w:pPr>
      <w:r w:rsidRPr="007B38A8">
        <w:rPr>
          <w:rFonts w:ascii="Arial Narrow" w:hAnsi="Arial Narrow"/>
          <w:color w:val="000000" w:themeColor="text1"/>
          <w:sz w:val="24"/>
          <w:szCs w:val="24"/>
          <w:lang w:val="es-SV"/>
        </w:rPr>
        <w:tab/>
      </w:r>
      <w:r w:rsidRPr="007B38A8">
        <w:rPr>
          <w:rFonts w:ascii="Arial Narrow" w:hAnsi="Arial Narrow"/>
          <w:b/>
          <w:color w:val="000000" w:themeColor="text1"/>
          <w:sz w:val="24"/>
          <w:szCs w:val="24"/>
          <w:lang w:val="es-SV"/>
        </w:rPr>
        <w:t xml:space="preserve">Art. 1.- </w:t>
      </w:r>
      <w:r w:rsidRPr="007B38A8">
        <w:rPr>
          <w:rFonts w:ascii="Arial Narrow" w:hAnsi="Arial Narrow"/>
          <w:color w:val="000000" w:themeColor="text1"/>
          <w:sz w:val="24"/>
          <w:szCs w:val="24"/>
          <w:lang w:val="es-SV"/>
        </w:rPr>
        <w:t>Las presentes medidas transitorias tienen por objeto facilitar la implementación de las reformas a la Ley de Creación del Fideicomiso de Apoyo a la Producción del C</w:t>
      </w:r>
      <w:r w:rsidR="00A21502" w:rsidRPr="007B38A8">
        <w:rPr>
          <w:rFonts w:ascii="Arial Narrow" w:hAnsi="Arial Narrow"/>
          <w:color w:val="000000" w:themeColor="text1"/>
          <w:sz w:val="24"/>
          <w:szCs w:val="24"/>
          <w:lang w:val="es-SV"/>
        </w:rPr>
        <w:t>afé,</w:t>
      </w:r>
      <w:r w:rsidRPr="007B38A8">
        <w:rPr>
          <w:rFonts w:ascii="Arial Narrow" w:hAnsi="Arial Narrow"/>
          <w:color w:val="000000" w:themeColor="text1"/>
          <w:sz w:val="24"/>
          <w:szCs w:val="24"/>
          <w:lang w:val="es-SV"/>
        </w:rPr>
        <w:t xml:space="preserve"> </w:t>
      </w:r>
      <w:r w:rsidR="007B38A8">
        <w:rPr>
          <w:rFonts w:ascii="Arial Narrow" w:hAnsi="Arial Narrow"/>
          <w:color w:val="000000" w:themeColor="text1"/>
          <w:sz w:val="24"/>
          <w:szCs w:val="24"/>
          <w:lang w:val="es-SV"/>
        </w:rPr>
        <w:t xml:space="preserve">en adelante Fideicomiso, </w:t>
      </w:r>
      <w:r w:rsidRPr="007B38A8">
        <w:rPr>
          <w:rFonts w:ascii="Arial Narrow" w:hAnsi="Arial Narrow"/>
          <w:color w:val="000000" w:themeColor="text1"/>
          <w:sz w:val="24"/>
          <w:szCs w:val="24"/>
          <w:lang w:val="es-SV"/>
        </w:rPr>
        <w:t>estableciendo lineamientos temporales para el financiamiento y refinanciamiento de los deudores que posean créditos que califiquen como beneficiarios del referido Decreto.</w:t>
      </w:r>
    </w:p>
    <w:p w:rsidR="008E6CAE" w:rsidRPr="007B38A8" w:rsidRDefault="008E6CAE" w:rsidP="008E6CAE">
      <w:pPr>
        <w:pStyle w:val="Piedepgina"/>
        <w:jc w:val="both"/>
        <w:rPr>
          <w:rFonts w:ascii="Arial Narrow" w:hAnsi="Arial Narrow"/>
          <w:b/>
          <w:color w:val="000000" w:themeColor="text1"/>
          <w:sz w:val="24"/>
          <w:szCs w:val="24"/>
          <w:lang w:val="es-SV"/>
        </w:rPr>
      </w:pPr>
    </w:p>
    <w:p w:rsidR="008E6CAE" w:rsidRPr="007B38A8" w:rsidRDefault="008E6CAE" w:rsidP="008E6CAE">
      <w:pPr>
        <w:pStyle w:val="Piedepgina"/>
        <w:jc w:val="both"/>
        <w:rPr>
          <w:rFonts w:ascii="Arial Narrow" w:hAnsi="Arial Narrow"/>
          <w:b/>
          <w:color w:val="000000" w:themeColor="text1"/>
          <w:sz w:val="24"/>
          <w:szCs w:val="24"/>
          <w:lang w:val="es-SV"/>
        </w:rPr>
      </w:pPr>
      <w:r w:rsidRPr="007B38A8">
        <w:rPr>
          <w:rFonts w:ascii="Arial Narrow" w:hAnsi="Arial Narrow"/>
          <w:b/>
          <w:color w:val="000000" w:themeColor="text1"/>
          <w:sz w:val="24"/>
          <w:szCs w:val="24"/>
          <w:lang w:val="es-SV"/>
        </w:rPr>
        <w:t>Sujetos</w:t>
      </w:r>
    </w:p>
    <w:p w:rsidR="008E6CAE" w:rsidRPr="007B38A8" w:rsidRDefault="008E6CAE" w:rsidP="00BE365D">
      <w:pPr>
        <w:pStyle w:val="Piedepgina"/>
        <w:jc w:val="both"/>
        <w:rPr>
          <w:rFonts w:ascii="Arial Narrow" w:hAnsi="Arial Narrow"/>
          <w:color w:val="000000" w:themeColor="text1"/>
          <w:sz w:val="24"/>
          <w:szCs w:val="24"/>
          <w:lang w:val="es-SV"/>
        </w:rPr>
      </w:pPr>
      <w:r w:rsidRPr="007B38A8">
        <w:rPr>
          <w:rFonts w:ascii="Arial Narrow" w:hAnsi="Arial Narrow"/>
          <w:b/>
          <w:color w:val="000000" w:themeColor="text1"/>
          <w:sz w:val="24"/>
          <w:szCs w:val="24"/>
          <w:lang w:val="es-SV"/>
        </w:rPr>
        <w:t>Art. 2.-</w:t>
      </w:r>
      <w:r w:rsidRPr="007B38A8">
        <w:rPr>
          <w:rFonts w:ascii="Arial Narrow" w:hAnsi="Arial Narrow"/>
          <w:color w:val="000000" w:themeColor="text1"/>
          <w:sz w:val="24"/>
          <w:szCs w:val="24"/>
          <w:lang w:val="es-SV"/>
        </w:rPr>
        <w:t xml:space="preserve"> Los sujetos obligados al cumplimiento de las presentes medidas</w:t>
      </w:r>
      <w:r w:rsidR="00BE365D" w:rsidRPr="007B38A8">
        <w:rPr>
          <w:rFonts w:ascii="Arial Narrow" w:hAnsi="Arial Narrow"/>
          <w:color w:val="000000" w:themeColor="text1"/>
          <w:sz w:val="24"/>
          <w:szCs w:val="24"/>
          <w:lang w:val="es-SV"/>
        </w:rPr>
        <w:t xml:space="preserve"> son</w:t>
      </w:r>
      <w:r w:rsidR="00CE025D" w:rsidRPr="007B38A8">
        <w:rPr>
          <w:rFonts w:ascii="Arial Narrow" w:hAnsi="Arial Narrow"/>
          <w:color w:val="000000" w:themeColor="text1"/>
          <w:sz w:val="24"/>
          <w:szCs w:val="24"/>
          <w:lang w:val="es-SV"/>
        </w:rPr>
        <w:t>:</w:t>
      </w:r>
      <w:r w:rsidR="00BE365D" w:rsidRPr="007B38A8">
        <w:rPr>
          <w:rFonts w:ascii="Arial Narrow" w:hAnsi="Arial Narrow"/>
          <w:color w:val="000000" w:themeColor="text1"/>
          <w:sz w:val="24"/>
          <w:szCs w:val="24"/>
          <w:lang w:val="es-SV"/>
        </w:rPr>
        <w:t xml:space="preserve"> Bancos, Bancos Cooperativos y Sociedades de Ahorro y Crédito </w:t>
      </w:r>
      <w:r w:rsidR="00A21502" w:rsidRPr="007B38A8">
        <w:rPr>
          <w:rFonts w:ascii="Arial Narrow" w:hAnsi="Arial Narrow"/>
          <w:color w:val="000000" w:themeColor="text1"/>
          <w:sz w:val="24"/>
          <w:szCs w:val="24"/>
          <w:lang w:val="es-SV"/>
        </w:rPr>
        <w:t>que otorguen financiamientos o refinanciamientos a productores de café</w:t>
      </w:r>
      <w:r w:rsidR="00BE365D" w:rsidRPr="007B38A8">
        <w:rPr>
          <w:rFonts w:ascii="Arial Narrow" w:hAnsi="Arial Narrow"/>
          <w:color w:val="000000" w:themeColor="text1"/>
          <w:sz w:val="24"/>
          <w:szCs w:val="24"/>
          <w:lang w:val="es-SV"/>
        </w:rPr>
        <w:t xml:space="preserve"> que sean calificados e incluidos como beneficiarios del F</w:t>
      </w:r>
      <w:r w:rsidR="00A21502" w:rsidRPr="007B38A8">
        <w:rPr>
          <w:rFonts w:ascii="Arial Narrow" w:hAnsi="Arial Narrow"/>
          <w:color w:val="000000" w:themeColor="text1"/>
          <w:sz w:val="24"/>
          <w:szCs w:val="24"/>
          <w:lang w:val="es-SV"/>
        </w:rPr>
        <w:t xml:space="preserve">ideicomiso de Apoyo a la </w:t>
      </w:r>
      <w:r w:rsidR="00BE365D" w:rsidRPr="007B38A8">
        <w:rPr>
          <w:rFonts w:ascii="Arial Narrow" w:hAnsi="Arial Narrow"/>
          <w:color w:val="000000" w:themeColor="text1"/>
          <w:sz w:val="24"/>
          <w:szCs w:val="24"/>
          <w:lang w:val="es-SV"/>
        </w:rPr>
        <w:t>Producción</w:t>
      </w:r>
      <w:r w:rsidR="00A21502" w:rsidRPr="007B38A8">
        <w:rPr>
          <w:rFonts w:ascii="Arial Narrow" w:hAnsi="Arial Narrow"/>
          <w:color w:val="000000" w:themeColor="text1"/>
          <w:sz w:val="24"/>
          <w:szCs w:val="24"/>
          <w:lang w:val="es-SV"/>
        </w:rPr>
        <w:t xml:space="preserve"> de Café</w:t>
      </w:r>
      <w:r w:rsidR="00BE365D" w:rsidRPr="007B38A8">
        <w:rPr>
          <w:rFonts w:ascii="Arial Narrow" w:hAnsi="Arial Narrow"/>
          <w:color w:val="000000" w:themeColor="text1"/>
          <w:sz w:val="24"/>
          <w:szCs w:val="24"/>
          <w:lang w:val="es-SV"/>
        </w:rPr>
        <w:t>.</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CE025D" w:rsidP="008E6CAE">
      <w:pPr>
        <w:pStyle w:val="Piedepgina"/>
        <w:jc w:val="both"/>
        <w:rPr>
          <w:rFonts w:ascii="Arial Narrow" w:hAnsi="Arial Narrow"/>
          <w:color w:val="000000" w:themeColor="text1"/>
          <w:sz w:val="24"/>
          <w:szCs w:val="24"/>
          <w:lang w:val="es-MX"/>
        </w:rPr>
      </w:pPr>
      <w:r w:rsidRPr="007B38A8">
        <w:rPr>
          <w:rFonts w:ascii="Arial Narrow" w:hAnsi="Arial Narrow"/>
          <w:color w:val="000000" w:themeColor="text1"/>
          <w:sz w:val="24"/>
          <w:szCs w:val="24"/>
          <w:lang w:val="es-MX"/>
        </w:rPr>
        <w:t>Las</w:t>
      </w:r>
      <w:r w:rsidR="00BE365D" w:rsidRPr="007B38A8">
        <w:rPr>
          <w:rFonts w:ascii="Arial Narrow" w:hAnsi="Arial Narrow"/>
          <w:color w:val="000000" w:themeColor="text1"/>
          <w:sz w:val="24"/>
          <w:szCs w:val="24"/>
          <w:lang w:val="es-MX"/>
        </w:rPr>
        <w:t xml:space="preserve"> instituciones financieras</w:t>
      </w:r>
      <w:r w:rsidRPr="007B38A8">
        <w:rPr>
          <w:rFonts w:ascii="Arial Narrow" w:hAnsi="Arial Narrow"/>
          <w:color w:val="000000" w:themeColor="text1"/>
          <w:sz w:val="24"/>
          <w:szCs w:val="24"/>
          <w:lang w:val="es-MX"/>
        </w:rPr>
        <w:t>,</w:t>
      </w:r>
      <w:r w:rsidR="00BE365D" w:rsidRPr="007B38A8">
        <w:rPr>
          <w:rFonts w:ascii="Arial Narrow" w:hAnsi="Arial Narrow"/>
          <w:color w:val="000000" w:themeColor="text1"/>
          <w:sz w:val="24"/>
          <w:szCs w:val="24"/>
          <w:lang w:val="es-MX"/>
        </w:rPr>
        <w:t xml:space="preserve"> citadas en el inciso anterior</w:t>
      </w:r>
      <w:r w:rsidRPr="007B38A8">
        <w:rPr>
          <w:rFonts w:ascii="Arial Narrow" w:hAnsi="Arial Narrow"/>
          <w:color w:val="000000" w:themeColor="text1"/>
          <w:sz w:val="24"/>
          <w:szCs w:val="24"/>
          <w:lang w:val="es-MX"/>
        </w:rPr>
        <w:t>, cuya cartera de créditos incluyan</w:t>
      </w:r>
      <w:r w:rsidR="00BE365D" w:rsidRPr="007B38A8">
        <w:rPr>
          <w:rFonts w:ascii="Arial Narrow" w:hAnsi="Arial Narrow"/>
          <w:color w:val="000000" w:themeColor="text1"/>
          <w:sz w:val="24"/>
          <w:szCs w:val="24"/>
          <w:lang w:val="es-MX"/>
        </w:rPr>
        <w:t xml:space="preserve"> créditos destinados a la producción del café y que </w:t>
      </w:r>
      <w:r w:rsidRPr="007B38A8">
        <w:rPr>
          <w:rFonts w:ascii="Arial Narrow" w:hAnsi="Arial Narrow"/>
          <w:color w:val="000000" w:themeColor="text1"/>
          <w:sz w:val="24"/>
          <w:szCs w:val="24"/>
          <w:lang w:val="es-MX"/>
        </w:rPr>
        <w:t xml:space="preserve">los mismos </w:t>
      </w:r>
      <w:r w:rsidR="00BE365D" w:rsidRPr="007B38A8">
        <w:rPr>
          <w:rFonts w:ascii="Arial Narrow" w:hAnsi="Arial Narrow"/>
          <w:color w:val="000000" w:themeColor="text1"/>
          <w:sz w:val="24"/>
          <w:szCs w:val="24"/>
          <w:lang w:val="es-MX"/>
        </w:rPr>
        <w:t xml:space="preserve">no </w:t>
      </w:r>
      <w:r w:rsidRPr="007B38A8">
        <w:rPr>
          <w:rFonts w:ascii="Arial Narrow" w:hAnsi="Arial Narrow"/>
          <w:color w:val="000000" w:themeColor="text1"/>
          <w:sz w:val="24"/>
          <w:szCs w:val="24"/>
          <w:lang w:val="es-MX"/>
        </w:rPr>
        <w:t>hayan sido</w:t>
      </w:r>
      <w:r w:rsidR="00BE365D" w:rsidRPr="007B38A8">
        <w:rPr>
          <w:rFonts w:ascii="Arial Narrow" w:hAnsi="Arial Narrow"/>
          <w:color w:val="000000" w:themeColor="text1"/>
          <w:sz w:val="24"/>
          <w:szCs w:val="24"/>
          <w:lang w:val="es-MX"/>
        </w:rPr>
        <w:t xml:space="preserve"> refinanciados en el marco del Decreto Legislativo No. 864, mantendrán las reservas de saneamiento constituidas según lo establecido en las “Normas para Clasificar los Activos de Riesgo Crediticio y Constituir las Reservas de Saneamiento” (NCB-022).</w:t>
      </w:r>
    </w:p>
    <w:p w:rsidR="00BE365D" w:rsidRPr="007B38A8" w:rsidRDefault="00BE365D" w:rsidP="008E6CAE">
      <w:pPr>
        <w:pStyle w:val="Piedepgina"/>
        <w:jc w:val="both"/>
        <w:rPr>
          <w:rFonts w:ascii="Arial Narrow" w:hAnsi="Arial Narrow"/>
          <w:color w:val="000000" w:themeColor="text1"/>
          <w:sz w:val="24"/>
          <w:szCs w:val="24"/>
          <w:lang w:val="es-SV"/>
        </w:rPr>
      </w:pPr>
    </w:p>
    <w:p w:rsidR="008E6CAE" w:rsidRPr="007B38A8" w:rsidRDefault="008E6CAE" w:rsidP="008E6CAE">
      <w:pPr>
        <w:pStyle w:val="Ttulo2"/>
        <w:rPr>
          <w:rFonts w:ascii="Arial Narrow" w:hAnsi="Arial Narrow"/>
          <w:color w:val="000000" w:themeColor="text1"/>
          <w:sz w:val="24"/>
          <w:szCs w:val="24"/>
        </w:rPr>
      </w:pPr>
      <w:r w:rsidRPr="007B38A8">
        <w:rPr>
          <w:rFonts w:ascii="Arial Narrow" w:hAnsi="Arial Narrow"/>
          <w:color w:val="000000" w:themeColor="text1"/>
          <w:sz w:val="24"/>
          <w:szCs w:val="24"/>
        </w:rPr>
        <w:t>CAPÍTULO II</w:t>
      </w:r>
    </w:p>
    <w:p w:rsidR="008E6CAE" w:rsidRPr="007B38A8" w:rsidRDefault="008E6CAE" w:rsidP="008E6CAE">
      <w:pPr>
        <w:pStyle w:val="Piedepgina"/>
        <w:jc w:val="center"/>
        <w:rPr>
          <w:rFonts w:ascii="Arial Narrow" w:hAnsi="Arial Narrow"/>
          <w:color w:val="000000" w:themeColor="text1"/>
          <w:sz w:val="24"/>
          <w:szCs w:val="24"/>
          <w:lang w:val="es-SV"/>
        </w:rPr>
      </w:pPr>
      <w:r w:rsidRPr="007B38A8">
        <w:rPr>
          <w:rFonts w:ascii="Arial Narrow" w:hAnsi="Arial Narrow"/>
          <w:b/>
          <w:color w:val="000000" w:themeColor="text1"/>
          <w:sz w:val="24"/>
          <w:szCs w:val="24"/>
          <w:lang w:val="es-SV"/>
        </w:rPr>
        <w:t>TRATAMIENTO ESPECIAL DE CRÉDITOS</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8E6CAE" w:rsidP="007B38A8">
      <w:pPr>
        <w:pStyle w:val="Piedepgina"/>
        <w:jc w:val="both"/>
        <w:rPr>
          <w:rFonts w:ascii="Arial Narrow" w:hAnsi="Arial Narrow"/>
          <w:color w:val="000000" w:themeColor="text1"/>
          <w:sz w:val="24"/>
          <w:szCs w:val="24"/>
          <w:lang w:val="es-SV"/>
        </w:rPr>
      </w:pPr>
      <w:r w:rsidRPr="007B38A8">
        <w:rPr>
          <w:rFonts w:ascii="Arial Narrow" w:hAnsi="Arial Narrow"/>
          <w:b/>
          <w:color w:val="000000" w:themeColor="text1"/>
          <w:sz w:val="24"/>
          <w:szCs w:val="24"/>
          <w:lang w:val="es-SV"/>
        </w:rPr>
        <w:t>Art. 3.-</w:t>
      </w:r>
      <w:r w:rsidRPr="007B38A8">
        <w:rPr>
          <w:rFonts w:ascii="Arial Narrow" w:hAnsi="Arial Narrow"/>
          <w:color w:val="000000" w:themeColor="text1"/>
          <w:sz w:val="24"/>
          <w:szCs w:val="24"/>
          <w:lang w:val="es-SV"/>
        </w:rPr>
        <w:t xml:space="preserve"> Conforme lo establecido en el Decret</w:t>
      </w:r>
      <w:r w:rsidR="007B38A8">
        <w:rPr>
          <w:rFonts w:ascii="Arial Narrow" w:hAnsi="Arial Narrow"/>
          <w:color w:val="000000" w:themeColor="text1"/>
          <w:sz w:val="24"/>
          <w:szCs w:val="24"/>
          <w:lang w:val="es-SV"/>
        </w:rPr>
        <w:t>o Legislativo No. 864 que contiene las R</w:t>
      </w:r>
      <w:r w:rsidRPr="007B38A8">
        <w:rPr>
          <w:rFonts w:ascii="Arial Narrow" w:hAnsi="Arial Narrow"/>
          <w:color w:val="000000" w:themeColor="text1"/>
          <w:sz w:val="24"/>
          <w:szCs w:val="24"/>
          <w:lang w:val="es-SV"/>
        </w:rPr>
        <w:t xml:space="preserve">eformas a la Ley de Creación del Fideicomiso de Apoyo a la Producción del Café, las instituciones financieras o el Fideicomiso que les otorguen financiamiento o refinanciamiento a los deudores que tengan categorías de riesgo C, D, o E, y que cumplan con las características definidas en el referido Decreto:  </w:t>
      </w:r>
    </w:p>
    <w:p w:rsidR="008E6CAE" w:rsidRPr="007B38A8" w:rsidRDefault="008E6CAE" w:rsidP="007B38A8">
      <w:pPr>
        <w:pStyle w:val="Piedepgina"/>
        <w:jc w:val="both"/>
        <w:rPr>
          <w:rFonts w:ascii="Arial Narrow" w:hAnsi="Arial Narrow"/>
          <w:color w:val="000000" w:themeColor="text1"/>
          <w:sz w:val="24"/>
          <w:szCs w:val="24"/>
          <w:lang w:val="es-SV"/>
        </w:rPr>
      </w:pPr>
    </w:p>
    <w:p w:rsidR="008E6CAE" w:rsidRPr="007B38A8" w:rsidRDefault="008E6CAE" w:rsidP="007B38A8">
      <w:pPr>
        <w:pStyle w:val="Piedepgina"/>
        <w:numPr>
          <w:ilvl w:val="0"/>
          <w:numId w:val="23"/>
        </w:numPr>
        <w:ind w:left="425" w:hanging="425"/>
        <w:jc w:val="both"/>
        <w:rPr>
          <w:rFonts w:ascii="Arial Narrow" w:hAnsi="Arial Narrow"/>
          <w:color w:val="000000" w:themeColor="text1"/>
          <w:sz w:val="24"/>
          <w:szCs w:val="24"/>
          <w:lang w:val="es-SV"/>
        </w:rPr>
      </w:pPr>
      <w:r w:rsidRPr="007B38A8">
        <w:rPr>
          <w:rFonts w:ascii="Arial Narrow" w:hAnsi="Arial Narrow"/>
          <w:color w:val="000000" w:themeColor="text1"/>
          <w:sz w:val="24"/>
          <w:szCs w:val="24"/>
          <w:lang w:val="es-SV"/>
        </w:rPr>
        <w:t>No estarán en la obligación de constituir reservas de saneamiento en función de la categoría de riesgos que presenten al momento del financiamiento o refinanciamiento de las operaciones crediticias destinados a la producción de café o al pago de deudas en el sector cafetalero</w:t>
      </w:r>
      <w:r w:rsidR="007B38A8">
        <w:rPr>
          <w:rFonts w:ascii="Arial Narrow" w:hAnsi="Arial Narrow"/>
          <w:color w:val="000000" w:themeColor="text1"/>
          <w:sz w:val="24"/>
          <w:szCs w:val="24"/>
          <w:lang w:val="es-SV"/>
        </w:rPr>
        <w:t xml:space="preserve">; y </w:t>
      </w:r>
    </w:p>
    <w:p w:rsidR="008E6CAE" w:rsidRPr="007B38A8" w:rsidRDefault="008E6CAE" w:rsidP="007B38A8">
      <w:pPr>
        <w:pStyle w:val="Piedepgina"/>
        <w:ind w:left="425" w:hanging="425"/>
        <w:jc w:val="both"/>
        <w:rPr>
          <w:rFonts w:ascii="Arial Narrow" w:hAnsi="Arial Narrow"/>
          <w:color w:val="000000" w:themeColor="text1"/>
          <w:sz w:val="24"/>
          <w:szCs w:val="24"/>
          <w:lang w:val="es-SV"/>
        </w:rPr>
      </w:pPr>
    </w:p>
    <w:p w:rsidR="008E6CAE" w:rsidRPr="007B38A8" w:rsidRDefault="008E6CAE" w:rsidP="007B38A8">
      <w:pPr>
        <w:pStyle w:val="Piedepgina"/>
        <w:numPr>
          <w:ilvl w:val="0"/>
          <w:numId w:val="23"/>
        </w:numPr>
        <w:ind w:left="425" w:hanging="425"/>
        <w:jc w:val="both"/>
        <w:rPr>
          <w:rFonts w:ascii="Arial Narrow" w:hAnsi="Arial Narrow"/>
          <w:color w:val="000000" w:themeColor="text1"/>
          <w:sz w:val="24"/>
          <w:szCs w:val="24"/>
          <w:lang w:val="es-SV"/>
        </w:rPr>
      </w:pPr>
      <w:r w:rsidRPr="007B38A8">
        <w:rPr>
          <w:rFonts w:ascii="Arial Narrow" w:hAnsi="Arial Narrow"/>
          <w:color w:val="000000" w:themeColor="text1"/>
          <w:sz w:val="24"/>
          <w:szCs w:val="24"/>
          <w:lang w:val="es-SV"/>
        </w:rPr>
        <w:t>En caso que el deudor posea operaciones crediticias destinadas a actividades o sectores diferentes a producción de café o al pago de deudas en el sector cafetalero, el tratamiento descrito en el literal anterior será aplicable solo a los créditos relativos a producción de café o al pago de deudas en el sector cafetaler</w:t>
      </w:r>
      <w:r w:rsidR="00CE025D" w:rsidRPr="007B38A8">
        <w:rPr>
          <w:rFonts w:ascii="Arial Narrow" w:hAnsi="Arial Narrow"/>
          <w:color w:val="000000" w:themeColor="text1"/>
          <w:sz w:val="24"/>
          <w:szCs w:val="24"/>
          <w:lang w:val="es-SV"/>
        </w:rPr>
        <w:t>o.</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8E6CAE" w:rsidP="008E6CAE">
      <w:pPr>
        <w:pStyle w:val="Piedepgina"/>
        <w:jc w:val="both"/>
        <w:rPr>
          <w:rFonts w:ascii="Arial Narrow" w:hAnsi="Arial Narrow"/>
          <w:color w:val="000000" w:themeColor="text1"/>
          <w:sz w:val="24"/>
          <w:szCs w:val="24"/>
          <w:lang w:val="es-SV"/>
        </w:rPr>
      </w:pPr>
      <w:r w:rsidRPr="007B38A8">
        <w:rPr>
          <w:rFonts w:ascii="Arial Narrow" w:hAnsi="Arial Narrow"/>
          <w:b/>
          <w:color w:val="000000" w:themeColor="text1"/>
          <w:sz w:val="24"/>
          <w:szCs w:val="24"/>
          <w:lang w:val="es-SV"/>
        </w:rPr>
        <w:t>Art. 4.-</w:t>
      </w:r>
      <w:r w:rsidR="007B38A8">
        <w:rPr>
          <w:rFonts w:ascii="Arial Narrow" w:hAnsi="Arial Narrow"/>
          <w:color w:val="000000" w:themeColor="text1"/>
          <w:sz w:val="24"/>
          <w:szCs w:val="24"/>
          <w:lang w:val="es-SV"/>
        </w:rPr>
        <w:t xml:space="preserve"> En caso que los nuevos </w:t>
      </w:r>
      <w:r w:rsidRPr="007B38A8">
        <w:rPr>
          <w:rFonts w:ascii="Arial Narrow" w:hAnsi="Arial Narrow"/>
          <w:color w:val="000000" w:themeColor="text1"/>
          <w:sz w:val="24"/>
          <w:szCs w:val="24"/>
          <w:lang w:val="es-SV"/>
        </w:rPr>
        <w:t xml:space="preserve">créditos otorgados o refinanciados incumplan las condiciones de pago, será procedente la constitución de las reservas de saneamiento correspondientes, según lo establecido en las </w:t>
      </w:r>
      <w:r w:rsidR="007B38A8">
        <w:rPr>
          <w:rFonts w:ascii="Arial Narrow" w:hAnsi="Arial Narrow"/>
          <w:color w:val="000000" w:themeColor="text1"/>
          <w:sz w:val="24"/>
          <w:szCs w:val="24"/>
          <w:lang w:val="es-SV"/>
        </w:rPr>
        <w:t>“</w:t>
      </w:r>
      <w:r w:rsidRPr="007B38A8">
        <w:rPr>
          <w:rFonts w:ascii="Arial Narrow" w:hAnsi="Arial Narrow"/>
          <w:color w:val="000000" w:themeColor="text1"/>
          <w:sz w:val="24"/>
          <w:szCs w:val="24"/>
          <w:lang w:val="es-SV"/>
        </w:rPr>
        <w:t>Normas para Clasificar los Activos de Riesgo Crediticio y Constituir las Reservas de Saneamiento</w:t>
      </w:r>
      <w:r w:rsidR="007B38A8">
        <w:rPr>
          <w:rFonts w:ascii="Arial Narrow" w:hAnsi="Arial Narrow"/>
          <w:color w:val="000000" w:themeColor="text1"/>
          <w:sz w:val="24"/>
          <w:szCs w:val="24"/>
          <w:lang w:val="es-SV"/>
        </w:rPr>
        <w:t>”</w:t>
      </w:r>
      <w:r w:rsidRPr="007B38A8">
        <w:rPr>
          <w:rFonts w:ascii="Arial Narrow" w:hAnsi="Arial Narrow"/>
          <w:color w:val="000000" w:themeColor="text1"/>
          <w:sz w:val="24"/>
          <w:szCs w:val="24"/>
          <w:lang w:val="es-SV"/>
        </w:rPr>
        <w:t xml:space="preserve"> (NCB-022). </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8E6CAE" w:rsidP="008E6CAE">
      <w:pPr>
        <w:pStyle w:val="Piedepgina"/>
        <w:jc w:val="both"/>
        <w:rPr>
          <w:rFonts w:ascii="Arial Narrow" w:hAnsi="Arial Narrow"/>
          <w:color w:val="000000" w:themeColor="text1"/>
          <w:sz w:val="24"/>
          <w:szCs w:val="24"/>
          <w:lang w:val="es-SV"/>
        </w:rPr>
      </w:pPr>
      <w:r w:rsidRPr="007B38A8">
        <w:rPr>
          <w:rFonts w:ascii="Arial Narrow" w:hAnsi="Arial Narrow"/>
          <w:color w:val="000000" w:themeColor="text1"/>
          <w:sz w:val="24"/>
          <w:szCs w:val="24"/>
          <w:lang w:val="es-SV"/>
        </w:rPr>
        <w:tab/>
      </w:r>
      <w:r w:rsidRPr="007B38A8">
        <w:rPr>
          <w:rFonts w:ascii="Arial Narrow" w:hAnsi="Arial Narrow"/>
          <w:b/>
          <w:color w:val="000000" w:themeColor="text1"/>
          <w:sz w:val="24"/>
          <w:szCs w:val="24"/>
          <w:lang w:val="es-SV"/>
        </w:rPr>
        <w:t>Art. 5.-</w:t>
      </w:r>
      <w:r w:rsidRPr="007B38A8">
        <w:rPr>
          <w:rFonts w:ascii="Arial Narrow" w:hAnsi="Arial Narrow"/>
          <w:color w:val="000000" w:themeColor="text1"/>
          <w:sz w:val="24"/>
          <w:szCs w:val="24"/>
          <w:lang w:val="es-SV"/>
        </w:rPr>
        <w:t xml:space="preserve"> Las presentes disposiciones se entenderán como una</w:t>
      </w:r>
      <w:r w:rsidR="007B38A8">
        <w:rPr>
          <w:rFonts w:ascii="Arial Narrow" w:hAnsi="Arial Narrow"/>
          <w:color w:val="000000" w:themeColor="text1"/>
          <w:sz w:val="24"/>
          <w:szCs w:val="24"/>
          <w:lang w:val="es-SV"/>
        </w:rPr>
        <w:t xml:space="preserve"> excepción a la aplicación del </w:t>
      </w:r>
      <w:r w:rsidRPr="007B38A8">
        <w:rPr>
          <w:rFonts w:ascii="Arial Narrow" w:hAnsi="Arial Narrow"/>
          <w:color w:val="000000" w:themeColor="text1"/>
          <w:sz w:val="24"/>
          <w:szCs w:val="24"/>
          <w:lang w:val="es-SV"/>
        </w:rPr>
        <w:t xml:space="preserve">artículo 18 de las </w:t>
      </w:r>
      <w:r w:rsidR="007B38A8">
        <w:rPr>
          <w:rFonts w:ascii="Arial Narrow" w:hAnsi="Arial Narrow"/>
          <w:color w:val="000000" w:themeColor="text1"/>
          <w:sz w:val="24"/>
          <w:szCs w:val="24"/>
          <w:lang w:val="es-SV"/>
        </w:rPr>
        <w:t>“</w:t>
      </w:r>
      <w:r w:rsidRPr="007B38A8">
        <w:rPr>
          <w:rFonts w:ascii="Arial Narrow" w:hAnsi="Arial Narrow"/>
          <w:color w:val="000000" w:themeColor="text1"/>
          <w:sz w:val="24"/>
          <w:szCs w:val="24"/>
          <w:lang w:val="es-SV"/>
        </w:rPr>
        <w:t>Normas para Clasificar los Activos de Riesgo Crediticio y Constituir las Reservas de Saneamiento</w:t>
      </w:r>
      <w:r w:rsidR="007B38A8">
        <w:rPr>
          <w:rFonts w:ascii="Arial Narrow" w:hAnsi="Arial Narrow"/>
          <w:color w:val="000000" w:themeColor="text1"/>
          <w:sz w:val="24"/>
          <w:szCs w:val="24"/>
          <w:lang w:val="es-SV"/>
        </w:rPr>
        <w:t>”</w:t>
      </w:r>
      <w:r w:rsidRPr="007B38A8">
        <w:rPr>
          <w:rFonts w:ascii="Arial Narrow" w:hAnsi="Arial Narrow"/>
          <w:color w:val="000000" w:themeColor="text1"/>
          <w:sz w:val="24"/>
          <w:szCs w:val="24"/>
          <w:lang w:val="es-SV"/>
        </w:rPr>
        <w:t xml:space="preserve"> (NCB-022), en relación a financiamientos o refinanciamientos de </w:t>
      </w:r>
      <w:r w:rsidRPr="007B38A8">
        <w:rPr>
          <w:rFonts w:ascii="Arial Narrow" w:hAnsi="Arial Narrow"/>
          <w:color w:val="000000" w:themeColor="text1"/>
          <w:sz w:val="24"/>
          <w:szCs w:val="24"/>
          <w:lang w:val="es-SV"/>
        </w:rPr>
        <w:lastRenderedPageBreak/>
        <w:t>las operaciones crediticias destinados a la producción de café o al pago de deudas en el sector cafetalero, según lo contenido en el Decreto Legislativo antes referido.</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8E6CAE" w:rsidP="008E6CAE">
      <w:pPr>
        <w:pStyle w:val="Piedepgina"/>
        <w:jc w:val="both"/>
        <w:rPr>
          <w:rFonts w:ascii="Arial Narrow" w:hAnsi="Arial Narrow"/>
          <w:color w:val="000000" w:themeColor="text1"/>
          <w:sz w:val="24"/>
          <w:szCs w:val="24"/>
          <w:lang w:val="es-SV"/>
        </w:rPr>
      </w:pPr>
      <w:r w:rsidRPr="007B38A8">
        <w:rPr>
          <w:rFonts w:ascii="Arial Narrow" w:hAnsi="Arial Narrow"/>
          <w:b/>
          <w:color w:val="000000" w:themeColor="text1"/>
          <w:sz w:val="24"/>
          <w:szCs w:val="24"/>
          <w:lang w:val="es-SV"/>
        </w:rPr>
        <w:t>Art. 6.-</w:t>
      </w:r>
      <w:r w:rsidRPr="007B38A8">
        <w:rPr>
          <w:rFonts w:ascii="Arial Narrow" w:hAnsi="Arial Narrow"/>
          <w:color w:val="000000" w:themeColor="text1"/>
          <w:sz w:val="24"/>
          <w:szCs w:val="24"/>
          <w:lang w:val="es-SV"/>
        </w:rPr>
        <w:t xml:space="preserve"> Las entidades que apliquen estas medidas, deberán contar con un registro separado y actualizado de los deudores y operaciones crediticias que han sido sujetos de los beneficios de estas medidas. </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8E6CAE" w:rsidP="00CE025D">
      <w:pPr>
        <w:pStyle w:val="Piedepgina"/>
        <w:jc w:val="center"/>
        <w:rPr>
          <w:rFonts w:ascii="Arial Narrow" w:hAnsi="Arial Narrow"/>
          <w:b/>
          <w:color w:val="000000" w:themeColor="text1"/>
          <w:sz w:val="24"/>
          <w:szCs w:val="24"/>
          <w:lang w:val="es-SV"/>
        </w:rPr>
      </w:pPr>
      <w:r w:rsidRPr="007B38A8">
        <w:rPr>
          <w:rFonts w:ascii="Arial Narrow" w:hAnsi="Arial Narrow"/>
          <w:b/>
          <w:color w:val="000000" w:themeColor="text1"/>
          <w:sz w:val="24"/>
          <w:szCs w:val="24"/>
          <w:lang w:val="es-SV"/>
        </w:rPr>
        <w:t>CAPÍTULO III</w:t>
      </w:r>
    </w:p>
    <w:p w:rsidR="008E6CAE" w:rsidRPr="007B38A8" w:rsidRDefault="008E6CAE" w:rsidP="00CE025D">
      <w:pPr>
        <w:pStyle w:val="Piedepgina"/>
        <w:jc w:val="center"/>
        <w:rPr>
          <w:rFonts w:ascii="Arial Narrow" w:hAnsi="Arial Narrow"/>
          <w:b/>
          <w:color w:val="000000" w:themeColor="text1"/>
          <w:sz w:val="24"/>
          <w:szCs w:val="24"/>
          <w:lang w:val="es-SV"/>
        </w:rPr>
      </w:pPr>
      <w:r w:rsidRPr="007B38A8">
        <w:rPr>
          <w:rFonts w:ascii="Arial Narrow" w:hAnsi="Arial Narrow"/>
          <w:b/>
          <w:color w:val="000000" w:themeColor="text1"/>
          <w:sz w:val="24"/>
          <w:szCs w:val="24"/>
          <w:lang w:val="es-SV"/>
        </w:rPr>
        <w:t>OTRAS DISPOSICIONES Y VIGENCIA</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8E6CAE" w:rsidP="008E6CAE">
      <w:pPr>
        <w:pStyle w:val="Piedepgina"/>
        <w:jc w:val="both"/>
        <w:rPr>
          <w:rFonts w:ascii="Arial Narrow" w:hAnsi="Arial Narrow"/>
          <w:b/>
          <w:color w:val="000000" w:themeColor="text1"/>
          <w:sz w:val="24"/>
          <w:szCs w:val="24"/>
          <w:lang w:val="es-SV"/>
        </w:rPr>
      </w:pPr>
      <w:r w:rsidRPr="007B38A8">
        <w:rPr>
          <w:rFonts w:ascii="Arial Narrow" w:hAnsi="Arial Narrow"/>
          <w:b/>
          <w:color w:val="000000" w:themeColor="text1"/>
          <w:sz w:val="24"/>
          <w:szCs w:val="24"/>
          <w:lang w:val="es-SV"/>
        </w:rPr>
        <w:t>Transitoriedad de las medidas</w:t>
      </w:r>
    </w:p>
    <w:p w:rsidR="008E6CAE" w:rsidRPr="007B38A8" w:rsidRDefault="008E6CAE" w:rsidP="008E6CAE">
      <w:pPr>
        <w:pStyle w:val="Piedepgina"/>
        <w:jc w:val="both"/>
        <w:rPr>
          <w:rFonts w:ascii="Arial Narrow" w:hAnsi="Arial Narrow"/>
          <w:color w:val="000000" w:themeColor="text1"/>
          <w:sz w:val="24"/>
          <w:szCs w:val="24"/>
          <w:lang w:val="es-SV"/>
        </w:rPr>
      </w:pPr>
      <w:r w:rsidRPr="007B38A8">
        <w:rPr>
          <w:rFonts w:ascii="Arial Narrow" w:hAnsi="Arial Narrow"/>
          <w:color w:val="000000" w:themeColor="text1"/>
          <w:sz w:val="24"/>
          <w:szCs w:val="24"/>
          <w:lang w:val="es-SV"/>
        </w:rPr>
        <w:tab/>
      </w:r>
      <w:r w:rsidRPr="007B38A8">
        <w:rPr>
          <w:rFonts w:ascii="Arial Narrow" w:hAnsi="Arial Narrow"/>
          <w:b/>
          <w:color w:val="000000" w:themeColor="text1"/>
          <w:sz w:val="24"/>
          <w:szCs w:val="24"/>
          <w:lang w:val="es-SV"/>
        </w:rPr>
        <w:t>Art. 7.-</w:t>
      </w:r>
      <w:r w:rsidRPr="007B38A8">
        <w:rPr>
          <w:rFonts w:ascii="Arial Narrow" w:hAnsi="Arial Narrow"/>
          <w:color w:val="000000" w:themeColor="text1"/>
          <w:sz w:val="24"/>
          <w:szCs w:val="24"/>
          <w:lang w:val="es-SV"/>
        </w:rPr>
        <w:t xml:space="preserve"> Los efectos de estas medidas se mantendrán durante el plaz</w:t>
      </w:r>
      <w:r w:rsidR="007B38A8">
        <w:rPr>
          <w:rFonts w:ascii="Arial Narrow" w:hAnsi="Arial Narrow"/>
          <w:color w:val="000000" w:themeColor="text1"/>
          <w:sz w:val="24"/>
          <w:szCs w:val="24"/>
          <w:lang w:val="es-SV"/>
        </w:rPr>
        <w:t>o al que hace referencia el artículo</w:t>
      </w:r>
      <w:r w:rsidRPr="007B38A8">
        <w:rPr>
          <w:rFonts w:ascii="Arial Narrow" w:hAnsi="Arial Narrow"/>
          <w:color w:val="000000" w:themeColor="text1"/>
          <w:sz w:val="24"/>
          <w:szCs w:val="24"/>
          <w:lang w:val="es-SV"/>
        </w:rPr>
        <w:t xml:space="preserve"> 12 del Decreto Legislativo</w:t>
      </w:r>
      <w:r w:rsidR="007B38A8">
        <w:rPr>
          <w:rFonts w:ascii="Arial Narrow" w:hAnsi="Arial Narrow"/>
          <w:color w:val="000000" w:themeColor="text1"/>
          <w:sz w:val="24"/>
          <w:szCs w:val="24"/>
          <w:lang w:val="es-SV"/>
        </w:rPr>
        <w:t xml:space="preserve"> No. 864</w:t>
      </w:r>
      <w:r w:rsidRPr="007B38A8">
        <w:rPr>
          <w:rFonts w:ascii="Arial Narrow" w:hAnsi="Arial Narrow"/>
          <w:color w:val="000000" w:themeColor="text1"/>
          <w:sz w:val="24"/>
          <w:szCs w:val="24"/>
          <w:lang w:val="es-SV"/>
        </w:rPr>
        <w:t xml:space="preserve"> que contiene las reformas a la Ley de Creación del Fideicomiso de Apoyo a la Producción del Café.</w:t>
      </w:r>
    </w:p>
    <w:p w:rsidR="008E6CAE" w:rsidRPr="007B38A8" w:rsidRDefault="008E6CAE" w:rsidP="008E6CAE">
      <w:pPr>
        <w:pStyle w:val="Piedepgina"/>
        <w:jc w:val="both"/>
        <w:rPr>
          <w:rFonts w:ascii="Arial Narrow" w:hAnsi="Arial Narrow"/>
          <w:color w:val="000000" w:themeColor="text1"/>
          <w:sz w:val="24"/>
          <w:szCs w:val="24"/>
          <w:lang w:val="es-SV"/>
        </w:rPr>
      </w:pPr>
    </w:p>
    <w:p w:rsidR="008E6CAE" w:rsidRPr="007B38A8" w:rsidRDefault="008E6CAE" w:rsidP="008E6CAE">
      <w:pPr>
        <w:pStyle w:val="Piedepgina"/>
        <w:jc w:val="both"/>
        <w:rPr>
          <w:rFonts w:ascii="Arial Narrow" w:hAnsi="Arial Narrow"/>
          <w:b/>
          <w:color w:val="000000" w:themeColor="text1"/>
          <w:sz w:val="24"/>
          <w:szCs w:val="24"/>
          <w:lang w:val="es-SV"/>
        </w:rPr>
      </w:pPr>
      <w:r w:rsidRPr="007B38A8">
        <w:rPr>
          <w:rFonts w:ascii="Arial Narrow" w:hAnsi="Arial Narrow"/>
          <w:b/>
          <w:color w:val="000000" w:themeColor="text1"/>
          <w:sz w:val="24"/>
          <w:szCs w:val="24"/>
          <w:lang w:val="es-SV"/>
        </w:rPr>
        <w:t>Vigencia</w:t>
      </w:r>
    </w:p>
    <w:p w:rsidR="008E6CAE" w:rsidRPr="007B38A8" w:rsidRDefault="008E6CAE" w:rsidP="008E6CAE">
      <w:pPr>
        <w:pStyle w:val="Piedepgina"/>
        <w:jc w:val="both"/>
        <w:rPr>
          <w:rFonts w:ascii="Arial Narrow" w:hAnsi="Arial Narrow"/>
          <w:color w:val="000000" w:themeColor="text1"/>
          <w:sz w:val="22"/>
          <w:szCs w:val="22"/>
          <w:lang w:val="es-SV"/>
        </w:rPr>
      </w:pPr>
      <w:r w:rsidRPr="007B38A8">
        <w:rPr>
          <w:rFonts w:ascii="Arial Narrow" w:hAnsi="Arial Narrow"/>
          <w:b/>
          <w:color w:val="000000" w:themeColor="text1"/>
          <w:sz w:val="24"/>
          <w:szCs w:val="24"/>
          <w:lang w:val="es-SV"/>
        </w:rPr>
        <w:t>Art. 8.-</w:t>
      </w:r>
      <w:r w:rsidRPr="007B38A8">
        <w:rPr>
          <w:rFonts w:ascii="Arial Narrow" w:hAnsi="Arial Narrow"/>
          <w:color w:val="000000" w:themeColor="text1"/>
          <w:sz w:val="24"/>
          <w:szCs w:val="24"/>
          <w:lang w:val="es-SV"/>
        </w:rPr>
        <w:t xml:space="preserve"> Las presentes medidas tendrán vigencia a partir de</w:t>
      </w:r>
      <w:r w:rsidR="00CE025D" w:rsidRPr="007B38A8">
        <w:rPr>
          <w:rFonts w:ascii="Arial Narrow" w:hAnsi="Arial Narrow"/>
          <w:color w:val="000000" w:themeColor="text1"/>
          <w:sz w:val="24"/>
          <w:szCs w:val="24"/>
          <w:lang w:val="es-SV"/>
        </w:rPr>
        <w:t>l treinta de mayo de</w:t>
      </w:r>
      <w:r w:rsidR="00CE025D" w:rsidRPr="007B38A8">
        <w:rPr>
          <w:rFonts w:ascii="Arial Narrow" w:hAnsi="Arial Narrow"/>
          <w:color w:val="000000" w:themeColor="text1"/>
          <w:sz w:val="22"/>
          <w:szCs w:val="22"/>
          <w:lang w:val="es-SV"/>
        </w:rPr>
        <w:t xml:space="preserve"> dos mil dieciocho.</w:t>
      </w:r>
      <w:r w:rsidRPr="007B38A8">
        <w:rPr>
          <w:rFonts w:ascii="Arial Narrow" w:hAnsi="Arial Narrow"/>
          <w:color w:val="000000" w:themeColor="text1"/>
          <w:sz w:val="22"/>
          <w:szCs w:val="22"/>
          <w:lang w:val="es-SV"/>
        </w:rPr>
        <w:t xml:space="preserve"> </w:t>
      </w:r>
    </w:p>
    <w:sectPr w:rsidR="008E6CAE" w:rsidRPr="007B38A8" w:rsidSect="006817FE">
      <w:headerReference w:type="default" r:id="rId12"/>
      <w:footerReference w:type="even" r:id="rId13"/>
      <w:footerReference w:type="default" r:id="rId14"/>
      <w:pgSz w:w="12240" w:h="15840"/>
      <w:pgMar w:top="1417" w:right="1701" w:bottom="1417" w:left="1701" w:header="709" w:footer="709"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4A1B4" w16cid:durableId="1EA8945A"/>
  <w16cid:commentId w16cid:paraId="2B881B6F" w16cid:durableId="1EA898B5"/>
  <w16cid:commentId w16cid:paraId="39BC0DC5" w16cid:durableId="1EA8990B"/>
  <w16cid:commentId w16cid:paraId="7F2ECB85" w16cid:durableId="1EA89C6C"/>
  <w16cid:commentId w16cid:paraId="3AF09BB0" w16cid:durableId="1EA89B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3EA" w:rsidRDefault="00DF13EA">
      <w:r>
        <w:separator/>
      </w:r>
    </w:p>
  </w:endnote>
  <w:endnote w:type="continuationSeparator" w:id="0">
    <w:p w:rsidR="00DF13EA" w:rsidRDefault="00DF13EA">
      <w:r>
        <w:continuationSeparator/>
      </w:r>
    </w:p>
  </w:endnote>
  <w:endnote w:type="continuationNotice" w:id="1">
    <w:p w:rsidR="00DF13EA" w:rsidRDefault="00DF13EA"/>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AD" w:rsidRDefault="009605A7">
    <w:pPr>
      <w:pStyle w:val="Piedepgina"/>
      <w:framePr w:wrap="around" w:vAnchor="text" w:hAnchor="margin" w:xAlign="right" w:y="1"/>
      <w:rPr>
        <w:rStyle w:val="Nmerodepgina"/>
      </w:rPr>
    </w:pPr>
    <w:r>
      <w:rPr>
        <w:rStyle w:val="Nmerodepgina"/>
      </w:rPr>
      <w:fldChar w:fldCharType="begin"/>
    </w:r>
    <w:r w:rsidR="00BB5DAD">
      <w:rPr>
        <w:rStyle w:val="Nmerodepgina"/>
      </w:rPr>
      <w:instrText xml:space="preserve">PAGE  </w:instrText>
    </w:r>
    <w:r>
      <w:rPr>
        <w:rStyle w:val="Nmerodepgina"/>
      </w:rPr>
      <w:fldChar w:fldCharType="separate"/>
    </w:r>
    <w:r w:rsidR="00BB5DAD">
      <w:rPr>
        <w:rStyle w:val="Nmerodepgina"/>
        <w:noProof/>
      </w:rPr>
      <w:t>16</w:t>
    </w:r>
    <w:r>
      <w:rPr>
        <w:rStyle w:val="Nmerodepgina"/>
      </w:rPr>
      <w:fldChar w:fldCharType="end"/>
    </w:r>
  </w:p>
  <w:p w:rsidR="00BB5DAD" w:rsidRDefault="00BB5DA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jc w:val="center"/>
      <w:tblBorders>
        <w:top w:val="triple" w:sz="4" w:space="0" w:color="A6A6A6" w:themeColor="background1" w:themeShade="A6"/>
      </w:tblBorders>
      <w:tblLook w:val="04A0"/>
    </w:tblPr>
    <w:tblGrid>
      <w:gridCol w:w="992"/>
      <w:gridCol w:w="6663"/>
      <w:gridCol w:w="1984"/>
    </w:tblGrid>
    <w:tr w:rsidR="00BB5DAD" w:rsidRPr="00337EF6" w:rsidTr="00B46399">
      <w:trPr>
        <w:trHeight w:val="822"/>
        <w:jc w:val="center"/>
      </w:trPr>
      <w:tc>
        <w:tcPr>
          <w:tcW w:w="992" w:type="dxa"/>
          <w:tcBorders>
            <w:top w:val="nil"/>
            <w:left w:val="nil"/>
            <w:bottom w:val="nil"/>
            <w:right w:val="nil"/>
          </w:tcBorders>
          <w:vAlign w:val="bottom"/>
        </w:tcPr>
        <w:p w:rsidR="00BB5DAD" w:rsidRPr="00337EF6" w:rsidRDefault="00BB5DAD" w:rsidP="00D00A81">
          <w:pPr>
            <w:pStyle w:val="Piedepgina"/>
            <w:ind w:firstLine="34"/>
            <w:jc w:val="center"/>
            <w:rPr>
              <w:rFonts w:ascii="Arial Narrow" w:hAnsi="Arial Narrow"/>
              <w:color w:val="808080" w:themeColor="background1" w:themeShade="80"/>
            </w:rPr>
          </w:pPr>
        </w:p>
        <w:p w:rsidR="00BB5DAD" w:rsidRPr="00337EF6" w:rsidRDefault="00BB5DAD" w:rsidP="00D00A81">
          <w:pPr>
            <w:pStyle w:val="Piedepgina"/>
            <w:ind w:firstLine="34"/>
            <w:jc w:val="center"/>
            <w:rPr>
              <w:rFonts w:ascii="Arial Narrow" w:hAnsi="Arial Narrow"/>
              <w:color w:val="808080" w:themeColor="background1" w:themeShade="80"/>
            </w:rPr>
          </w:pPr>
        </w:p>
        <w:p w:rsidR="00BB5DAD" w:rsidRPr="00337EF6" w:rsidRDefault="00BB5DAD" w:rsidP="00D00A81">
          <w:pPr>
            <w:pStyle w:val="Piedepgina"/>
            <w:ind w:firstLine="34"/>
            <w:rPr>
              <w:rFonts w:ascii="Arial Narrow" w:hAnsi="Arial Narrow"/>
              <w:color w:val="808080" w:themeColor="background1" w:themeShade="80"/>
            </w:rPr>
          </w:pPr>
        </w:p>
      </w:tc>
      <w:tc>
        <w:tcPr>
          <w:tcW w:w="6663" w:type="dxa"/>
          <w:tcBorders>
            <w:top w:val="triple" w:sz="4" w:space="0" w:color="A6A6A6" w:themeColor="background1" w:themeShade="A6"/>
            <w:left w:val="nil"/>
            <w:bottom w:val="nil"/>
            <w:right w:val="nil"/>
          </w:tcBorders>
          <w:vAlign w:val="center"/>
          <w:hideMark/>
        </w:tcPr>
        <w:p w:rsidR="00BB5DAD" w:rsidRPr="00337EF6" w:rsidRDefault="00BB5DAD" w:rsidP="00D00A81">
          <w:pPr>
            <w:pStyle w:val="Piedepgina"/>
            <w:jc w:val="center"/>
            <w:rPr>
              <w:rFonts w:ascii="Arial Narrow" w:hAnsi="Arial Narrow" w:cs="Arial"/>
              <w:color w:val="808080" w:themeColor="background1" w:themeShade="80"/>
              <w:lang w:val="es-MX"/>
            </w:rPr>
          </w:pPr>
          <w:r w:rsidRPr="00337EF6">
            <w:rPr>
              <w:rFonts w:ascii="Arial Narrow" w:hAnsi="Arial Narrow" w:cs="Arial"/>
              <w:color w:val="808080" w:themeColor="background1" w:themeShade="80"/>
              <w:lang w:val="es-MX"/>
            </w:rPr>
            <w:t>Alameda Juan Pablo II, entre 15 y 17 Av. Norte, San Salvador, El Salvador.</w:t>
          </w:r>
        </w:p>
        <w:p w:rsidR="00BB5DAD" w:rsidRPr="00337EF6" w:rsidRDefault="00BB5DAD" w:rsidP="00D00A81">
          <w:pPr>
            <w:pStyle w:val="Piedepgina"/>
            <w:jc w:val="center"/>
            <w:rPr>
              <w:rFonts w:ascii="Arial Narrow" w:hAnsi="Arial Narrow" w:cs="Arial"/>
              <w:color w:val="808080" w:themeColor="background1" w:themeShade="80"/>
            </w:rPr>
          </w:pPr>
          <w:r w:rsidRPr="00337EF6">
            <w:rPr>
              <w:rFonts w:ascii="Arial Narrow" w:hAnsi="Arial Narrow" w:cs="Arial"/>
              <w:color w:val="808080" w:themeColor="background1" w:themeShade="80"/>
            </w:rPr>
            <w:t>Tel. (503) 2281-8000</w:t>
          </w:r>
        </w:p>
        <w:p w:rsidR="00BB5DAD" w:rsidRPr="00337EF6" w:rsidRDefault="00BB5DAD" w:rsidP="00D00A81">
          <w:pPr>
            <w:pStyle w:val="Piedepgina"/>
            <w:jc w:val="center"/>
            <w:rPr>
              <w:rFonts w:ascii="Arial Narrow" w:hAnsi="Arial Narrow" w:cs="Arial"/>
              <w:color w:val="808080" w:themeColor="background1" w:themeShade="80"/>
            </w:rPr>
          </w:pPr>
          <w:r w:rsidRPr="00337EF6">
            <w:rPr>
              <w:rFonts w:ascii="Arial Narrow" w:hAnsi="Arial Narrow" w:cs="Arial"/>
              <w:color w:val="808080" w:themeColor="background1" w:themeShade="80"/>
            </w:rPr>
            <w:t xml:space="preserve"> www.bcr.gob.sv</w:t>
          </w:r>
        </w:p>
      </w:tc>
      <w:tc>
        <w:tcPr>
          <w:tcW w:w="1984" w:type="dxa"/>
          <w:tcBorders>
            <w:top w:val="triple" w:sz="4" w:space="0" w:color="A6A6A6" w:themeColor="background1" w:themeShade="A6"/>
            <w:left w:val="nil"/>
            <w:bottom w:val="nil"/>
            <w:right w:val="nil"/>
          </w:tcBorders>
          <w:vAlign w:val="center"/>
          <w:hideMark/>
        </w:tcPr>
        <w:p w:rsidR="00BB5DAD" w:rsidRPr="00337EF6" w:rsidRDefault="009605A7" w:rsidP="00D00A81">
          <w:pPr>
            <w:pStyle w:val="Piedepgina"/>
            <w:jc w:val="center"/>
            <w:rPr>
              <w:rFonts w:ascii="Arial Narrow" w:hAnsi="Arial Narrow" w:cs="Arial"/>
              <w:color w:val="808080" w:themeColor="background1" w:themeShade="80"/>
            </w:rPr>
          </w:pPr>
          <w:sdt>
            <w:sdtPr>
              <w:rPr>
                <w:rFonts w:ascii="Arial Narrow" w:hAnsi="Arial Narrow" w:cs="Arial"/>
                <w:color w:val="808080" w:themeColor="background1" w:themeShade="80"/>
              </w:rPr>
              <w:id w:val="-2055381579"/>
              <w:docPartObj>
                <w:docPartGallery w:val="Page Numbers (Bottom of Page)"/>
                <w:docPartUnique/>
              </w:docPartObj>
            </w:sdtPr>
            <w:sdtContent>
              <w:sdt>
                <w:sdtPr>
                  <w:rPr>
                    <w:rFonts w:ascii="Arial Narrow" w:hAnsi="Arial Narrow" w:cs="Arial"/>
                    <w:color w:val="808080" w:themeColor="background1" w:themeShade="80"/>
                  </w:rPr>
                  <w:id w:val="1204059467"/>
                  <w:docPartObj>
                    <w:docPartGallery w:val="Page Numbers (Top of Page)"/>
                    <w:docPartUnique/>
                  </w:docPartObj>
                </w:sdtPr>
                <w:sdtContent>
                  <w:r w:rsidR="00BB5DAD" w:rsidRPr="00337EF6">
                    <w:rPr>
                      <w:rFonts w:ascii="Arial Narrow" w:hAnsi="Arial Narrow" w:cs="Arial"/>
                      <w:color w:val="808080" w:themeColor="background1" w:themeShade="80"/>
                    </w:rPr>
                    <w:t xml:space="preserve">Página </w:t>
                  </w:r>
                  <w:r w:rsidRPr="00337EF6">
                    <w:rPr>
                      <w:rFonts w:ascii="Arial Narrow" w:hAnsi="Arial Narrow" w:cs="Arial"/>
                      <w:color w:val="808080" w:themeColor="background1" w:themeShade="80"/>
                    </w:rPr>
                    <w:fldChar w:fldCharType="begin"/>
                  </w:r>
                  <w:r w:rsidR="00BB5DAD" w:rsidRPr="00337EF6">
                    <w:rPr>
                      <w:rFonts w:ascii="Arial Narrow" w:hAnsi="Arial Narrow" w:cs="Arial"/>
                      <w:color w:val="808080" w:themeColor="background1" w:themeShade="80"/>
                    </w:rPr>
                    <w:instrText>PAGE</w:instrText>
                  </w:r>
                  <w:r w:rsidRPr="00337EF6">
                    <w:rPr>
                      <w:rFonts w:ascii="Arial Narrow" w:hAnsi="Arial Narrow" w:cs="Arial"/>
                      <w:color w:val="808080" w:themeColor="background1" w:themeShade="80"/>
                    </w:rPr>
                    <w:fldChar w:fldCharType="separate"/>
                  </w:r>
                  <w:r w:rsidR="00FD1EE4">
                    <w:rPr>
                      <w:rFonts w:ascii="Arial Narrow" w:hAnsi="Arial Narrow" w:cs="Arial"/>
                      <w:noProof/>
                      <w:color w:val="808080" w:themeColor="background1" w:themeShade="80"/>
                    </w:rPr>
                    <w:t>3</w:t>
                  </w:r>
                  <w:r w:rsidRPr="00337EF6">
                    <w:rPr>
                      <w:rFonts w:ascii="Arial Narrow" w:hAnsi="Arial Narrow" w:cs="Arial"/>
                      <w:color w:val="808080" w:themeColor="background1" w:themeShade="80"/>
                    </w:rPr>
                    <w:fldChar w:fldCharType="end"/>
                  </w:r>
                  <w:r w:rsidR="00BB5DAD" w:rsidRPr="00337EF6">
                    <w:rPr>
                      <w:rFonts w:ascii="Arial Narrow" w:hAnsi="Arial Narrow" w:cs="Arial"/>
                      <w:color w:val="808080" w:themeColor="background1" w:themeShade="80"/>
                    </w:rPr>
                    <w:t xml:space="preserve"> de </w:t>
                  </w:r>
                  <w:r w:rsidRPr="00337EF6">
                    <w:rPr>
                      <w:rFonts w:ascii="Arial Narrow" w:hAnsi="Arial Narrow" w:cs="Arial"/>
                      <w:color w:val="808080" w:themeColor="background1" w:themeShade="80"/>
                    </w:rPr>
                    <w:fldChar w:fldCharType="begin"/>
                  </w:r>
                  <w:r w:rsidR="00BB5DAD" w:rsidRPr="00337EF6">
                    <w:rPr>
                      <w:rFonts w:ascii="Arial Narrow" w:hAnsi="Arial Narrow" w:cs="Arial"/>
                      <w:color w:val="808080" w:themeColor="background1" w:themeShade="80"/>
                    </w:rPr>
                    <w:instrText>NUMPAGES</w:instrText>
                  </w:r>
                  <w:r w:rsidRPr="00337EF6">
                    <w:rPr>
                      <w:rFonts w:ascii="Arial Narrow" w:hAnsi="Arial Narrow" w:cs="Arial"/>
                      <w:color w:val="808080" w:themeColor="background1" w:themeShade="80"/>
                    </w:rPr>
                    <w:fldChar w:fldCharType="separate"/>
                  </w:r>
                  <w:r w:rsidR="00FD1EE4">
                    <w:rPr>
                      <w:rFonts w:ascii="Arial Narrow" w:hAnsi="Arial Narrow" w:cs="Arial"/>
                      <w:noProof/>
                      <w:color w:val="808080" w:themeColor="background1" w:themeShade="80"/>
                    </w:rPr>
                    <w:t>3</w:t>
                  </w:r>
                  <w:r w:rsidRPr="00337EF6">
                    <w:rPr>
                      <w:rFonts w:ascii="Arial Narrow" w:hAnsi="Arial Narrow" w:cs="Arial"/>
                      <w:color w:val="808080" w:themeColor="background1" w:themeShade="80"/>
                    </w:rPr>
                    <w:fldChar w:fldCharType="end"/>
                  </w:r>
                </w:sdtContent>
              </w:sdt>
            </w:sdtContent>
          </w:sdt>
        </w:p>
      </w:tc>
    </w:tr>
  </w:tbl>
  <w:p w:rsidR="00BB5DAD" w:rsidRDefault="00BB5DAD" w:rsidP="00B4639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3EA" w:rsidRDefault="00DF13EA">
      <w:r>
        <w:separator/>
      </w:r>
    </w:p>
  </w:footnote>
  <w:footnote w:type="continuationSeparator" w:id="0">
    <w:p w:rsidR="00DF13EA" w:rsidRDefault="00DF13EA">
      <w:r>
        <w:continuationSeparator/>
      </w:r>
    </w:p>
  </w:footnote>
  <w:footnote w:type="continuationNotice" w:id="1">
    <w:p w:rsidR="00DF13EA" w:rsidRDefault="00DF13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811"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tblPr>
    <w:tblGrid>
      <w:gridCol w:w="2235"/>
      <w:gridCol w:w="6662"/>
      <w:gridCol w:w="1559"/>
    </w:tblGrid>
    <w:tr w:rsidR="00BB5DAD" w:rsidRPr="00337EF6" w:rsidTr="00D00A81">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7B38A8">
          <w:pPr>
            <w:widowControl w:val="0"/>
            <w:tabs>
              <w:tab w:val="center" w:pos="4419"/>
              <w:tab w:val="right" w:pos="8838"/>
            </w:tabs>
            <w:jc w:val="center"/>
            <w:rPr>
              <w:rFonts w:ascii="Arial Narrow" w:hAnsi="Arial Narrow" w:cs="Arial"/>
              <w:color w:val="808080" w:themeColor="background1" w:themeShade="80"/>
              <w:lang w:val="es-MX"/>
            </w:rPr>
          </w:pPr>
          <w:r w:rsidRPr="00337EF6">
            <w:rPr>
              <w:rFonts w:ascii="Arial Narrow" w:hAnsi="Arial Narrow" w:cs="Arial"/>
              <w:color w:val="808080" w:themeColor="background1" w:themeShade="80"/>
              <w:lang w:val="es-MX"/>
            </w:rPr>
            <w:t>CN</w:t>
          </w:r>
          <w:r>
            <w:rPr>
              <w:rFonts w:ascii="Arial Narrow" w:hAnsi="Arial Narrow" w:cs="Arial"/>
              <w:color w:val="808080" w:themeColor="background1" w:themeShade="80"/>
              <w:lang w:val="es-MX"/>
            </w:rPr>
            <w:t>BCR-</w:t>
          </w:r>
          <w:r w:rsidR="007B38A8">
            <w:rPr>
              <w:rFonts w:ascii="Arial Narrow" w:hAnsi="Arial Narrow" w:cs="Arial"/>
              <w:color w:val="808080" w:themeColor="background1" w:themeShade="80"/>
              <w:lang w:val="es-MX"/>
            </w:rPr>
            <w:t>05</w:t>
          </w:r>
          <w:r>
            <w:rPr>
              <w:rFonts w:ascii="Arial Narrow" w:hAnsi="Arial Narrow" w:cs="Arial"/>
              <w:color w:val="808080" w:themeColor="background1" w:themeShade="80"/>
              <w:lang w:val="es-MX"/>
            </w:rPr>
            <w:t>/2018</w:t>
          </w:r>
        </w:p>
      </w:tc>
      <w:tc>
        <w:tcPr>
          <w:tcW w:w="66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7B38A8" w:rsidP="00D00A81">
          <w:pPr>
            <w:widowControl w:val="0"/>
            <w:jc w:val="center"/>
            <w:rPr>
              <w:rFonts w:ascii="Arial Narrow" w:hAnsi="Arial Narrow" w:cs="Arial"/>
              <w:color w:val="808080" w:themeColor="background1" w:themeShade="80"/>
            </w:rPr>
          </w:pPr>
          <w:r w:rsidRPr="007B38A8">
            <w:rPr>
              <w:rFonts w:ascii="Arial Narrow" w:hAnsi="Arial Narrow" w:cs="Arial"/>
              <w:color w:val="808080" w:themeColor="background1" w:themeShade="80"/>
            </w:rPr>
            <w:t>MEDIDAS TRANSITORIAS PARA FACILITAR LA IMPLEMENTACIÓN DEL ARTÍCULO 12 DEL DECRETO LEGISLATIVO No. 864 QUE CONTIENE LAS REFORMAS A LA LEY DE CREACION DEL FIDEICOMISO DE APOYO A LA PRODUCCIÓN DEL CAFÉ</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D00A81">
          <w:pPr>
            <w:widowControl w:val="0"/>
            <w:tabs>
              <w:tab w:val="center" w:pos="4419"/>
              <w:tab w:val="right" w:pos="8838"/>
            </w:tabs>
            <w:jc w:val="center"/>
            <w:rPr>
              <w:rFonts w:ascii="Arial Narrow" w:hAnsi="Arial Narrow" w:cs="Arial"/>
              <w:color w:val="808080" w:themeColor="background1" w:themeShade="80"/>
              <w:sz w:val="24"/>
              <w:szCs w:val="24"/>
              <w:lang w:val="es-MX"/>
            </w:rPr>
          </w:pPr>
          <w:r w:rsidRPr="00337EF6">
            <w:rPr>
              <w:rFonts w:ascii="Arial Narrow" w:hAnsi="Arial Narrow" w:cs="Arial"/>
              <w:noProof/>
              <w:color w:val="808080" w:themeColor="background1" w:themeShade="80"/>
              <w:lang w:eastAsia="es-SV"/>
            </w:rPr>
            <w:drawing>
              <wp:inline distT="0" distB="0" distL="0" distR="0">
                <wp:extent cx="812165" cy="782955"/>
                <wp:effectExtent l="0" t="0" r="6985" b="0"/>
                <wp:docPr id="1" name="Imagen 1"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BB5DAD" w:rsidRPr="00337EF6" w:rsidTr="00D00A81">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463CFC">
          <w:pPr>
            <w:widowControl w:val="0"/>
            <w:tabs>
              <w:tab w:val="center" w:pos="4419"/>
              <w:tab w:val="right" w:pos="8838"/>
            </w:tabs>
            <w:jc w:val="center"/>
            <w:rPr>
              <w:rFonts w:ascii="Arial Narrow" w:hAnsi="Arial Narrow" w:cs="Arial"/>
              <w:color w:val="808080" w:themeColor="background1" w:themeShade="80"/>
              <w:lang w:val="es-MX"/>
            </w:rPr>
          </w:pPr>
          <w:r>
            <w:rPr>
              <w:rFonts w:ascii="Arial Narrow" w:hAnsi="Arial Narrow" w:cs="Arial"/>
              <w:color w:val="808080" w:themeColor="background1" w:themeShade="80"/>
              <w:lang w:val="es-MX"/>
            </w:rPr>
            <w:t>Aprobación: 30/05/2018</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D00A81">
          <w:pPr>
            <w:rPr>
              <w:rFonts w:ascii="Arial Narrow" w:hAnsi="Arial Narrow" w:cs="Arial"/>
              <w:color w:val="808080" w:themeColor="background1" w:themeShade="80"/>
              <w:lang w:val="es-MX"/>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D00A81">
          <w:pPr>
            <w:rPr>
              <w:rFonts w:ascii="Arial Narrow" w:hAnsi="Arial Narrow" w:cs="Arial"/>
              <w:color w:val="808080" w:themeColor="background1" w:themeShade="80"/>
              <w:sz w:val="24"/>
              <w:szCs w:val="24"/>
              <w:lang w:val="es-MX"/>
            </w:rPr>
          </w:pPr>
        </w:p>
      </w:tc>
    </w:tr>
    <w:tr w:rsidR="00BB5DAD" w:rsidRPr="00337EF6" w:rsidTr="00D00A81">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7B38A8">
          <w:pPr>
            <w:widowControl w:val="0"/>
            <w:tabs>
              <w:tab w:val="center" w:pos="4419"/>
              <w:tab w:val="right" w:pos="8838"/>
            </w:tabs>
            <w:jc w:val="center"/>
            <w:rPr>
              <w:rFonts w:ascii="Arial Narrow" w:hAnsi="Arial Narrow" w:cs="Arial"/>
              <w:color w:val="808080" w:themeColor="background1" w:themeShade="80"/>
              <w:lang w:val="es-MX"/>
            </w:rPr>
          </w:pPr>
          <w:r>
            <w:rPr>
              <w:rFonts w:ascii="Arial Narrow" w:hAnsi="Arial Narrow" w:cs="Arial"/>
              <w:color w:val="808080" w:themeColor="background1" w:themeShade="80"/>
              <w:lang w:val="es-MX"/>
            </w:rPr>
            <w:t xml:space="preserve">Vigencia: </w:t>
          </w:r>
          <w:r w:rsidR="007B38A8">
            <w:rPr>
              <w:rFonts w:ascii="Arial Narrow" w:hAnsi="Arial Narrow" w:cs="Arial"/>
              <w:color w:val="808080" w:themeColor="background1" w:themeShade="80"/>
              <w:lang w:val="es-MX"/>
            </w:rPr>
            <w:t>30</w:t>
          </w:r>
          <w:r>
            <w:rPr>
              <w:rFonts w:ascii="Arial Narrow" w:hAnsi="Arial Narrow" w:cs="Arial"/>
              <w:color w:val="808080" w:themeColor="background1" w:themeShade="80"/>
              <w:lang w:val="es-MX"/>
            </w:rPr>
            <w:t>/0</w:t>
          </w:r>
          <w:r w:rsidR="007B38A8">
            <w:rPr>
              <w:rFonts w:ascii="Arial Narrow" w:hAnsi="Arial Narrow" w:cs="Arial"/>
              <w:color w:val="808080" w:themeColor="background1" w:themeShade="80"/>
              <w:lang w:val="es-MX"/>
            </w:rPr>
            <w:t>5</w:t>
          </w:r>
          <w:r w:rsidRPr="00337EF6">
            <w:rPr>
              <w:rFonts w:ascii="Arial Narrow" w:hAnsi="Arial Narrow" w:cs="Arial"/>
              <w:color w:val="808080" w:themeColor="background1" w:themeShade="80"/>
              <w:lang w:val="es-MX"/>
            </w:rPr>
            <w:t>/201</w:t>
          </w:r>
          <w:r>
            <w:rPr>
              <w:rFonts w:ascii="Arial Narrow" w:hAnsi="Arial Narrow" w:cs="Arial"/>
              <w:color w:val="808080" w:themeColor="background1" w:themeShade="80"/>
              <w:lang w:val="es-MX"/>
            </w:rPr>
            <w:t>8</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D00A81">
          <w:pPr>
            <w:rPr>
              <w:rFonts w:ascii="Arial Narrow" w:hAnsi="Arial Narrow" w:cs="Arial"/>
              <w:color w:val="808080" w:themeColor="background1" w:themeShade="80"/>
              <w:lang w:val="es-MX"/>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BB5DAD" w:rsidRPr="00337EF6" w:rsidRDefault="00BB5DAD" w:rsidP="00D00A81">
          <w:pPr>
            <w:rPr>
              <w:rFonts w:ascii="Arial Narrow" w:hAnsi="Arial Narrow" w:cs="Arial"/>
              <w:color w:val="808080" w:themeColor="background1" w:themeShade="80"/>
              <w:sz w:val="24"/>
              <w:szCs w:val="24"/>
              <w:lang w:val="es-MX"/>
            </w:rPr>
          </w:pPr>
        </w:p>
      </w:tc>
    </w:tr>
  </w:tbl>
  <w:p w:rsidR="00BB5DAD" w:rsidRDefault="00BB5DAD" w:rsidP="00D00A8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0875"/>
    <w:multiLevelType w:val="hybridMultilevel"/>
    <w:tmpl w:val="29E496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6E4854"/>
    <w:multiLevelType w:val="hybridMultilevel"/>
    <w:tmpl w:val="81CE35D4"/>
    <w:lvl w:ilvl="0" w:tplc="4C34C4E0">
      <w:start w:val="1"/>
      <w:numFmt w:val="decimal"/>
      <w:suff w:val="space"/>
      <w:lvlText w:val="Art. %1.- "/>
      <w:lvlJc w:val="left"/>
      <w:pPr>
        <w:ind w:left="8299"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3B69B6"/>
    <w:multiLevelType w:val="singleLevel"/>
    <w:tmpl w:val="8FA662B4"/>
    <w:lvl w:ilvl="0">
      <w:start w:val="1"/>
      <w:numFmt w:val="decimal"/>
      <w:lvlText w:val="%1."/>
      <w:lvlJc w:val="left"/>
      <w:pPr>
        <w:tabs>
          <w:tab w:val="num" w:pos="360"/>
        </w:tabs>
        <w:ind w:left="360" w:hanging="360"/>
      </w:pPr>
    </w:lvl>
  </w:abstractNum>
  <w:abstractNum w:abstractNumId="3">
    <w:nsid w:val="11CB4959"/>
    <w:multiLevelType w:val="hybridMultilevel"/>
    <w:tmpl w:val="6472D7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D279A8"/>
    <w:multiLevelType w:val="singleLevel"/>
    <w:tmpl w:val="06264484"/>
    <w:lvl w:ilvl="0">
      <w:start w:val="1"/>
      <w:numFmt w:val="upperRoman"/>
      <w:lvlText w:val="%1."/>
      <w:lvlJc w:val="left"/>
      <w:pPr>
        <w:tabs>
          <w:tab w:val="num" w:pos="720"/>
        </w:tabs>
        <w:ind w:left="720" w:hanging="720"/>
      </w:pPr>
      <w:rPr>
        <w:rFonts w:hint="default"/>
      </w:rPr>
    </w:lvl>
  </w:abstractNum>
  <w:abstractNum w:abstractNumId="5">
    <w:nsid w:val="27F105AA"/>
    <w:multiLevelType w:val="multilevel"/>
    <w:tmpl w:val="F1C814F0"/>
    <w:lvl w:ilvl="0">
      <w:start w:val="1"/>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297B7C98"/>
    <w:multiLevelType w:val="hybridMultilevel"/>
    <w:tmpl w:val="7BDC2610"/>
    <w:lvl w:ilvl="0" w:tplc="023652B6">
      <w:start w:val="1"/>
      <w:numFmt w:val="decimal"/>
      <w:suff w:val="space"/>
      <w:lvlText w:val="Art. %1.- "/>
      <w:lvlJc w:val="left"/>
      <w:pPr>
        <w:ind w:left="7023" w:hanging="360"/>
      </w:pPr>
      <w:rPr>
        <w:rFonts w:ascii="Arial Narrow" w:hAnsi="Arial Narrow" w:hint="default"/>
        <w:b/>
        <w:i w:val="0"/>
        <w:color w:val="auto"/>
        <w:sz w:val="24"/>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7">
    <w:nsid w:val="2AA667D4"/>
    <w:multiLevelType w:val="singleLevel"/>
    <w:tmpl w:val="0C0A000F"/>
    <w:lvl w:ilvl="0">
      <w:start w:val="1"/>
      <w:numFmt w:val="decimal"/>
      <w:lvlText w:val="%1."/>
      <w:lvlJc w:val="left"/>
      <w:pPr>
        <w:tabs>
          <w:tab w:val="num" w:pos="360"/>
        </w:tabs>
        <w:ind w:left="360" w:hanging="360"/>
      </w:pPr>
    </w:lvl>
  </w:abstractNum>
  <w:abstractNum w:abstractNumId="8">
    <w:nsid w:val="2F870AB4"/>
    <w:multiLevelType w:val="singleLevel"/>
    <w:tmpl w:val="0C0A000F"/>
    <w:lvl w:ilvl="0">
      <w:start w:val="1"/>
      <w:numFmt w:val="decimal"/>
      <w:lvlText w:val="%1."/>
      <w:lvlJc w:val="left"/>
      <w:pPr>
        <w:tabs>
          <w:tab w:val="num" w:pos="360"/>
        </w:tabs>
        <w:ind w:left="360" w:hanging="360"/>
      </w:pPr>
      <w:rPr>
        <w:rFonts w:hint="default"/>
      </w:rPr>
    </w:lvl>
  </w:abstractNum>
  <w:abstractNum w:abstractNumId="9">
    <w:nsid w:val="303239BD"/>
    <w:multiLevelType w:val="hybridMultilevel"/>
    <w:tmpl w:val="80E2E7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07CBD"/>
    <w:multiLevelType w:val="singleLevel"/>
    <w:tmpl w:val="0C0A000F"/>
    <w:lvl w:ilvl="0">
      <w:start w:val="1"/>
      <w:numFmt w:val="decimal"/>
      <w:lvlText w:val="%1."/>
      <w:lvlJc w:val="left"/>
      <w:pPr>
        <w:tabs>
          <w:tab w:val="num" w:pos="360"/>
        </w:tabs>
        <w:ind w:left="360" w:hanging="360"/>
      </w:pPr>
    </w:lvl>
  </w:abstractNum>
  <w:abstractNum w:abstractNumId="11">
    <w:nsid w:val="36017C32"/>
    <w:multiLevelType w:val="singleLevel"/>
    <w:tmpl w:val="8FA662B4"/>
    <w:lvl w:ilvl="0">
      <w:start w:val="1"/>
      <w:numFmt w:val="decimal"/>
      <w:lvlText w:val="%1."/>
      <w:lvlJc w:val="left"/>
      <w:pPr>
        <w:tabs>
          <w:tab w:val="num" w:pos="360"/>
        </w:tabs>
        <w:ind w:left="360" w:hanging="360"/>
      </w:pPr>
    </w:lvl>
  </w:abstractNum>
  <w:abstractNum w:abstractNumId="12">
    <w:nsid w:val="377C42A8"/>
    <w:multiLevelType w:val="hybridMultilevel"/>
    <w:tmpl w:val="E222E6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3A855E6"/>
    <w:multiLevelType w:val="hybridMultilevel"/>
    <w:tmpl w:val="31A62A10"/>
    <w:lvl w:ilvl="0" w:tplc="16AE9890">
      <w:start w:val="1"/>
      <w:numFmt w:val="bullet"/>
      <w:lvlText w:val="•"/>
      <w:lvlJc w:val="left"/>
      <w:pPr>
        <w:tabs>
          <w:tab w:val="num" w:pos="720"/>
        </w:tabs>
        <w:ind w:left="720" w:hanging="360"/>
      </w:pPr>
      <w:rPr>
        <w:rFonts w:ascii="Times New Roman" w:hAnsi="Times New Roman" w:hint="default"/>
      </w:rPr>
    </w:lvl>
    <w:lvl w:ilvl="1" w:tplc="71E277D0" w:tentative="1">
      <w:start w:val="1"/>
      <w:numFmt w:val="bullet"/>
      <w:lvlText w:val="•"/>
      <w:lvlJc w:val="left"/>
      <w:pPr>
        <w:tabs>
          <w:tab w:val="num" w:pos="1440"/>
        </w:tabs>
        <w:ind w:left="1440" w:hanging="360"/>
      </w:pPr>
      <w:rPr>
        <w:rFonts w:ascii="Times New Roman" w:hAnsi="Times New Roman" w:hint="default"/>
      </w:rPr>
    </w:lvl>
    <w:lvl w:ilvl="2" w:tplc="CF8CC0B6" w:tentative="1">
      <w:start w:val="1"/>
      <w:numFmt w:val="bullet"/>
      <w:lvlText w:val="•"/>
      <w:lvlJc w:val="left"/>
      <w:pPr>
        <w:tabs>
          <w:tab w:val="num" w:pos="2160"/>
        </w:tabs>
        <w:ind w:left="2160" w:hanging="360"/>
      </w:pPr>
      <w:rPr>
        <w:rFonts w:ascii="Times New Roman" w:hAnsi="Times New Roman" w:hint="default"/>
      </w:rPr>
    </w:lvl>
    <w:lvl w:ilvl="3" w:tplc="A53A2D44" w:tentative="1">
      <w:start w:val="1"/>
      <w:numFmt w:val="bullet"/>
      <w:lvlText w:val="•"/>
      <w:lvlJc w:val="left"/>
      <w:pPr>
        <w:tabs>
          <w:tab w:val="num" w:pos="2880"/>
        </w:tabs>
        <w:ind w:left="2880" w:hanging="360"/>
      </w:pPr>
      <w:rPr>
        <w:rFonts w:ascii="Times New Roman" w:hAnsi="Times New Roman" w:hint="default"/>
      </w:rPr>
    </w:lvl>
    <w:lvl w:ilvl="4" w:tplc="ED7C6434" w:tentative="1">
      <w:start w:val="1"/>
      <w:numFmt w:val="bullet"/>
      <w:lvlText w:val="•"/>
      <w:lvlJc w:val="left"/>
      <w:pPr>
        <w:tabs>
          <w:tab w:val="num" w:pos="3600"/>
        </w:tabs>
        <w:ind w:left="3600" w:hanging="360"/>
      </w:pPr>
      <w:rPr>
        <w:rFonts w:ascii="Times New Roman" w:hAnsi="Times New Roman" w:hint="default"/>
      </w:rPr>
    </w:lvl>
    <w:lvl w:ilvl="5" w:tplc="821030CC" w:tentative="1">
      <w:start w:val="1"/>
      <w:numFmt w:val="bullet"/>
      <w:lvlText w:val="•"/>
      <w:lvlJc w:val="left"/>
      <w:pPr>
        <w:tabs>
          <w:tab w:val="num" w:pos="4320"/>
        </w:tabs>
        <w:ind w:left="4320" w:hanging="360"/>
      </w:pPr>
      <w:rPr>
        <w:rFonts w:ascii="Times New Roman" w:hAnsi="Times New Roman" w:hint="default"/>
      </w:rPr>
    </w:lvl>
    <w:lvl w:ilvl="6" w:tplc="75B0585A" w:tentative="1">
      <w:start w:val="1"/>
      <w:numFmt w:val="bullet"/>
      <w:lvlText w:val="•"/>
      <w:lvlJc w:val="left"/>
      <w:pPr>
        <w:tabs>
          <w:tab w:val="num" w:pos="5040"/>
        </w:tabs>
        <w:ind w:left="5040" w:hanging="360"/>
      </w:pPr>
      <w:rPr>
        <w:rFonts w:ascii="Times New Roman" w:hAnsi="Times New Roman" w:hint="default"/>
      </w:rPr>
    </w:lvl>
    <w:lvl w:ilvl="7" w:tplc="D3F2803E" w:tentative="1">
      <w:start w:val="1"/>
      <w:numFmt w:val="bullet"/>
      <w:lvlText w:val="•"/>
      <w:lvlJc w:val="left"/>
      <w:pPr>
        <w:tabs>
          <w:tab w:val="num" w:pos="5760"/>
        </w:tabs>
        <w:ind w:left="5760" w:hanging="360"/>
      </w:pPr>
      <w:rPr>
        <w:rFonts w:ascii="Times New Roman" w:hAnsi="Times New Roman" w:hint="default"/>
      </w:rPr>
    </w:lvl>
    <w:lvl w:ilvl="8" w:tplc="32BE224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42B59BE"/>
    <w:multiLevelType w:val="singleLevel"/>
    <w:tmpl w:val="C78029CC"/>
    <w:lvl w:ilvl="0">
      <w:start w:val="1"/>
      <w:numFmt w:val="upperRoman"/>
      <w:pStyle w:val="Ttulo6"/>
      <w:lvlText w:val="%1."/>
      <w:lvlJc w:val="left"/>
      <w:pPr>
        <w:tabs>
          <w:tab w:val="num" w:pos="720"/>
        </w:tabs>
        <w:ind w:left="720" w:hanging="720"/>
      </w:pPr>
      <w:rPr>
        <w:rFonts w:hint="default"/>
      </w:rPr>
    </w:lvl>
  </w:abstractNum>
  <w:abstractNum w:abstractNumId="15">
    <w:nsid w:val="458A0CFB"/>
    <w:multiLevelType w:val="singleLevel"/>
    <w:tmpl w:val="8FA662B4"/>
    <w:lvl w:ilvl="0">
      <w:start w:val="1"/>
      <w:numFmt w:val="decimal"/>
      <w:lvlText w:val="%1."/>
      <w:lvlJc w:val="left"/>
      <w:pPr>
        <w:tabs>
          <w:tab w:val="num" w:pos="360"/>
        </w:tabs>
        <w:ind w:left="360" w:hanging="360"/>
      </w:pPr>
    </w:lvl>
  </w:abstractNum>
  <w:abstractNum w:abstractNumId="16">
    <w:nsid w:val="683B5CA0"/>
    <w:multiLevelType w:val="hybridMultilevel"/>
    <w:tmpl w:val="4A284486"/>
    <w:lvl w:ilvl="0" w:tplc="55A4F1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98A2145"/>
    <w:multiLevelType w:val="singleLevel"/>
    <w:tmpl w:val="2ABA7A38"/>
    <w:lvl w:ilvl="0">
      <w:start w:val="1"/>
      <w:numFmt w:val="upperRoman"/>
      <w:lvlText w:val="%1."/>
      <w:lvlJc w:val="left"/>
      <w:pPr>
        <w:tabs>
          <w:tab w:val="num" w:pos="720"/>
        </w:tabs>
        <w:ind w:left="720" w:hanging="720"/>
      </w:pPr>
      <w:rPr>
        <w:rFonts w:hint="default"/>
      </w:rPr>
    </w:lvl>
  </w:abstractNum>
  <w:abstractNum w:abstractNumId="18">
    <w:nsid w:val="779D0FEE"/>
    <w:multiLevelType w:val="hybridMultilevel"/>
    <w:tmpl w:val="ED9036D6"/>
    <w:lvl w:ilvl="0" w:tplc="2EDAD44C">
      <w:start w:val="1"/>
      <w:numFmt w:val="decimal"/>
      <w:lvlText w:val="Art. %1.-"/>
      <w:lvlJc w:val="left"/>
      <w:pPr>
        <w:ind w:left="720" w:hanging="360"/>
      </w:pPr>
      <w:rPr>
        <w:rFonts w:ascii="Arial Narrow" w:hAnsi="Arial Narrow" w:hint="default"/>
        <w:b/>
        <w:strike w:val="0"/>
        <w:color w:val="auto"/>
        <w:sz w:val="24"/>
        <w:szCs w:val="22"/>
      </w:rPr>
    </w:lvl>
    <w:lvl w:ilvl="1" w:tplc="3B44238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F7F03C6"/>
    <w:multiLevelType w:val="hybridMultilevel"/>
    <w:tmpl w:val="531E0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FFD654D"/>
    <w:multiLevelType w:val="hybridMultilevel"/>
    <w:tmpl w:val="219233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0"/>
  </w:num>
  <w:num w:numId="3">
    <w:abstractNumId w:val="14"/>
  </w:num>
  <w:num w:numId="4">
    <w:abstractNumId w:val="14"/>
  </w:num>
  <w:num w:numId="5">
    <w:abstractNumId w:val="4"/>
  </w:num>
  <w:num w:numId="6">
    <w:abstractNumId w:val="17"/>
  </w:num>
  <w:num w:numId="7">
    <w:abstractNumId w:val="8"/>
  </w:num>
  <w:num w:numId="8">
    <w:abstractNumId w:val="7"/>
  </w:num>
  <w:num w:numId="9">
    <w:abstractNumId w:val="2"/>
  </w:num>
  <w:num w:numId="10">
    <w:abstractNumId w:val="15"/>
  </w:num>
  <w:num w:numId="11">
    <w:abstractNumId w:val="11"/>
  </w:num>
  <w:num w:numId="12">
    <w:abstractNumId w:val="14"/>
  </w:num>
  <w:num w:numId="13">
    <w:abstractNumId w:val="12"/>
  </w:num>
  <w:num w:numId="14">
    <w:abstractNumId w:val="16"/>
  </w:num>
  <w:num w:numId="15">
    <w:abstractNumId w:val="5"/>
  </w:num>
  <w:num w:numId="16">
    <w:abstractNumId w:val="1"/>
  </w:num>
  <w:num w:numId="17">
    <w:abstractNumId w:val="0"/>
  </w:num>
  <w:num w:numId="18">
    <w:abstractNumId w:val="3"/>
  </w:num>
  <w:num w:numId="19">
    <w:abstractNumId w:val="6"/>
  </w:num>
  <w:num w:numId="20">
    <w:abstractNumId w:val="18"/>
  </w:num>
  <w:num w:numId="21">
    <w:abstractNumId w:val="13"/>
  </w:num>
  <w:num w:numId="22">
    <w:abstractNumId w:val="20"/>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2C1CE6"/>
    <w:rsid w:val="00014E96"/>
    <w:rsid w:val="00036A03"/>
    <w:rsid w:val="00065378"/>
    <w:rsid w:val="00067F77"/>
    <w:rsid w:val="000A5FEE"/>
    <w:rsid w:val="000B4D71"/>
    <w:rsid w:val="000E1472"/>
    <w:rsid w:val="000F7BA5"/>
    <w:rsid w:val="001357C9"/>
    <w:rsid w:val="001400C9"/>
    <w:rsid w:val="00166B7C"/>
    <w:rsid w:val="00183812"/>
    <w:rsid w:val="00196CDC"/>
    <w:rsid w:val="001A6B54"/>
    <w:rsid w:val="001A7596"/>
    <w:rsid w:val="001E73CE"/>
    <w:rsid w:val="001F4FFD"/>
    <w:rsid w:val="00204718"/>
    <w:rsid w:val="0021698E"/>
    <w:rsid w:val="00235C63"/>
    <w:rsid w:val="00263FDF"/>
    <w:rsid w:val="00277C43"/>
    <w:rsid w:val="002933EC"/>
    <w:rsid w:val="00293DA8"/>
    <w:rsid w:val="002B72E3"/>
    <w:rsid w:val="002C1CE6"/>
    <w:rsid w:val="002C255B"/>
    <w:rsid w:val="002C67F1"/>
    <w:rsid w:val="002D0ECF"/>
    <w:rsid w:val="002E3A92"/>
    <w:rsid w:val="002E56E9"/>
    <w:rsid w:val="002E6F84"/>
    <w:rsid w:val="003164E9"/>
    <w:rsid w:val="003172FA"/>
    <w:rsid w:val="00321B7F"/>
    <w:rsid w:val="00321E27"/>
    <w:rsid w:val="00326F2B"/>
    <w:rsid w:val="003335A5"/>
    <w:rsid w:val="003459C0"/>
    <w:rsid w:val="00373099"/>
    <w:rsid w:val="0038385F"/>
    <w:rsid w:val="00385D14"/>
    <w:rsid w:val="003921A8"/>
    <w:rsid w:val="003A14EB"/>
    <w:rsid w:val="003A2813"/>
    <w:rsid w:val="003B0DA9"/>
    <w:rsid w:val="003B2B69"/>
    <w:rsid w:val="003B3720"/>
    <w:rsid w:val="003C08A5"/>
    <w:rsid w:val="003D2362"/>
    <w:rsid w:val="003D6CE0"/>
    <w:rsid w:val="003E630E"/>
    <w:rsid w:val="003F2D96"/>
    <w:rsid w:val="00407EA0"/>
    <w:rsid w:val="004122DD"/>
    <w:rsid w:val="00440DEB"/>
    <w:rsid w:val="004411B8"/>
    <w:rsid w:val="0044161D"/>
    <w:rsid w:val="004416E8"/>
    <w:rsid w:val="00446963"/>
    <w:rsid w:val="00454FBB"/>
    <w:rsid w:val="00463CFC"/>
    <w:rsid w:val="0049348D"/>
    <w:rsid w:val="0049640D"/>
    <w:rsid w:val="004A63BA"/>
    <w:rsid w:val="004B2270"/>
    <w:rsid w:val="004B5FA8"/>
    <w:rsid w:val="004C21E0"/>
    <w:rsid w:val="004C5C21"/>
    <w:rsid w:val="004D7B0A"/>
    <w:rsid w:val="004E0F42"/>
    <w:rsid w:val="004F2FE1"/>
    <w:rsid w:val="005107C4"/>
    <w:rsid w:val="00530AE2"/>
    <w:rsid w:val="00530BCB"/>
    <w:rsid w:val="00553312"/>
    <w:rsid w:val="005535C9"/>
    <w:rsid w:val="00555C46"/>
    <w:rsid w:val="00557490"/>
    <w:rsid w:val="00563F24"/>
    <w:rsid w:val="00571660"/>
    <w:rsid w:val="00585D7A"/>
    <w:rsid w:val="005A1776"/>
    <w:rsid w:val="005A7D37"/>
    <w:rsid w:val="005C3777"/>
    <w:rsid w:val="005D7FC1"/>
    <w:rsid w:val="005E1604"/>
    <w:rsid w:val="005E3049"/>
    <w:rsid w:val="005F0D81"/>
    <w:rsid w:val="005F2EA4"/>
    <w:rsid w:val="005F3B9A"/>
    <w:rsid w:val="00600FD5"/>
    <w:rsid w:val="00605790"/>
    <w:rsid w:val="00605A2B"/>
    <w:rsid w:val="006138CE"/>
    <w:rsid w:val="00632280"/>
    <w:rsid w:val="006817FE"/>
    <w:rsid w:val="0069674C"/>
    <w:rsid w:val="006C23B9"/>
    <w:rsid w:val="006D1351"/>
    <w:rsid w:val="006E4CCE"/>
    <w:rsid w:val="006F3A8F"/>
    <w:rsid w:val="00710F2A"/>
    <w:rsid w:val="00711EA2"/>
    <w:rsid w:val="007177F4"/>
    <w:rsid w:val="00721A07"/>
    <w:rsid w:val="00722B2A"/>
    <w:rsid w:val="007442D9"/>
    <w:rsid w:val="00745896"/>
    <w:rsid w:val="00755507"/>
    <w:rsid w:val="007B38A8"/>
    <w:rsid w:val="007C1ECA"/>
    <w:rsid w:val="007C5081"/>
    <w:rsid w:val="007D7DB0"/>
    <w:rsid w:val="007F5208"/>
    <w:rsid w:val="007F5370"/>
    <w:rsid w:val="008267C4"/>
    <w:rsid w:val="00835985"/>
    <w:rsid w:val="008367C8"/>
    <w:rsid w:val="0085585E"/>
    <w:rsid w:val="0086150B"/>
    <w:rsid w:val="00874641"/>
    <w:rsid w:val="0088015C"/>
    <w:rsid w:val="0089536A"/>
    <w:rsid w:val="00895859"/>
    <w:rsid w:val="008C02D6"/>
    <w:rsid w:val="008E6CAE"/>
    <w:rsid w:val="00910F15"/>
    <w:rsid w:val="0094165C"/>
    <w:rsid w:val="0094729B"/>
    <w:rsid w:val="00950DBF"/>
    <w:rsid w:val="009605A7"/>
    <w:rsid w:val="00964DDE"/>
    <w:rsid w:val="00972EE9"/>
    <w:rsid w:val="0098144C"/>
    <w:rsid w:val="00983241"/>
    <w:rsid w:val="00987DEB"/>
    <w:rsid w:val="009F1474"/>
    <w:rsid w:val="00A02E80"/>
    <w:rsid w:val="00A031B9"/>
    <w:rsid w:val="00A10E33"/>
    <w:rsid w:val="00A21502"/>
    <w:rsid w:val="00A2584D"/>
    <w:rsid w:val="00A2680A"/>
    <w:rsid w:val="00A30861"/>
    <w:rsid w:val="00A31340"/>
    <w:rsid w:val="00A345EE"/>
    <w:rsid w:val="00A54AE3"/>
    <w:rsid w:val="00A7042A"/>
    <w:rsid w:val="00A747B9"/>
    <w:rsid w:val="00A934D2"/>
    <w:rsid w:val="00A93C24"/>
    <w:rsid w:val="00A97AE1"/>
    <w:rsid w:val="00AA7B79"/>
    <w:rsid w:val="00AB0264"/>
    <w:rsid w:val="00AD4B0F"/>
    <w:rsid w:val="00AE3EF0"/>
    <w:rsid w:val="00B00E0A"/>
    <w:rsid w:val="00B11392"/>
    <w:rsid w:val="00B35BC8"/>
    <w:rsid w:val="00B46399"/>
    <w:rsid w:val="00B517F4"/>
    <w:rsid w:val="00B53905"/>
    <w:rsid w:val="00B53A55"/>
    <w:rsid w:val="00B54CA2"/>
    <w:rsid w:val="00B631EE"/>
    <w:rsid w:val="00B647BA"/>
    <w:rsid w:val="00B75A27"/>
    <w:rsid w:val="00BA2FD1"/>
    <w:rsid w:val="00BA396F"/>
    <w:rsid w:val="00BB2217"/>
    <w:rsid w:val="00BB5DAD"/>
    <w:rsid w:val="00BB5ECC"/>
    <w:rsid w:val="00BE1362"/>
    <w:rsid w:val="00BE365D"/>
    <w:rsid w:val="00BE36DD"/>
    <w:rsid w:val="00C227D4"/>
    <w:rsid w:val="00C3054D"/>
    <w:rsid w:val="00C3742B"/>
    <w:rsid w:val="00C408B2"/>
    <w:rsid w:val="00C45637"/>
    <w:rsid w:val="00C5242C"/>
    <w:rsid w:val="00C61DDF"/>
    <w:rsid w:val="00C64B50"/>
    <w:rsid w:val="00C80AB4"/>
    <w:rsid w:val="00C92D7E"/>
    <w:rsid w:val="00CD1BE7"/>
    <w:rsid w:val="00CE025D"/>
    <w:rsid w:val="00CE1092"/>
    <w:rsid w:val="00CE21B1"/>
    <w:rsid w:val="00CE4FF8"/>
    <w:rsid w:val="00CE78FC"/>
    <w:rsid w:val="00D00A81"/>
    <w:rsid w:val="00D07B20"/>
    <w:rsid w:val="00D14F7D"/>
    <w:rsid w:val="00D41B74"/>
    <w:rsid w:val="00D46048"/>
    <w:rsid w:val="00D46330"/>
    <w:rsid w:val="00D50FFD"/>
    <w:rsid w:val="00D6368E"/>
    <w:rsid w:val="00D83A0B"/>
    <w:rsid w:val="00D8414A"/>
    <w:rsid w:val="00D949BB"/>
    <w:rsid w:val="00DB4B61"/>
    <w:rsid w:val="00DB5D9A"/>
    <w:rsid w:val="00DB725C"/>
    <w:rsid w:val="00DC0808"/>
    <w:rsid w:val="00DC7FC7"/>
    <w:rsid w:val="00DD7219"/>
    <w:rsid w:val="00DF13EA"/>
    <w:rsid w:val="00E14E8F"/>
    <w:rsid w:val="00E27410"/>
    <w:rsid w:val="00E37DD8"/>
    <w:rsid w:val="00E42543"/>
    <w:rsid w:val="00E82715"/>
    <w:rsid w:val="00E85E8C"/>
    <w:rsid w:val="00EA0BAD"/>
    <w:rsid w:val="00EB0E29"/>
    <w:rsid w:val="00EB1707"/>
    <w:rsid w:val="00EB1F60"/>
    <w:rsid w:val="00EB3958"/>
    <w:rsid w:val="00EB47BF"/>
    <w:rsid w:val="00EC7C9B"/>
    <w:rsid w:val="00EF0CC2"/>
    <w:rsid w:val="00F20C0A"/>
    <w:rsid w:val="00F25E58"/>
    <w:rsid w:val="00F54B2D"/>
    <w:rsid w:val="00F7160C"/>
    <w:rsid w:val="00F8332F"/>
    <w:rsid w:val="00F8543F"/>
    <w:rsid w:val="00FB0F3D"/>
    <w:rsid w:val="00FB79F4"/>
    <w:rsid w:val="00FD1EE4"/>
    <w:rsid w:val="00FD40FF"/>
    <w:rsid w:val="00FF1243"/>
    <w:rsid w:val="00FF75D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8E"/>
    <w:rPr>
      <w:lang w:eastAsia="es-ES"/>
    </w:rPr>
  </w:style>
  <w:style w:type="paragraph" w:styleId="Ttulo1">
    <w:name w:val="heading 1"/>
    <w:basedOn w:val="Normal"/>
    <w:next w:val="Normal"/>
    <w:link w:val="Ttulo1Car"/>
    <w:qFormat/>
    <w:rsid w:val="004C5C21"/>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D6368E"/>
    <w:pPr>
      <w:keepNext/>
      <w:jc w:val="center"/>
      <w:outlineLvl w:val="1"/>
    </w:pPr>
    <w:rPr>
      <w:rFonts w:ascii="Bookman Old Style" w:hAnsi="Bookman Old Style"/>
      <w:b/>
      <w:sz w:val="22"/>
      <w:lang w:val="es-ES"/>
    </w:rPr>
  </w:style>
  <w:style w:type="paragraph" w:styleId="Ttulo3">
    <w:name w:val="heading 3"/>
    <w:basedOn w:val="Normal"/>
    <w:next w:val="Normal"/>
    <w:link w:val="Ttulo3Car"/>
    <w:semiHidden/>
    <w:unhideWhenUsed/>
    <w:qFormat/>
    <w:rsid w:val="004C5C21"/>
    <w:pPr>
      <w:keepNext/>
      <w:spacing w:before="240" w:after="60"/>
      <w:outlineLvl w:val="2"/>
    </w:pPr>
    <w:rPr>
      <w:rFonts w:ascii="Cambria" w:hAnsi="Cambria"/>
      <w:b/>
      <w:bCs/>
      <w:sz w:val="26"/>
      <w:szCs w:val="26"/>
    </w:rPr>
  </w:style>
  <w:style w:type="paragraph" w:styleId="Ttulo5">
    <w:name w:val="heading 5"/>
    <w:basedOn w:val="Normal"/>
    <w:next w:val="Normal"/>
    <w:qFormat/>
    <w:rsid w:val="00D6368E"/>
    <w:pPr>
      <w:spacing w:before="240" w:after="60"/>
      <w:outlineLvl w:val="4"/>
    </w:pPr>
    <w:rPr>
      <w:sz w:val="22"/>
    </w:rPr>
  </w:style>
  <w:style w:type="paragraph" w:styleId="Ttulo6">
    <w:name w:val="heading 6"/>
    <w:basedOn w:val="Normal"/>
    <w:next w:val="Normal"/>
    <w:qFormat/>
    <w:rsid w:val="00D6368E"/>
    <w:pPr>
      <w:keepNext/>
      <w:numPr>
        <w:numId w:val="4"/>
      </w:numPr>
      <w:jc w:val="both"/>
      <w:outlineLvl w:val="5"/>
    </w:pPr>
    <w:rPr>
      <w:rFonts w:ascii="Arial" w:hAnsi="Arial"/>
      <w:b/>
      <w:lang w:val="es-MX"/>
    </w:rPr>
  </w:style>
  <w:style w:type="paragraph" w:styleId="Ttulo9">
    <w:name w:val="heading 9"/>
    <w:basedOn w:val="Normal"/>
    <w:next w:val="Normal"/>
    <w:qFormat/>
    <w:rsid w:val="00D6368E"/>
    <w:pPr>
      <w:keepNext/>
      <w:jc w:val="both"/>
      <w:outlineLvl w:val="8"/>
    </w:pPr>
    <w:rPr>
      <w:b/>
      <w:sz w:val="1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D6368E"/>
    <w:pPr>
      <w:jc w:val="center"/>
    </w:pPr>
    <w:rPr>
      <w:b/>
      <w:sz w:val="24"/>
      <w:lang w:val="es-MX"/>
    </w:rPr>
  </w:style>
  <w:style w:type="paragraph" w:styleId="Textoindependiente2">
    <w:name w:val="Body Text 2"/>
    <w:basedOn w:val="Normal"/>
    <w:rsid w:val="00D6368E"/>
    <w:pPr>
      <w:jc w:val="both"/>
    </w:pPr>
    <w:rPr>
      <w:rFonts w:ascii="Bookman Old Style" w:hAnsi="Bookman Old Style"/>
      <w:sz w:val="22"/>
      <w:lang w:val="es-MX"/>
    </w:rPr>
  </w:style>
  <w:style w:type="paragraph" w:styleId="Textoindependiente3">
    <w:name w:val="Body Text 3"/>
    <w:basedOn w:val="Normal"/>
    <w:rsid w:val="00D6368E"/>
    <w:pPr>
      <w:spacing w:after="120"/>
      <w:jc w:val="both"/>
    </w:pPr>
    <w:rPr>
      <w:sz w:val="22"/>
      <w:lang w:val="es-MX"/>
    </w:rPr>
  </w:style>
  <w:style w:type="paragraph" w:customStyle="1" w:styleId="Seccindearchivo">
    <w:name w:val="Sección de archivo"/>
    <w:basedOn w:val="Ttulo5"/>
    <w:autoRedefine/>
    <w:rsid w:val="00D6368E"/>
    <w:pPr>
      <w:spacing w:before="0" w:after="0"/>
      <w:jc w:val="both"/>
      <w:outlineLvl w:val="9"/>
    </w:pPr>
    <w:rPr>
      <w:sz w:val="24"/>
      <w:lang w:val="es-ES"/>
    </w:rPr>
  </w:style>
  <w:style w:type="paragraph" w:styleId="Piedepgina">
    <w:name w:val="footer"/>
    <w:basedOn w:val="Normal"/>
    <w:link w:val="PiedepginaCar"/>
    <w:uiPriority w:val="99"/>
    <w:rsid w:val="00D6368E"/>
    <w:pPr>
      <w:tabs>
        <w:tab w:val="center" w:pos="4252"/>
        <w:tab w:val="right" w:pos="8504"/>
      </w:tabs>
    </w:pPr>
    <w:rPr>
      <w:lang w:val="es-ES"/>
    </w:rPr>
  </w:style>
  <w:style w:type="character" w:styleId="Nmerodepgina">
    <w:name w:val="page number"/>
    <w:rsid w:val="00D6368E"/>
    <w:rPr>
      <w:sz w:val="16"/>
    </w:rPr>
  </w:style>
  <w:style w:type="character" w:styleId="Hipervnculo">
    <w:name w:val="Hyperlink"/>
    <w:basedOn w:val="Fuentedeprrafopredeter"/>
    <w:rsid w:val="00D6368E"/>
    <w:rPr>
      <w:color w:val="0000FF"/>
      <w:u w:val="single"/>
    </w:rPr>
  </w:style>
  <w:style w:type="character" w:styleId="Hipervnculovisitado">
    <w:name w:val="FollowedHyperlink"/>
    <w:basedOn w:val="Fuentedeprrafopredeter"/>
    <w:rsid w:val="00D6368E"/>
    <w:rPr>
      <w:color w:val="800080"/>
      <w:u w:val="single"/>
    </w:rPr>
  </w:style>
  <w:style w:type="paragraph" w:styleId="Textonotapie">
    <w:name w:val="footnote text"/>
    <w:basedOn w:val="Normal"/>
    <w:semiHidden/>
    <w:rsid w:val="00D6368E"/>
  </w:style>
  <w:style w:type="character" w:styleId="Refdenotaalpie">
    <w:name w:val="footnote reference"/>
    <w:basedOn w:val="Fuentedeprrafopredeter"/>
    <w:semiHidden/>
    <w:rsid w:val="00D6368E"/>
    <w:rPr>
      <w:vertAlign w:val="superscript"/>
    </w:rPr>
  </w:style>
  <w:style w:type="paragraph" w:styleId="Textodeglobo">
    <w:name w:val="Balloon Text"/>
    <w:basedOn w:val="Normal"/>
    <w:semiHidden/>
    <w:rsid w:val="002C1CE6"/>
    <w:rPr>
      <w:rFonts w:ascii="Tahoma" w:hAnsi="Tahoma" w:cs="Tahoma"/>
      <w:sz w:val="16"/>
      <w:szCs w:val="16"/>
    </w:rPr>
  </w:style>
  <w:style w:type="paragraph" w:styleId="Encabezado">
    <w:name w:val="header"/>
    <w:basedOn w:val="Normal"/>
    <w:link w:val="EncabezadoCar"/>
    <w:uiPriority w:val="99"/>
    <w:rsid w:val="00BB5ECC"/>
    <w:pPr>
      <w:tabs>
        <w:tab w:val="center" w:pos="4419"/>
        <w:tab w:val="right" w:pos="8838"/>
      </w:tabs>
    </w:pPr>
  </w:style>
  <w:style w:type="character" w:customStyle="1" w:styleId="EncabezadoCar">
    <w:name w:val="Encabezado Car"/>
    <w:basedOn w:val="Fuentedeprrafopredeter"/>
    <w:link w:val="Encabezado"/>
    <w:uiPriority w:val="99"/>
    <w:rsid w:val="00BB5ECC"/>
    <w:rPr>
      <w:lang w:eastAsia="es-ES"/>
    </w:rPr>
  </w:style>
  <w:style w:type="table" w:customStyle="1" w:styleId="Tablaconcuadrcula1">
    <w:name w:val="Tabla con cuadrícula1"/>
    <w:basedOn w:val="Tablanormal"/>
    <w:uiPriority w:val="59"/>
    <w:rsid w:val="00BB5ECC"/>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B631EE"/>
    <w:pPr>
      <w:ind w:left="720"/>
      <w:contextualSpacing/>
    </w:pPr>
  </w:style>
  <w:style w:type="character" w:customStyle="1" w:styleId="PiedepginaCar">
    <w:name w:val="Pie de página Car"/>
    <w:basedOn w:val="Fuentedeprrafopredeter"/>
    <w:link w:val="Piedepgina"/>
    <w:uiPriority w:val="99"/>
    <w:rsid w:val="00C92D7E"/>
    <w:rPr>
      <w:lang w:val="es-ES" w:eastAsia="es-ES"/>
    </w:rPr>
  </w:style>
  <w:style w:type="table" w:styleId="Tablaconcuadrcula">
    <w:name w:val="Table Grid"/>
    <w:basedOn w:val="Tablanormal"/>
    <w:rsid w:val="00C92D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4C5C21"/>
    <w:rPr>
      <w:rFonts w:ascii="Cambria" w:hAnsi="Cambria"/>
      <w:b/>
      <w:bCs/>
      <w:kern w:val="32"/>
      <w:sz w:val="32"/>
      <w:szCs w:val="32"/>
      <w:lang w:eastAsia="es-ES"/>
    </w:rPr>
  </w:style>
  <w:style w:type="character" w:customStyle="1" w:styleId="Ttulo3Car">
    <w:name w:val="Título 3 Car"/>
    <w:basedOn w:val="Fuentedeprrafopredeter"/>
    <w:link w:val="Ttulo3"/>
    <w:semiHidden/>
    <w:rsid w:val="004C5C21"/>
    <w:rPr>
      <w:rFonts w:ascii="Cambria" w:hAnsi="Cambria"/>
      <w:b/>
      <w:bCs/>
      <w:sz w:val="26"/>
      <w:szCs w:val="26"/>
      <w:lang w:eastAsia="es-ES"/>
    </w:rPr>
  </w:style>
  <w:style w:type="paragraph" w:styleId="Sangra2detindependiente">
    <w:name w:val="Body Text Indent 2"/>
    <w:basedOn w:val="Normal"/>
    <w:link w:val="Sangra2detindependienteCar"/>
    <w:rsid w:val="004C5C21"/>
    <w:pPr>
      <w:spacing w:after="120" w:line="480" w:lineRule="auto"/>
      <w:ind w:left="283"/>
    </w:pPr>
  </w:style>
  <w:style w:type="character" w:customStyle="1" w:styleId="Sangra2detindependienteCar">
    <w:name w:val="Sangría 2 de t. independiente Car"/>
    <w:basedOn w:val="Fuentedeprrafopredeter"/>
    <w:link w:val="Sangra2detindependiente"/>
    <w:rsid w:val="004C5C21"/>
    <w:rPr>
      <w:lang w:eastAsia="es-ES"/>
    </w:rPr>
  </w:style>
  <w:style w:type="paragraph" w:styleId="Textoindependiente">
    <w:name w:val="Body Text"/>
    <w:basedOn w:val="Normal"/>
    <w:link w:val="TextoindependienteCar"/>
    <w:rsid w:val="004C5C21"/>
    <w:pPr>
      <w:spacing w:after="120"/>
    </w:pPr>
  </w:style>
  <w:style w:type="character" w:customStyle="1" w:styleId="TextoindependienteCar">
    <w:name w:val="Texto independiente Car"/>
    <w:basedOn w:val="Fuentedeprrafopredeter"/>
    <w:link w:val="Textoindependiente"/>
    <w:rsid w:val="004C5C21"/>
    <w:rPr>
      <w:lang w:eastAsia="es-ES"/>
    </w:rPr>
  </w:style>
  <w:style w:type="paragraph" w:customStyle="1" w:styleId="ExtensinArchivo">
    <w:name w:val="Extensión Archivo"/>
    <w:basedOn w:val="Normal"/>
    <w:rsid w:val="004C5C21"/>
    <w:pPr>
      <w:spacing w:before="60" w:after="180"/>
      <w:ind w:left="426"/>
      <w:jc w:val="both"/>
    </w:pPr>
    <w:rPr>
      <w:rFonts w:ascii="Bookman Old Style" w:hAnsi="Bookman Old Style"/>
      <w:b/>
      <w:sz w:val="24"/>
      <w:lang w:val="es-ES"/>
    </w:rPr>
  </w:style>
  <w:style w:type="paragraph" w:customStyle="1" w:styleId="TextoTablaTipodeCampo">
    <w:name w:val="Texto Tabla Tipo de Campo"/>
    <w:basedOn w:val="Normal"/>
    <w:autoRedefine/>
    <w:rsid w:val="004C5C21"/>
    <w:pPr>
      <w:keepLines/>
      <w:tabs>
        <w:tab w:val="left" w:pos="912"/>
      </w:tabs>
      <w:jc w:val="both"/>
    </w:pPr>
    <w:rPr>
      <w:rFonts w:ascii="Bookman Old Style" w:hAnsi="Bookman Old Style"/>
      <w:sz w:val="16"/>
    </w:rPr>
  </w:style>
  <w:style w:type="paragraph" w:customStyle="1" w:styleId="TextodeTablaconSangraFrancesa">
    <w:name w:val="Texto de Tabla con Sangría Francesa"/>
    <w:basedOn w:val="TextoTablaTipodeCampo"/>
    <w:rsid w:val="004C5C21"/>
    <w:pPr>
      <w:ind w:left="318" w:hanging="318"/>
    </w:pPr>
  </w:style>
  <w:style w:type="character" w:customStyle="1" w:styleId="PrrafodelistaCar">
    <w:name w:val="Párrafo de lista Car"/>
    <w:basedOn w:val="Fuentedeprrafopredeter"/>
    <w:link w:val="Prrafodelista"/>
    <w:uiPriority w:val="34"/>
    <w:locked/>
    <w:rsid w:val="000A5FEE"/>
    <w:rPr>
      <w:lang w:eastAsia="es-ES"/>
    </w:rPr>
  </w:style>
  <w:style w:type="paragraph" w:customStyle="1" w:styleId="Default">
    <w:name w:val="Default"/>
    <w:rsid w:val="000A5FEE"/>
    <w:pPr>
      <w:autoSpaceDE w:val="0"/>
      <w:autoSpaceDN w:val="0"/>
      <w:adjustRightInd w:val="0"/>
    </w:pPr>
    <w:rPr>
      <w:rFonts w:ascii="Arial" w:eastAsiaTheme="minorHAnsi" w:hAnsi="Arial" w:cs="Arial"/>
      <w:color w:val="000000"/>
      <w:sz w:val="24"/>
      <w:szCs w:val="24"/>
      <w:lang w:val="es-CL" w:eastAsia="en-US"/>
    </w:rPr>
  </w:style>
  <w:style w:type="character" w:styleId="Refdecomentario">
    <w:name w:val="annotation reference"/>
    <w:basedOn w:val="Fuentedeprrafopredeter"/>
    <w:semiHidden/>
    <w:unhideWhenUsed/>
    <w:rsid w:val="003C08A5"/>
    <w:rPr>
      <w:sz w:val="16"/>
      <w:szCs w:val="16"/>
    </w:rPr>
  </w:style>
  <w:style w:type="paragraph" w:styleId="Textocomentario">
    <w:name w:val="annotation text"/>
    <w:basedOn w:val="Normal"/>
    <w:link w:val="TextocomentarioCar"/>
    <w:semiHidden/>
    <w:unhideWhenUsed/>
    <w:rsid w:val="003C08A5"/>
  </w:style>
  <w:style w:type="character" w:customStyle="1" w:styleId="TextocomentarioCar">
    <w:name w:val="Texto comentario Car"/>
    <w:basedOn w:val="Fuentedeprrafopredeter"/>
    <w:link w:val="Textocomentario"/>
    <w:semiHidden/>
    <w:rsid w:val="003C08A5"/>
    <w:rPr>
      <w:lang w:eastAsia="es-ES"/>
    </w:rPr>
  </w:style>
  <w:style w:type="paragraph" w:styleId="Asuntodelcomentario">
    <w:name w:val="annotation subject"/>
    <w:basedOn w:val="Textocomentario"/>
    <w:next w:val="Textocomentario"/>
    <w:link w:val="AsuntodelcomentarioCar"/>
    <w:semiHidden/>
    <w:unhideWhenUsed/>
    <w:rsid w:val="003C08A5"/>
    <w:rPr>
      <w:b/>
      <w:bCs/>
    </w:rPr>
  </w:style>
  <w:style w:type="character" w:customStyle="1" w:styleId="AsuntodelcomentarioCar">
    <w:name w:val="Asunto del comentario Car"/>
    <w:basedOn w:val="TextocomentarioCar"/>
    <w:link w:val="Asuntodelcomentario"/>
    <w:semiHidden/>
    <w:rsid w:val="003C08A5"/>
    <w:rPr>
      <w:b/>
      <w:bCs/>
      <w:lang w:eastAsia="es-ES"/>
    </w:rPr>
  </w:style>
</w:styles>
</file>

<file path=word/webSettings.xml><?xml version="1.0" encoding="utf-8"?>
<w:webSettings xmlns:r="http://schemas.openxmlformats.org/officeDocument/2006/relationships" xmlns:w="http://schemas.openxmlformats.org/wordprocessingml/2006/main">
  <w:divs>
    <w:div w:id="1061828200">
      <w:bodyDiv w:val="1"/>
      <w:marLeft w:val="0"/>
      <w:marRight w:val="0"/>
      <w:marTop w:val="0"/>
      <w:marBottom w:val="0"/>
      <w:divBdr>
        <w:top w:val="none" w:sz="0" w:space="0" w:color="auto"/>
        <w:left w:val="none" w:sz="0" w:space="0" w:color="auto"/>
        <w:bottom w:val="none" w:sz="0" w:space="0" w:color="auto"/>
        <w:right w:val="none" w:sz="0" w:space="0" w:color="auto"/>
      </w:divBdr>
      <w:divsChild>
        <w:div w:id="1497918386">
          <w:marLeft w:val="547"/>
          <w:marRight w:val="0"/>
          <w:marTop w:val="0"/>
          <w:marBottom w:val="0"/>
          <w:divBdr>
            <w:top w:val="none" w:sz="0" w:space="0" w:color="auto"/>
            <w:left w:val="none" w:sz="0" w:space="0" w:color="auto"/>
            <w:bottom w:val="none" w:sz="0" w:space="0" w:color="auto"/>
            <w:right w:val="none" w:sz="0" w:space="0" w:color="auto"/>
          </w:divBdr>
        </w:div>
      </w:divsChild>
    </w:div>
    <w:div w:id="1326779270">
      <w:bodyDiv w:val="1"/>
      <w:marLeft w:val="0"/>
      <w:marRight w:val="0"/>
      <w:marTop w:val="0"/>
      <w:marBottom w:val="0"/>
      <w:divBdr>
        <w:top w:val="none" w:sz="0" w:space="0" w:color="auto"/>
        <w:left w:val="none" w:sz="0" w:space="0" w:color="auto"/>
        <w:bottom w:val="none" w:sz="0" w:space="0" w:color="auto"/>
        <w:right w:val="none" w:sz="0" w:space="0" w:color="auto"/>
      </w:divBdr>
    </w:div>
    <w:div w:id="1916013488">
      <w:bodyDiv w:val="1"/>
      <w:marLeft w:val="0"/>
      <w:marRight w:val="0"/>
      <w:marTop w:val="0"/>
      <w:marBottom w:val="0"/>
      <w:divBdr>
        <w:top w:val="none" w:sz="0" w:space="0" w:color="auto"/>
        <w:left w:val="none" w:sz="0" w:space="0" w:color="auto"/>
        <w:bottom w:val="none" w:sz="0" w:space="0" w:color="auto"/>
        <w:right w:val="none" w:sz="0" w:space="0" w:color="auto"/>
      </w:divBdr>
      <w:divsChild>
        <w:div w:id="865483949">
          <w:marLeft w:val="706"/>
          <w:marRight w:val="0"/>
          <w:marTop w:val="0"/>
          <w:marBottom w:val="0"/>
          <w:divBdr>
            <w:top w:val="none" w:sz="0" w:space="0" w:color="auto"/>
            <w:left w:val="none" w:sz="0" w:space="0" w:color="auto"/>
            <w:bottom w:val="none" w:sz="0" w:space="0" w:color="auto"/>
            <w:right w:val="none" w:sz="0" w:space="0" w:color="auto"/>
          </w:divBdr>
        </w:div>
        <w:div w:id="585185700">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TAK2XWSQXAVX-289417016-798</_dlc_DocId>
    <_dlc_DocIdUrl xmlns="925361b9-3a0c-4c35-ae0e-5f5ef97db517">
      <Url>http://sis/cn/_layouts/15/DocIdRedir.aspx?ID=TAK2XWSQXAVX-289417016-798</Url>
      <Description>TAK2XWSQXAVX-289417016-798</Description>
    </_dlc_DocIdUrl>
    <SharedWithUsers xmlns="105040ed-cd99-4010-bc1f-517bccb458f6">
      <UserInfo>
        <DisplayName>Ana Guadalupe Escobar Quintanilla</DisplayName>
        <AccountId>23</AccountId>
        <AccountType/>
      </UserInfo>
      <UserInfo>
        <DisplayName>Gabriela Michelle Viera Pineda</DisplayName>
        <AccountId>24</AccountId>
        <AccountType/>
      </UserInfo>
      <UserInfo>
        <DisplayName>Vittia Maritza Landaverde de López</DisplayName>
        <AccountId>51</AccountId>
        <AccountType/>
      </UserInfo>
      <UserInfo>
        <DisplayName>Idis Haydée Villalta Del Valle</DisplayName>
        <AccountId>47</AccountId>
        <AccountType/>
      </UserInfo>
      <UserInfo>
        <DisplayName>Evelyn Marisol Gracias</DisplayName>
        <AccountId>22</AccountId>
        <AccountType/>
      </UserInfo>
      <UserInfo>
        <DisplayName>Laila Badiyéh Resbain Sholéh Ramírez Abarca</DisplayName>
        <AccountId>54</AccountId>
        <AccountType/>
      </UserInfo>
      <UserInfo>
        <DisplayName>Karen Beatriz Bonilla Sánchez</DisplayName>
        <AccountId>46</AccountId>
        <AccountType/>
      </UserInfo>
      <UserInfo>
        <DisplayName>Roberto Benjamín Iglesias González</DisplayName>
        <AccountId>58</AccountId>
        <AccountType/>
      </UserInfo>
      <UserInfo>
        <DisplayName>Karen Beatriz Bonilla Sánchez</DisplayName>
        <AccountId>119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654D-CB3E-4570-B6D6-CF957C728904}">
  <ds:schemaRefs>
    <ds:schemaRef ds:uri="http://schemas.microsoft.com/office/2006/metadata/properties"/>
    <ds:schemaRef ds:uri="http://schemas.microsoft.com/office/infopath/2007/PartnerControls"/>
    <ds:schemaRef ds:uri="925361b9-3a0c-4c35-ae0e-5f5ef97db517"/>
    <ds:schemaRef ds:uri="105040ed-cd99-4010-bc1f-517bccb458f6"/>
  </ds:schemaRefs>
</ds:datastoreItem>
</file>

<file path=customXml/itemProps2.xml><?xml version="1.0" encoding="utf-8"?>
<ds:datastoreItem xmlns:ds="http://schemas.openxmlformats.org/officeDocument/2006/customXml" ds:itemID="{0C582ABD-AD5A-4DA6-A1D2-9AD4E6B987DD}">
  <ds:schemaRefs>
    <ds:schemaRef ds:uri="http://schemas.microsoft.com/sharepoint/v3/contenttype/forms"/>
  </ds:schemaRefs>
</ds:datastoreItem>
</file>

<file path=customXml/itemProps3.xml><?xml version="1.0" encoding="utf-8"?>
<ds:datastoreItem xmlns:ds="http://schemas.openxmlformats.org/officeDocument/2006/customXml" ds:itemID="{4B2F1DB8-91F1-4B2D-A09C-5182E923BF27}">
  <ds:schemaRefs>
    <ds:schemaRef ds:uri="http://schemas.microsoft.com/sharepoint/events"/>
  </ds:schemaRefs>
</ds:datastoreItem>
</file>

<file path=customXml/itemProps4.xml><?xml version="1.0" encoding="utf-8"?>
<ds:datastoreItem xmlns:ds="http://schemas.openxmlformats.org/officeDocument/2006/customXml" ds:itemID="{E692FC9A-3FAC-4CBE-87D4-376577025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12D48B-E139-4260-80D6-86647810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INSTRUCTIVO PARA EL TRASLADO DE LA CUENTA INDIVIDUAL ADMINISTRADA POR EL FONDO SOCIAL PARA LA VIVIENDA A LA CUENTA INDIVIDUAL DE AHORRO PARA PENSIONES DE UN AFILIADO AL SISTEMA DE AHORRO PARA PENSIONES</vt:lpstr>
    </vt:vector>
  </TitlesOfParts>
  <Manager>SAP</Manager>
  <Company>SAP 03-03</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EL TRASLADO DE LA CUENTA INDIVIDUAL ADMINISTRADA POR EL FONDO SOCIAL PARA LA VIVIENDA A LA CUENTA INDIVIDUAL DE AHORRO PARA PENSIONES DE UN AFILIADO AL SISTEMA DE AHORRO PARA PENSIONES</dc:title>
  <dc:subject>RECAUDACION</dc:subject>
  <dc:creator>Celina Lizzet Cantón Torres</dc:creator>
  <cp:keywords>FONDO SOCIAL CUENTA INDIVIDUAL SAP</cp:keywords>
  <cp:lastModifiedBy>carl</cp:lastModifiedBy>
  <cp:revision>2</cp:revision>
  <cp:lastPrinted>2018-05-30T23:31:00Z</cp:lastPrinted>
  <dcterms:created xsi:type="dcterms:W3CDTF">2018-06-01T15:04:00Z</dcterms:created>
  <dcterms:modified xsi:type="dcterms:W3CDTF">2018-06-01T15:04:00Z</dcterms:modified>
  <cp:category>INSTRUCTIVO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de0be9da-64ec-42f8-9309-1dd46b025157</vt:lpwstr>
  </property>
</Properties>
</file>