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18477" w14:textId="0B586B41" w:rsidR="0087583F" w:rsidRPr="0087583F" w:rsidRDefault="0087583F" w:rsidP="0087583F">
      <w:pPr>
        <w:pStyle w:val="Textoindependiente"/>
        <w:widowControl/>
        <w:spacing w:line="240" w:lineRule="auto"/>
        <w:rPr>
          <w:rFonts w:ascii="Arial Narrow" w:hAnsi="Arial Narrow"/>
          <w:snapToGrid/>
          <w:szCs w:val="24"/>
          <w:lang w:val="es-ES"/>
        </w:rPr>
      </w:pPr>
      <w:r w:rsidRPr="0087583F">
        <w:rPr>
          <w:rFonts w:ascii="Arial Narrow" w:hAnsi="Arial Narrow"/>
          <w:snapToGrid/>
          <w:szCs w:val="24"/>
          <w:lang w:val="es-ES"/>
        </w:rPr>
        <w:t>El Consejo Directivo de la Superintendencia del Sistema Financiero, en uso de la potestad que le confiere el</w:t>
      </w:r>
      <w:r w:rsidR="002402A0">
        <w:rPr>
          <w:rFonts w:ascii="Arial Narrow" w:hAnsi="Arial Narrow"/>
          <w:snapToGrid/>
          <w:szCs w:val="24"/>
          <w:lang w:val="es-ES"/>
        </w:rPr>
        <w:t xml:space="preserve"> </w:t>
      </w:r>
      <w:r w:rsidRPr="0087583F">
        <w:rPr>
          <w:rFonts w:ascii="Arial Narrow" w:hAnsi="Arial Narrow"/>
          <w:snapToGrid/>
          <w:szCs w:val="24"/>
          <w:lang w:val="es-ES"/>
        </w:rPr>
        <w:t>literal c) del artículo 10 de la Ley Orgánica de la Superintendencia del Sistema Financiero y para darle cumplimiento a los artículos 60 y 61 de la Ley del Sistema de Garantías Rec</w:t>
      </w:r>
      <w:r w:rsidR="00A83E03">
        <w:rPr>
          <w:rFonts w:ascii="Arial Narrow" w:hAnsi="Arial Narrow"/>
          <w:snapToGrid/>
          <w:szCs w:val="24"/>
          <w:lang w:val="es-ES"/>
        </w:rPr>
        <w:t>í</w:t>
      </w:r>
      <w:r w:rsidRPr="0087583F">
        <w:rPr>
          <w:rFonts w:ascii="Arial Narrow" w:hAnsi="Arial Narrow"/>
          <w:snapToGrid/>
          <w:szCs w:val="24"/>
          <w:lang w:val="es-ES"/>
        </w:rPr>
        <w:t>procas para la Micro, Pequeña y Mediana Empresa Rural y Urbana,</w:t>
      </w:r>
      <w:r w:rsidR="002402A0">
        <w:rPr>
          <w:rFonts w:ascii="Arial Narrow" w:hAnsi="Arial Narrow"/>
          <w:snapToGrid/>
          <w:szCs w:val="24"/>
          <w:lang w:val="es-ES"/>
        </w:rPr>
        <w:t xml:space="preserve"> </w:t>
      </w:r>
      <w:r w:rsidRPr="0087583F">
        <w:rPr>
          <w:rFonts w:ascii="Arial Narrow" w:hAnsi="Arial Narrow"/>
          <w:snapToGrid/>
          <w:szCs w:val="24"/>
          <w:lang w:val="es-ES"/>
        </w:rPr>
        <w:t>acuerda emitir las:</w:t>
      </w:r>
    </w:p>
    <w:p w14:paraId="7F118478" w14:textId="77777777" w:rsidR="0087583F" w:rsidRPr="0087583F" w:rsidRDefault="0087583F" w:rsidP="0087583F">
      <w:pPr>
        <w:pStyle w:val="Textoindependiente3"/>
        <w:rPr>
          <w:rFonts w:ascii="Arial Narrow" w:hAnsi="Arial Narrow"/>
          <w:szCs w:val="24"/>
        </w:rPr>
      </w:pPr>
    </w:p>
    <w:p w14:paraId="7F118479" w14:textId="77777777" w:rsidR="0087583F" w:rsidRPr="0087583F" w:rsidRDefault="0087583F" w:rsidP="0087583F">
      <w:pPr>
        <w:pStyle w:val="Textoindependiente3"/>
        <w:rPr>
          <w:rFonts w:ascii="Arial Narrow" w:hAnsi="Arial Narrow"/>
          <w:szCs w:val="24"/>
        </w:rPr>
      </w:pPr>
      <w:r w:rsidRPr="0087583F">
        <w:rPr>
          <w:rFonts w:ascii="Arial Narrow" w:hAnsi="Arial Narrow"/>
          <w:szCs w:val="24"/>
        </w:rPr>
        <w:t>NORMAS PARA LA CONTABILIZACIÓN DE LOS ACTIVOS EXTRAORDINARIOS DE LAS SOCIEDADES DE GARANTÍA RECÍPROCA</w:t>
      </w:r>
    </w:p>
    <w:p w14:paraId="7F11847A" w14:textId="77777777" w:rsidR="0087583F" w:rsidRPr="0087583F" w:rsidRDefault="0087583F" w:rsidP="0087583F">
      <w:pPr>
        <w:jc w:val="center"/>
        <w:outlineLvl w:val="0"/>
        <w:rPr>
          <w:rFonts w:ascii="Arial Narrow" w:hAnsi="Arial Narrow"/>
          <w:b/>
          <w:sz w:val="24"/>
          <w:szCs w:val="24"/>
        </w:rPr>
      </w:pPr>
    </w:p>
    <w:p w14:paraId="7F11847B"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CAPÍTULO I</w:t>
      </w:r>
    </w:p>
    <w:p w14:paraId="7F11847C" w14:textId="5A1756FB" w:rsidR="0087583F" w:rsidRPr="0087583F" w:rsidRDefault="0087583F" w:rsidP="0087583F">
      <w:pPr>
        <w:jc w:val="center"/>
        <w:outlineLvl w:val="0"/>
        <w:rPr>
          <w:rFonts w:ascii="Arial Narrow" w:hAnsi="Arial Narrow"/>
          <w:sz w:val="24"/>
          <w:szCs w:val="24"/>
        </w:rPr>
      </w:pPr>
      <w:r w:rsidRPr="0087583F">
        <w:rPr>
          <w:rFonts w:ascii="Arial Narrow" w:hAnsi="Arial Narrow"/>
          <w:b/>
          <w:sz w:val="24"/>
          <w:szCs w:val="24"/>
        </w:rPr>
        <w:t>OBJETO</w:t>
      </w:r>
      <w:r w:rsidR="002402A0">
        <w:rPr>
          <w:rFonts w:ascii="Arial Narrow" w:hAnsi="Arial Narrow"/>
          <w:b/>
          <w:sz w:val="24"/>
          <w:szCs w:val="24"/>
        </w:rPr>
        <w:t xml:space="preserve"> </w:t>
      </w:r>
      <w:r w:rsidRPr="0087583F">
        <w:rPr>
          <w:rFonts w:ascii="Arial Narrow" w:hAnsi="Arial Narrow"/>
          <w:b/>
          <w:sz w:val="24"/>
          <w:szCs w:val="24"/>
        </w:rPr>
        <w:t>Y SUJETOS</w:t>
      </w:r>
    </w:p>
    <w:p w14:paraId="7F11847D" w14:textId="77777777" w:rsidR="0087583F" w:rsidRPr="0087583F" w:rsidRDefault="0087583F" w:rsidP="0087583F">
      <w:pPr>
        <w:jc w:val="both"/>
        <w:rPr>
          <w:rFonts w:ascii="Arial Narrow" w:hAnsi="Arial Narrow"/>
          <w:sz w:val="24"/>
          <w:szCs w:val="24"/>
        </w:rPr>
      </w:pPr>
    </w:p>
    <w:p w14:paraId="7F11847E" w14:textId="77777777" w:rsidR="0087583F" w:rsidRPr="0087583F" w:rsidRDefault="0087583F" w:rsidP="0087583F">
      <w:pPr>
        <w:pStyle w:val="Ttulo2"/>
        <w:spacing w:line="240" w:lineRule="auto"/>
        <w:rPr>
          <w:rFonts w:ascii="Arial Narrow" w:hAnsi="Arial Narrow"/>
          <w:szCs w:val="24"/>
        </w:rPr>
      </w:pPr>
      <w:r w:rsidRPr="0087583F">
        <w:rPr>
          <w:rFonts w:ascii="Arial Narrow" w:hAnsi="Arial Narrow"/>
          <w:szCs w:val="24"/>
        </w:rPr>
        <w:t xml:space="preserve">Objeto </w:t>
      </w:r>
    </w:p>
    <w:p w14:paraId="7F11847F" w14:textId="77777777" w:rsidR="0087583F" w:rsidRPr="0087583F" w:rsidRDefault="0087583F" w:rsidP="0087583F">
      <w:pPr>
        <w:pStyle w:val="Ttulo2"/>
        <w:spacing w:line="240" w:lineRule="auto"/>
        <w:rPr>
          <w:rFonts w:ascii="Arial Narrow" w:hAnsi="Arial Narrow"/>
          <w:b w:val="0"/>
          <w:bCs/>
          <w:snapToGrid/>
          <w:szCs w:val="24"/>
        </w:rPr>
      </w:pPr>
      <w:r w:rsidRPr="0087583F">
        <w:rPr>
          <w:rFonts w:ascii="Arial Narrow" w:hAnsi="Arial Narrow"/>
          <w:snapToGrid/>
          <w:szCs w:val="24"/>
        </w:rPr>
        <w:t>Art. 1.-</w:t>
      </w:r>
      <w:r w:rsidRPr="0087583F">
        <w:rPr>
          <w:rFonts w:ascii="Arial Narrow" w:hAnsi="Arial Narrow"/>
          <w:b w:val="0"/>
          <w:bCs/>
          <w:snapToGrid/>
          <w:szCs w:val="24"/>
        </w:rPr>
        <w:t xml:space="preserve"> Las presentes Normas tienen por objeto establecer prácticas uniformes para el registro contable y la valuación de las transacciones de los activos extraordinarios de las Sociedades de Garantía Recíproca.</w:t>
      </w:r>
    </w:p>
    <w:p w14:paraId="7F118480" w14:textId="77777777" w:rsidR="0087583F" w:rsidRPr="0087583F" w:rsidRDefault="0087583F" w:rsidP="0087583F">
      <w:pPr>
        <w:jc w:val="both"/>
        <w:rPr>
          <w:rFonts w:ascii="Arial Narrow" w:hAnsi="Arial Narrow"/>
          <w:sz w:val="24"/>
          <w:szCs w:val="24"/>
        </w:rPr>
      </w:pPr>
    </w:p>
    <w:p w14:paraId="7F118481" w14:textId="77777777" w:rsidR="0087583F" w:rsidRPr="0087583F" w:rsidRDefault="0087583F" w:rsidP="0087583F">
      <w:pPr>
        <w:pStyle w:val="Textoindependiente"/>
        <w:spacing w:line="240" w:lineRule="auto"/>
        <w:rPr>
          <w:rFonts w:ascii="Arial Narrow" w:hAnsi="Arial Narrow"/>
          <w:b/>
          <w:szCs w:val="24"/>
          <w:lang w:val="es-SV"/>
        </w:rPr>
      </w:pPr>
      <w:r w:rsidRPr="0087583F">
        <w:rPr>
          <w:rFonts w:ascii="Arial Narrow" w:hAnsi="Arial Narrow"/>
          <w:b/>
          <w:szCs w:val="24"/>
          <w:lang w:val="es-SV"/>
        </w:rPr>
        <w:t>Sujetos</w:t>
      </w:r>
    </w:p>
    <w:p w14:paraId="7F118482" w14:textId="77777777" w:rsidR="0087583F" w:rsidRPr="0087583F" w:rsidRDefault="0087583F" w:rsidP="0087583F">
      <w:pPr>
        <w:pStyle w:val="Textoindependiente"/>
        <w:spacing w:line="240" w:lineRule="auto"/>
        <w:rPr>
          <w:rFonts w:ascii="Arial Narrow" w:hAnsi="Arial Narrow"/>
          <w:szCs w:val="24"/>
          <w:lang w:val="es-SV"/>
        </w:rPr>
      </w:pPr>
      <w:r w:rsidRPr="0087583F">
        <w:rPr>
          <w:rFonts w:ascii="Arial Narrow" w:hAnsi="Arial Narrow"/>
          <w:b/>
          <w:bCs/>
          <w:szCs w:val="24"/>
          <w:lang w:val="es-SV"/>
        </w:rPr>
        <w:t xml:space="preserve">Art. 2.- </w:t>
      </w:r>
      <w:r w:rsidRPr="0087583F">
        <w:rPr>
          <w:rFonts w:ascii="Arial Narrow" w:hAnsi="Arial Narrow"/>
          <w:szCs w:val="24"/>
          <w:lang w:val="es-SV"/>
        </w:rPr>
        <w:t xml:space="preserve">Son obligados al cumplimiento de estas Normas las Sociedades de Garantía Recíproca que se encuentren comprendidas en la Ley del Sistema de Garantías Recíprocas para la Micro, Pequeña y Mediana Empresa Rural y Urbana. </w:t>
      </w:r>
    </w:p>
    <w:p w14:paraId="7F118483" w14:textId="77777777" w:rsidR="0087583F" w:rsidRPr="0087583F" w:rsidRDefault="0087583F" w:rsidP="0087583F">
      <w:pPr>
        <w:jc w:val="both"/>
        <w:rPr>
          <w:rFonts w:ascii="Arial Narrow" w:hAnsi="Arial Narrow"/>
          <w:sz w:val="24"/>
          <w:szCs w:val="24"/>
          <w:lang w:val="es-SV"/>
        </w:rPr>
      </w:pPr>
    </w:p>
    <w:p w14:paraId="7F118484" w14:textId="77777777" w:rsidR="0087583F" w:rsidRPr="0087583F" w:rsidRDefault="0087583F" w:rsidP="0087583F">
      <w:pPr>
        <w:pStyle w:val="Textoindependiente"/>
        <w:spacing w:line="240" w:lineRule="auto"/>
        <w:rPr>
          <w:rFonts w:ascii="Arial Narrow" w:hAnsi="Arial Narrow"/>
          <w:szCs w:val="24"/>
        </w:rPr>
      </w:pPr>
      <w:r w:rsidRPr="0087583F">
        <w:rPr>
          <w:rFonts w:ascii="Arial Narrow" w:hAnsi="Arial Narrow"/>
          <w:szCs w:val="24"/>
        </w:rPr>
        <w:t xml:space="preserve">Para efecto de las presentes Normas, los </w:t>
      </w:r>
      <w:r w:rsidRPr="0087583F">
        <w:rPr>
          <w:rFonts w:ascii="Arial Narrow" w:hAnsi="Arial Narrow"/>
          <w:szCs w:val="24"/>
          <w:lang w:val="es-SV"/>
        </w:rPr>
        <w:t>términos “Sociedades o Sociedad de Garantía” y “Ley” son equivalentes a Sociedades de Garantía Recíproca y Ley del Sistema de Garantías Recíprocas para la Micro, Pequeña y Mediana Empresa Rural y Urbana</w:t>
      </w:r>
      <w:r w:rsidRPr="0087583F">
        <w:rPr>
          <w:rFonts w:ascii="Arial Narrow" w:hAnsi="Arial Narrow"/>
          <w:szCs w:val="24"/>
        </w:rPr>
        <w:t>, respectivamente.</w:t>
      </w:r>
    </w:p>
    <w:p w14:paraId="7F118485" w14:textId="77777777" w:rsidR="0087583F" w:rsidRPr="0087583F" w:rsidRDefault="0087583F" w:rsidP="0087583F">
      <w:pPr>
        <w:jc w:val="both"/>
        <w:rPr>
          <w:rFonts w:ascii="Arial Narrow" w:hAnsi="Arial Narrow"/>
          <w:sz w:val="24"/>
          <w:szCs w:val="24"/>
          <w:lang w:val="es-ES_tradnl"/>
        </w:rPr>
      </w:pPr>
    </w:p>
    <w:p w14:paraId="7F118486"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CAPÍTULO II</w:t>
      </w:r>
    </w:p>
    <w:p w14:paraId="7F118487" w14:textId="77777777" w:rsidR="0087583F" w:rsidRPr="0087583F" w:rsidRDefault="0087583F" w:rsidP="0087583F">
      <w:pPr>
        <w:pStyle w:val="Textoindependiente3"/>
        <w:rPr>
          <w:rFonts w:ascii="Arial Narrow" w:hAnsi="Arial Narrow"/>
          <w:szCs w:val="24"/>
        </w:rPr>
      </w:pPr>
      <w:r w:rsidRPr="0087583F">
        <w:rPr>
          <w:rFonts w:ascii="Arial Narrow" w:hAnsi="Arial Narrow"/>
          <w:szCs w:val="24"/>
        </w:rPr>
        <w:t>CONTABILIZACIÓN DE LOS ACTIVOS EXTRAORDINARIOS Y CONSTITUCIÓN DE RESERVAS</w:t>
      </w:r>
    </w:p>
    <w:p w14:paraId="7F118488" w14:textId="77777777" w:rsidR="0087583F" w:rsidRPr="0087583F" w:rsidRDefault="0087583F" w:rsidP="0087583F">
      <w:pPr>
        <w:jc w:val="both"/>
        <w:rPr>
          <w:rFonts w:ascii="Arial Narrow" w:hAnsi="Arial Narrow"/>
          <w:sz w:val="24"/>
          <w:szCs w:val="24"/>
        </w:rPr>
      </w:pPr>
    </w:p>
    <w:p w14:paraId="7F118489" w14:textId="159596B5" w:rsidR="0087583F" w:rsidRPr="0087583F" w:rsidRDefault="0087583F" w:rsidP="0087583F">
      <w:pPr>
        <w:jc w:val="both"/>
        <w:outlineLvl w:val="0"/>
        <w:rPr>
          <w:rFonts w:ascii="Arial Narrow" w:hAnsi="Arial Narrow"/>
          <w:b/>
          <w:sz w:val="24"/>
          <w:szCs w:val="24"/>
        </w:rPr>
      </w:pPr>
      <w:r w:rsidRPr="0087583F">
        <w:rPr>
          <w:rFonts w:ascii="Arial Narrow" w:hAnsi="Arial Narrow"/>
          <w:b/>
          <w:sz w:val="24"/>
          <w:szCs w:val="24"/>
        </w:rPr>
        <w:t xml:space="preserve">Caso de </w:t>
      </w:r>
      <w:r w:rsidR="000021EF">
        <w:rPr>
          <w:rFonts w:ascii="Arial Narrow" w:hAnsi="Arial Narrow"/>
          <w:b/>
          <w:sz w:val="24"/>
          <w:szCs w:val="24"/>
        </w:rPr>
        <w:t>a</w:t>
      </w:r>
      <w:r w:rsidRPr="0087583F">
        <w:rPr>
          <w:rFonts w:ascii="Arial Narrow" w:hAnsi="Arial Narrow"/>
          <w:b/>
          <w:sz w:val="24"/>
          <w:szCs w:val="24"/>
        </w:rPr>
        <w:t xml:space="preserve">dquisición por </w:t>
      </w:r>
      <w:r w:rsidR="000021EF">
        <w:rPr>
          <w:rFonts w:ascii="Arial Narrow" w:hAnsi="Arial Narrow"/>
          <w:b/>
          <w:sz w:val="24"/>
          <w:szCs w:val="24"/>
        </w:rPr>
        <w:t>d</w:t>
      </w:r>
      <w:r w:rsidRPr="0087583F">
        <w:rPr>
          <w:rFonts w:ascii="Arial Narrow" w:hAnsi="Arial Narrow"/>
          <w:b/>
          <w:sz w:val="24"/>
          <w:szCs w:val="24"/>
        </w:rPr>
        <w:t xml:space="preserve">ación en </w:t>
      </w:r>
      <w:r w:rsidR="000021EF">
        <w:rPr>
          <w:rFonts w:ascii="Arial Narrow" w:hAnsi="Arial Narrow"/>
          <w:b/>
          <w:sz w:val="24"/>
          <w:szCs w:val="24"/>
        </w:rPr>
        <w:t>p</w:t>
      </w:r>
      <w:r w:rsidRPr="0087583F">
        <w:rPr>
          <w:rFonts w:ascii="Arial Narrow" w:hAnsi="Arial Narrow"/>
          <w:b/>
          <w:sz w:val="24"/>
          <w:szCs w:val="24"/>
        </w:rPr>
        <w:t xml:space="preserve">ago </w:t>
      </w:r>
    </w:p>
    <w:p w14:paraId="7F11848A" w14:textId="77777777" w:rsidR="0087583F" w:rsidRPr="0087583F" w:rsidRDefault="0087583F" w:rsidP="0087583F">
      <w:pPr>
        <w:pStyle w:val="Sangra2detindependiente"/>
        <w:widowControl/>
        <w:ind w:firstLine="0"/>
        <w:rPr>
          <w:rFonts w:ascii="Arial Narrow" w:hAnsi="Arial Narrow"/>
          <w:snapToGrid/>
          <w:szCs w:val="24"/>
          <w:lang w:val="es-ES"/>
        </w:rPr>
      </w:pPr>
      <w:r w:rsidRPr="0087583F">
        <w:rPr>
          <w:rFonts w:ascii="Arial Narrow" w:hAnsi="Arial Narrow"/>
          <w:b/>
          <w:bCs/>
          <w:snapToGrid/>
          <w:szCs w:val="24"/>
          <w:lang w:val="es-ES"/>
        </w:rPr>
        <w:t>Art. 3.-</w:t>
      </w:r>
      <w:r w:rsidRPr="0087583F">
        <w:rPr>
          <w:rFonts w:ascii="Arial Narrow" w:hAnsi="Arial Narrow"/>
          <w:snapToGrid/>
          <w:szCs w:val="24"/>
          <w:lang w:val="es-ES"/>
        </w:rPr>
        <w:t xml:space="preserve"> En los casos de adquisición por dación en pago, el valor de adquisición será el que decidan las partes contratantes, el cual deberá quedar establecido en el instrumento notarial correspondiente. El valor que así se determine es con el cual se hará el registro inicial del bien, en la cuenta 1220 BIENES RECIBIDOS EN PAGO O ADJUDICADOS y se acreditarán las obligaciones correspondientes a cargo del socio partícipe.</w:t>
      </w:r>
    </w:p>
    <w:p w14:paraId="7F11848B" w14:textId="77777777" w:rsidR="0087583F" w:rsidRPr="0087583F" w:rsidRDefault="0087583F" w:rsidP="0087583F">
      <w:pPr>
        <w:jc w:val="both"/>
        <w:rPr>
          <w:rFonts w:ascii="Arial Narrow" w:hAnsi="Arial Narrow"/>
          <w:sz w:val="24"/>
          <w:szCs w:val="24"/>
        </w:rPr>
      </w:pPr>
    </w:p>
    <w:p w14:paraId="7F11848C" w14:textId="2F2409B1"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4.-</w:t>
      </w:r>
      <w:r w:rsidRPr="0087583F">
        <w:rPr>
          <w:rFonts w:ascii="Arial Narrow" w:hAnsi="Arial Narrow"/>
          <w:sz w:val="24"/>
          <w:szCs w:val="24"/>
        </w:rPr>
        <w:t xml:space="preserve"> Cuando el valor registrado en la cuenta 1220 BIENES RECIBIDOS EN PAGO O ADJUDICADOS sea mayor</w:t>
      </w:r>
      <w:r w:rsidR="002402A0">
        <w:rPr>
          <w:rFonts w:ascii="Arial Narrow" w:hAnsi="Arial Narrow"/>
          <w:sz w:val="24"/>
          <w:szCs w:val="24"/>
        </w:rPr>
        <w:t xml:space="preserve"> </w:t>
      </w:r>
      <w:r w:rsidRPr="0087583F">
        <w:rPr>
          <w:rFonts w:ascii="Arial Narrow" w:hAnsi="Arial Narrow"/>
          <w:sz w:val="24"/>
          <w:szCs w:val="24"/>
        </w:rPr>
        <w:t>que los saldos que estuvieron</w:t>
      </w:r>
      <w:r w:rsidR="002402A0">
        <w:rPr>
          <w:rFonts w:ascii="Arial Narrow" w:hAnsi="Arial Narrow"/>
          <w:sz w:val="24"/>
          <w:szCs w:val="24"/>
        </w:rPr>
        <w:t xml:space="preserve"> </w:t>
      </w:r>
      <w:r w:rsidRPr="0087583F">
        <w:rPr>
          <w:rFonts w:ascii="Arial Narrow" w:hAnsi="Arial Narrow"/>
          <w:sz w:val="24"/>
          <w:szCs w:val="24"/>
        </w:rPr>
        <w:t>a cargo del deudor, la diferencia deberá acreditarse a la cuenta complementaria de estos activos 1229 BIENES RECIBIDOS EN PAGO O ADJUDICADOS – EXCEDENTES REGISTRADOS PENDIENTES DE PERCIBIR. Este asiento contable deberá realizarse en la misma fecha en que se registre el valor de adquisición.</w:t>
      </w:r>
    </w:p>
    <w:p w14:paraId="7F11848D" w14:textId="77777777" w:rsidR="0087583F" w:rsidRPr="0087583F" w:rsidRDefault="0087583F" w:rsidP="0087583F">
      <w:pPr>
        <w:ind w:firstLine="720"/>
        <w:jc w:val="both"/>
        <w:rPr>
          <w:rFonts w:ascii="Arial Narrow" w:hAnsi="Arial Narrow"/>
          <w:sz w:val="24"/>
          <w:szCs w:val="24"/>
        </w:rPr>
      </w:pPr>
    </w:p>
    <w:p w14:paraId="7F11848E"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 xml:space="preserve">Los saldos a cargo del deudor deberán establecerse tomando en cuenta la fecha de referencia de la escritura de dación en pago. </w:t>
      </w:r>
    </w:p>
    <w:p w14:paraId="7F11848F" w14:textId="77777777" w:rsidR="0087583F" w:rsidRPr="0087583F" w:rsidRDefault="0087583F" w:rsidP="0087583F">
      <w:pPr>
        <w:pStyle w:val="Sangradetextonormal"/>
        <w:ind w:left="0"/>
        <w:rPr>
          <w:rFonts w:ascii="Arial Narrow" w:hAnsi="Arial Narrow"/>
          <w:szCs w:val="24"/>
          <w:lang w:val="es-ES"/>
        </w:rPr>
      </w:pPr>
      <w:r w:rsidRPr="0087583F">
        <w:rPr>
          <w:rFonts w:ascii="Arial Narrow" w:hAnsi="Arial Narrow"/>
          <w:szCs w:val="24"/>
          <w:lang w:val="es-ES"/>
        </w:rPr>
        <w:lastRenderedPageBreak/>
        <w:t>Si después de la aplicación contable anterior, el valor en que se encuentra contabilizado el bien es mayor al valor razonable, deberá ajustarse hacia este último valor</w:t>
      </w:r>
      <w:r w:rsidR="00700AF3">
        <w:rPr>
          <w:rFonts w:ascii="Arial Narrow" w:hAnsi="Arial Narrow"/>
          <w:szCs w:val="24"/>
          <w:lang w:val="es-ES"/>
        </w:rPr>
        <w:t xml:space="preserve"> y la diferencia que resulte se </w:t>
      </w:r>
      <w:r w:rsidRPr="0087583F">
        <w:rPr>
          <w:rFonts w:ascii="Arial Narrow" w:hAnsi="Arial Narrow"/>
          <w:szCs w:val="24"/>
          <w:lang w:val="es-ES"/>
        </w:rPr>
        <w:t>registrará en la</w:t>
      </w:r>
      <w:r>
        <w:rPr>
          <w:rFonts w:ascii="Arial Narrow" w:hAnsi="Arial Narrow"/>
          <w:szCs w:val="24"/>
          <w:lang w:val="es-ES"/>
        </w:rPr>
        <w:t xml:space="preserve"> cuenta 8270000700 DETERIORO DE </w:t>
      </w:r>
      <w:r w:rsidRPr="0087583F">
        <w:rPr>
          <w:rFonts w:ascii="Arial Narrow" w:hAnsi="Arial Narrow"/>
          <w:szCs w:val="24"/>
          <w:lang w:val="es-ES"/>
        </w:rPr>
        <w:t>ACTIVOS – ACTIVOS EXTRAORDINARIOS</w:t>
      </w:r>
      <w:r w:rsidRPr="0087583F">
        <w:rPr>
          <w:rFonts w:ascii="Arial Narrow" w:hAnsi="Arial Narrow"/>
          <w:color w:val="FF0000"/>
          <w:szCs w:val="24"/>
          <w:lang w:val="es-ES"/>
        </w:rPr>
        <w:t>.</w:t>
      </w:r>
      <w:r w:rsidRPr="0087583F">
        <w:rPr>
          <w:rFonts w:ascii="Arial Narrow" w:hAnsi="Arial Narrow"/>
          <w:szCs w:val="24"/>
          <w:lang w:val="es-ES"/>
        </w:rPr>
        <w:t xml:space="preserve"> Este asiento contable deberá realizarse en la misma fecha en que se registre el valor de adquisición. </w:t>
      </w:r>
    </w:p>
    <w:p w14:paraId="7F118490" w14:textId="77777777" w:rsidR="0087583F" w:rsidRPr="0087583F" w:rsidRDefault="0087583F" w:rsidP="0087583F">
      <w:pPr>
        <w:jc w:val="both"/>
        <w:rPr>
          <w:rFonts w:ascii="Arial Narrow" w:hAnsi="Arial Narrow"/>
          <w:sz w:val="24"/>
          <w:szCs w:val="24"/>
        </w:rPr>
      </w:pPr>
    </w:p>
    <w:p w14:paraId="7F118491"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Los impuestos, derechos y honorarios profesionales necesarios para adquirir el dominio de los bienes deberán agregarse al valor del activo.</w:t>
      </w:r>
    </w:p>
    <w:p w14:paraId="7F118492"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 xml:space="preserve"> </w:t>
      </w:r>
    </w:p>
    <w:p w14:paraId="7F118493" w14:textId="77777777" w:rsidR="0087583F" w:rsidRPr="0087583F" w:rsidRDefault="0087583F" w:rsidP="0087583F">
      <w:pPr>
        <w:pStyle w:val="Textoindependiente"/>
        <w:spacing w:line="240" w:lineRule="auto"/>
        <w:rPr>
          <w:rFonts w:ascii="Arial Narrow" w:hAnsi="Arial Narrow"/>
          <w:szCs w:val="24"/>
          <w:lang w:val="es-ES"/>
        </w:rPr>
      </w:pPr>
      <w:r w:rsidRPr="0087583F">
        <w:rPr>
          <w:rFonts w:ascii="Arial Narrow" w:hAnsi="Arial Narrow"/>
          <w:szCs w:val="24"/>
          <w:lang w:val="es-ES"/>
        </w:rPr>
        <w:t>El acuerdo de aceptación de la dación en pago deberá referirse a todos los saldos a cargo del deudor, sin excepción alguna.</w:t>
      </w:r>
    </w:p>
    <w:p w14:paraId="7F118494" w14:textId="77777777" w:rsidR="0087583F" w:rsidRPr="0087583F" w:rsidRDefault="0087583F" w:rsidP="0087583F">
      <w:pPr>
        <w:jc w:val="both"/>
        <w:rPr>
          <w:rFonts w:ascii="Arial Narrow" w:hAnsi="Arial Narrow"/>
          <w:sz w:val="24"/>
          <w:szCs w:val="24"/>
        </w:rPr>
      </w:pPr>
    </w:p>
    <w:p w14:paraId="7F118495" w14:textId="23B2FD38" w:rsidR="0087583F" w:rsidRPr="0087583F" w:rsidRDefault="0087583F" w:rsidP="0087583F">
      <w:pPr>
        <w:pStyle w:val="Ttulo2"/>
        <w:widowControl/>
        <w:spacing w:line="240" w:lineRule="auto"/>
        <w:rPr>
          <w:rFonts w:ascii="Arial Narrow" w:hAnsi="Arial Narrow"/>
          <w:snapToGrid/>
          <w:szCs w:val="24"/>
          <w:lang w:val="es-ES"/>
        </w:rPr>
      </w:pPr>
      <w:r w:rsidRPr="0087583F">
        <w:rPr>
          <w:rFonts w:ascii="Arial Narrow" w:hAnsi="Arial Narrow"/>
          <w:snapToGrid/>
          <w:szCs w:val="24"/>
          <w:lang w:val="es-ES"/>
        </w:rPr>
        <w:t xml:space="preserve">Caso de </w:t>
      </w:r>
      <w:r w:rsidR="00FF343E">
        <w:rPr>
          <w:rFonts w:ascii="Arial Narrow" w:hAnsi="Arial Narrow"/>
          <w:snapToGrid/>
          <w:szCs w:val="24"/>
          <w:lang w:val="es-ES"/>
        </w:rPr>
        <w:t>a</w:t>
      </w:r>
      <w:r w:rsidRPr="0087583F">
        <w:rPr>
          <w:rFonts w:ascii="Arial Narrow" w:hAnsi="Arial Narrow"/>
          <w:snapToGrid/>
          <w:szCs w:val="24"/>
          <w:lang w:val="es-ES"/>
        </w:rPr>
        <w:t xml:space="preserve">djudicación </w:t>
      </w:r>
      <w:r w:rsidR="00FF343E">
        <w:rPr>
          <w:rFonts w:ascii="Arial Narrow" w:hAnsi="Arial Narrow"/>
          <w:snapToGrid/>
          <w:szCs w:val="24"/>
          <w:lang w:val="es-ES"/>
        </w:rPr>
        <w:t>j</w:t>
      </w:r>
      <w:r w:rsidRPr="0087583F">
        <w:rPr>
          <w:rFonts w:ascii="Arial Narrow" w:hAnsi="Arial Narrow"/>
          <w:snapToGrid/>
          <w:szCs w:val="24"/>
          <w:lang w:val="es-ES"/>
        </w:rPr>
        <w:t>udicial</w:t>
      </w:r>
    </w:p>
    <w:p w14:paraId="7F118496" w14:textId="24A9204B"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5.-</w:t>
      </w:r>
      <w:r w:rsidRPr="0087583F">
        <w:rPr>
          <w:rFonts w:ascii="Arial Narrow" w:hAnsi="Arial Narrow"/>
          <w:sz w:val="24"/>
          <w:szCs w:val="24"/>
        </w:rPr>
        <w:t xml:space="preserve"> En los casos de adjudicación judicial, el valor del activo extraordinario será el total de la deuda registrada en las cuentas del activo, entendida ésta por la suma del saldo de capital, intereses registrados en cuentas del activo, costas procesales más los impuestos, derechos y honorarios profesionales necesarios para adquirir el dominio de los bienes. El valor que así se determine es el que se registrará en la cuenta 1220 BIENES RECIBIDOS EN PAGO O ADJUDICADOS, separando en una subcuenta</w:t>
      </w:r>
      <w:r w:rsidR="002402A0">
        <w:rPr>
          <w:rFonts w:ascii="Arial Narrow" w:hAnsi="Arial Narrow"/>
          <w:sz w:val="24"/>
          <w:szCs w:val="24"/>
        </w:rPr>
        <w:t xml:space="preserve"> </w:t>
      </w:r>
      <w:r w:rsidRPr="0087583F">
        <w:rPr>
          <w:rFonts w:ascii="Arial Narrow" w:hAnsi="Arial Narrow"/>
          <w:sz w:val="24"/>
          <w:szCs w:val="24"/>
        </w:rPr>
        <w:t>el valor de adjudicación y en otra, el saldo restante a cargo del deudor; y se acreditarán las obligaciones correspondientes a cargo del deudor antes mencionado. El valor de adquisición se determinará tomando en cuenta la fecha de la resolución de la adjudicación judicial.</w:t>
      </w:r>
    </w:p>
    <w:p w14:paraId="7F118497" w14:textId="77777777" w:rsidR="0087583F" w:rsidRPr="0087583F" w:rsidRDefault="0087583F" w:rsidP="0087583F">
      <w:pPr>
        <w:jc w:val="both"/>
        <w:rPr>
          <w:rFonts w:ascii="Arial Narrow" w:hAnsi="Arial Narrow"/>
          <w:sz w:val="24"/>
          <w:szCs w:val="24"/>
        </w:rPr>
      </w:pPr>
    </w:p>
    <w:p w14:paraId="7F118498"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 xml:space="preserve">No deberán computarse como parte del valor del bien, los intereses que se mantengan registrados en cuentas de orden. </w:t>
      </w:r>
    </w:p>
    <w:p w14:paraId="7F118499" w14:textId="77777777" w:rsidR="0087583F" w:rsidRPr="0087583F" w:rsidRDefault="0087583F" w:rsidP="0087583F">
      <w:pPr>
        <w:ind w:firstLine="720"/>
        <w:jc w:val="both"/>
        <w:rPr>
          <w:rFonts w:ascii="Arial Narrow" w:hAnsi="Arial Narrow"/>
          <w:sz w:val="24"/>
          <w:szCs w:val="24"/>
        </w:rPr>
      </w:pPr>
    </w:p>
    <w:p w14:paraId="7F11849A" w14:textId="074893A6"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 xml:space="preserve">Art. 6.- </w:t>
      </w:r>
      <w:r w:rsidRPr="0087583F">
        <w:rPr>
          <w:rFonts w:ascii="Arial Narrow" w:hAnsi="Arial Narrow"/>
          <w:sz w:val="24"/>
          <w:szCs w:val="24"/>
        </w:rPr>
        <w:t>Cuando el valor determinado según el inciso primero del artículo</w:t>
      </w:r>
      <w:r w:rsidR="002402A0">
        <w:rPr>
          <w:rFonts w:ascii="Arial Narrow" w:hAnsi="Arial Narrow"/>
          <w:sz w:val="24"/>
          <w:szCs w:val="24"/>
        </w:rPr>
        <w:t xml:space="preserve"> </w:t>
      </w:r>
      <w:r w:rsidRPr="0087583F">
        <w:rPr>
          <w:rFonts w:ascii="Arial Narrow" w:hAnsi="Arial Narrow"/>
          <w:sz w:val="24"/>
          <w:szCs w:val="24"/>
        </w:rPr>
        <w:t>anterior sea mayor al valor razonable, la diferencia deberá aplicarse a la cuenta 8270000700 DETERIORO DE ACTIVOS – ACTIVOS EXTRAORDINARIOS. Este asiento contable deberá realizarse en la misma fecha en que se registre el valor de adquisición.</w:t>
      </w:r>
    </w:p>
    <w:p w14:paraId="7F11849B" w14:textId="77777777" w:rsidR="0087583F" w:rsidRPr="0087583F" w:rsidRDefault="0087583F" w:rsidP="0087583F">
      <w:pPr>
        <w:ind w:firstLine="720"/>
        <w:jc w:val="both"/>
        <w:rPr>
          <w:rFonts w:ascii="Arial Narrow" w:hAnsi="Arial Narrow"/>
          <w:sz w:val="24"/>
          <w:szCs w:val="24"/>
        </w:rPr>
      </w:pPr>
    </w:p>
    <w:p w14:paraId="7F11849C" w14:textId="77777777" w:rsidR="0087583F" w:rsidRPr="0087583F" w:rsidRDefault="0087583F" w:rsidP="0087583F">
      <w:pPr>
        <w:pStyle w:val="Ttulo2"/>
        <w:spacing w:line="240" w:lineRule="auto"/>
        <w:rPr>
          <w:rFonts w:ascii="Arial Narrow" w:hAnsi="Arial Narrow"/>
          <w:szCs w:val="24"/>
          <w:lang w:val="es-ES"/>
        </w:rPr>
      </w:pPr>
      <w:r w:rsidRPr="0087583F">
        <w:rPr>
          <w:rFonts w:ascii="Arial Narrow" w:hAnsi="Arial Narrow"/>
          <w:szCs w:val="24"/>
          <w:lang w:val="es-ES"/>
        </w:rPr>
        <w:t>Caso de compraventa</w:t>
      </w:r>
    </w:p>
    <w:p w14:paraId="7F11849D" w14:textId="77777777" w:rsidR="0087583F" w:rsidRPr="0087583F" w:rsidRDefault="0087583F" w:rsidP="0087583F">
      <w:pPr>
        <w:pStyle w:val="Ttulo2"/>
        <w:spacing w:line="240" w:lineRule="auto"/>
        <w:rPr>
          <w:rFonts w:ascii="Arial Narrow" w:hAnsi="Arial Narrow"/>
          <w:szCs w:val="24"/>
          <w:lang w:val="es-ES"/>
        </w:rPr>
      </w:pPr>
      <w:r w:rsidRPr="0087583F">
        <w:rPr>
          <w:rFonts w:ascii="Arial Narrow" w:hAnsi="Arial Narrow"/>
          <w:szCs w:val="24"/>
        </w:rPr>
        <w:t>Art. 7.-</w:t>
      </w:r>
      <w:r w:rsidRPr="0087583F">
        <w:rPr>
          <w:rFonts w:ascii="Arial Narrow" w:hAnsi="Arial Narrow"/>
          <w:b w:val="0"/>
          <w:bCs/>
          <w:szCs w:val="24"/>
        </w:rPr>
        <w:t xml:space="preserve"> Eliminado (1).</w:t>
      </w:r>
    </w:p>
    <w:p w14:paraId="7F11849E" w14:textId="77777777" w:rsidR="0087583F" w:rsidRPr="0087583F" w:rsidRDefault="0087583F" w:rsidP="0087583F">
      <w:pPr>
        <w:ind w:firstLine="720"/>
        <w:jc w:val="both"/>
        <w:rPr>
          <w:rFonts w:ascii="Arial Narrow" w:hAnsi="Arial Narrow"/>
          <w:b/>
          <w:bCs/>
          <w:sz w:val="24"/>
          <w:szCs w:val="24"/>
        </w:rPr>
      </w:pPr>
    </w:p>
    <w:p w14:paraId="7F11849F"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8.-</w:t>
      </w:r>
      <w:r w:rsidRPr="0087583F">
        <w:rPr>
          <w:rFonts w:ascii="Arial Narrow" w:hAnsi="Arial Narrow"/>
          <w:sz w:val="24"/>
          <w:szCs w:val="24"/>
        </w:rPr>
        <w:t xml:space="preserve"> Eliminado (1).</w:t>
      </w:r>
    </w:p>
    <w:p w14:paraId="7F1184A0" w14:textId="77777777" w:rsidR="0087583F" w:rsidRPr="0087583F" w:rsidRDefault="0087583F" w:rsidP="0087583F">
      <w:pPr>
        <w:pStyle w:val="Sangradetextonormal"/>
        <w:rPr>
          <w:rFonts w:ascii="Arial Narrow" w:hAnsi="Arial Narrow"/>
          <w:szCs w:val="24"/>
          <w:lang w:val="es-ES"/>
        </w:rPr>
      </w:pPr>
    </w:p>
    <w:p w14:paraId="7F1184A1" w14:textId="0467E4DE" w:rsidR="0087583F" w:rsidRPr="0087583F" w:rsidRDefault="0087583F" w:rsidP="0087583F">
      <w:pPr>
        <w:pStyle w:val="Sangradetextonormal"/>
        <w:ind w:left="0"/>
        <w:rPr>
          <w:rFonts w:ascii="Arial Narrow" w:hAnsi="Arial Narrow"/>
          <w:b/>
          <w:szCs w:val="24"/>
          <w:lang w:val="es-ES"/>
        </w:rPr>
      </w:pPr>
      <w:r w:rsidRPr="0087583F">
        <w:rPr>
          <w:rFonts w:ascii="Arial Narrow" w:hAnsi="Arial Narrow"/>
          <w:b/>
          <w:szCs w:val="24"/>
          <w:lang w:val="es-ES"/>
        </w:rPr>
        <w:t xml:space="preserve">Prohibición de </w:t>
      </w:r>
      <w:r w:rsidR="007B6043">
        <w:rPr>
          <w:rFonts w:ascii="Arial Narrow" w:hAnsi="Arial Narrow"/>
          <w:b/>
          <w:szCs w:val="24"/>
          <w:lang w:val="es-ES"/>
        </w:rPr>
        <w:t>c</w:t>
      </w:r>
      <w:r w:rsidRPr="0087583F">
        <w:rPr>
          <w:rFonts w:ascii="Arial Narrow" w:hAnsi="Arial Narrow"/>
          <w:b/>
          <w:szCs w:val="24"/>
          <w:lang w:val="es-ES"/>
        </w:rPr>
        <w:t xml:space="preserve">ontabilización de </w:t>
      </w:r>
      <w:r w:rsidR="007B6043">
        <w:rPr>
          <w:rFonts w:ascii="Arial Narrow" w:hAnsi="Arial Narrow"/>
          <w:b/>
          <w:szCs w:val="24"/>
          <w:lang w:val="es-ES"/>
        </w:rPr>
        <w:t>u</w:t>
      </w:r>
      <w:r w:rsidRPr="0087583F">
        <w:rPr>
          <w:rFonts w:ascii="Arial Narrow" w:hAnsi="Arial Narrow"/>
          <w:b/>
          <w:szCs w:val="24"/>
          <w:lang w:val="es-ES"/>
        </w:rPr>
        <w:t>tilidades</w:t>
      </w:r>
    </w:p>
    <w:p w14:paraId="7F1184A2" w14:textId="77777777" w:rsidR="0087583F" w:rsidRDefault="0087583F" w:rsidP="0087583F">
      <w:pPr>
        <w:pStyle w:val="Sangradetextonormal"/>
        <w:ind w:left="0"/>
        <w:rPr>
          <w:rFonts w:ascii="Arial Narrow" w:hAnsi="Arial Narrow"/>
          <w:szCs w:val="24"/>
          <w:lang w:val="es-ES"/>
        </w:rPr>
      </w:pPr>
      <w:r w:rsidRPr="0087583F">
        <w:rPr>
          <w:rFonts w:ascii="Arial Narrow" w:hAnsi="Arial Narrow"/>
          <w:b/>
          <w:bCs/>
          <w:szCs w:val="24"/>
          <w:lang w:val="es-ES"/>
        </w:rPr>
        <w:t>Art. 9.-</w:t>
      </w:r>
      <w:r w:rsidRPr="0087583F">
        <w:rPr>
          <w:rFonts w:ascii="Arial Narrow" w:hAnsi="Arial Narrow"/>
          <w:szCs w:val="24"/>
          <w:lang w:val="es-ES"/>
        </w:rPr>
        <w:t xml:space="preserve"> En los diferentes casos de adquisición de activos extraordinarios, cuando resulte un valor menor que el valor razonable, no deberá registrarse utilidad alguna por la adquisición.</w:t>
      </w:r>
    </w:p>
    <w:p w14:paraId="7F1184A3" w14:textId="77777777" w:rsidR="0087583F" w:rsidRPr="0087583F" w:rsidRDefault="0087583F" w:rsidP="0087583F">
      <w:pPr>
        <w:pStyle w:val="Sangradetextonormal"/>
        <w:ind w:left="0"/>
        <w:rPr>
          <w:rFonts w:ascii="Arial Narrow" w:hAnsi="Arial Narrow"/>
          <w:szCs w:val="24"/>
          <w:lang w:val="es-ES"/>
        </w:rPr>
      </w:pPr>
    </w:p>
    <w:p w14:paraId="7F1184A4" w14:textId="20C3CF20" w:rsidR="0087583F" w:rsidRPr="0087583F" w:rsidRDefault="0087583F" w:rsidP="0087583F">
      <w:pPr>
        <w:pStyle w:val="Sangradetextonormal"/>
        <w:ind w:left="0"/>
        <w:rPr>
          <w:rFonts w:ascii="Arial Narrow" w:hAnsi="Arial Narrow"/>
          <w:b/>
          <w:szCs w:val="24"/>
          <w:lang w:val="es-ES"/>
        </w:rPr>
      </w:pPr>
      <w:r w:rsidRPr="0087583F">
        <w:rPr>
          <w:rFonts w:ascii="Arial Narrow" w:hAnsi="Arial Narrow"/>
          <w:b/>
          <w:szCs w:val="24"/>
          <w:lang w:val="es-ES"/>
        </w:rPr>
        <w:t xml:space="preserve">Valor </w:t>
      </w:r>
      <w:r w:rsidR="007B6043">
        <w:rPr>
          <w:rFonts w:ascii="Arial Narrow" w:hAnsi="Arial Narrow"/>
          <w:b/>
          <w:szCs w:val="24"/>
          <w:lang w:val="es-ES"/>
        </w:rPr>
        <w:t>r</w:t>
      </w:r>
      <w:r w:rsidRPr="0087583F">
        <w:rPr>
          <w:rFonts w:ascii="Arial Narrow" w:hAnsi="Arial Narrow"/>
          <w:b/>
          <w:szCs w:val="24"/>
          <w:lang w:val="es-ES"/>
        </w:rPr>
        <w:t>azonable</w:t>
      </w:r>
    </w:p>
    <w:p w14:paraId="7F1184A5" w14:textId="12EDB420" w:rsidR="0087583F" w:rsidRPr="0087583F" w:rsidRDefault="0087583F" w:rsidP="0087583F">
      <w:pPr>
        <w:pStyle w:val="Textoindependiente"/>
        <w:widowControl/>
        <w:spacing w:line="240" w:lineRule="auto"/>
        <w:rPr>
          <w:rFonts w:ascii="Arial Narrow" w:hAnsi="Arial Narrow"/>
          <w:snapToGrid/>
          <w:szCs w:val="24"/>
          <w:lang w:val="es-ES"/>
        </w:rPr>
      </w:pPr>
      <w:r w:rsidRPr="0087583F">
        <w:rPr>
          <w:rFonts w:ascii="Arial Narrow" w:hAnsi="Arial Narrow"/>
          <w:b/>
          <w:bCs/>
          <w:snapToGrid/>
          <w:szCs w:val="24"/>
          <w:lang w:val="es-ES"/>
        </w:rPr>
        <w:t>Art. 10.-</w:t>
      </w:r>
      <w:r w:rsidR="002402A0">
        <w:rPr>
          <w:rFonts w:ascii="Arial Narrow" w:hAnsi="Arial Narrow"/>
          <w:snapToGrid/>
          <w:szCs w:val="24"/>
          <w:lang w:val="es-ES"/>
        </w:rPr>
        <w:t xml:space="preserve"> </w:t>
      </w:r>
      <w:r w:rsidRPr="0087583F">
        <w:rPr>
          <w:rFonts w:ascii="Arial Narrow" w:hAnsi="Arial Narrow"/>
          <w:snapToGrid/>
          <w:szCs w:val="24"/>
          <w:lang w:val="es-ES"/>
        </w:rPr>
        <w:t xml:space="preserve">De acuerdo con las Normas Internacionales de Contabilidad, el valor razonable es la cantidad por la cual puede ser intercambiado un activo entre un comprador y un vendedor debidamente informados, en una transacción libre. En este sentido y para los efectos de las presentes Normas, el valúo pericial de bienes efectuado por peritos inscritos en la </w:t>
      </w:r>
      <w:r w:rsidRPr="0087583F">
        <w:rPr>
          <w:rFonts w:ascii="Arial Narrow" w:hAnsi="Arial Narrow"/>
          <w:snapToGrid/>
          <w:szCs w:val="24"/>
          <w:lang w:val="es-ES"/>
        </w:rPr>
        <w:lastRenderedPageBreak/>
        <w:t>Superintendencia del Sistema Financiero, cuando no se trate de instrumentos financieros, deberá ser considerado como tal.</w:t>
      </w:r>
    </w:p>
    <w:p w14:paraId="7F1184A6" w14:textId="77777777" w:rsidR="0087583F" w:rsidRPr="0087583F" w:rsidRDefault="0087583F" w:rsidP="0087583F">
      <w:pPr>
        <w:pStyle w:val="Sangra2detindependiente"/>
        <w:ind w:firstLine="0"/>
        <w:rPr>
          <w:rFonts w:ascii="Arial Narrow" w:hAnsi="Arial Narrow"/>
          <w:szCs w:val="24"/>
          <w:lang w:val="es-ES"/>
        </w:rPr>
      </w:pPr>
    </w:p>
    <w:p w14:paraId="7F1184A7" w14:textId="4423FDA0" w:rsidR="0087583F" w:rsidRPr="0087583F" w:rsidRDefault="0087583F" w:rsidP="0087583F">
      <w:pPr>
        <w:pStyle w:val="Sangra2detindependiente"/>
        <w:ind w:firstLine="0"/>
        <w:rPr>
          <w:rFonts w:ascii="Arial Narrow" w:hAnsi="Arial Narrow"/>
          <w:b/>
          <w:szCs w:val="24"/>
          <w:lang w:val="es-ES"/>
        </w:rPr>
      </w:pPr>
      <w:r w:rsidRPr="0087583F">
        <w:rPr>
          <w:rFonts w:ascii="Arial Narrow" w:hAnsi="Arial Narrow"/>
          <w:b/>
          <w:szCs w:val="24"/>
          <w:lang w:val="es-ES"/>
        </w:rPr>
        <w:t xml:space="preserve">Tratamiento de las </w:t>
      </w:r>
      <w:r w:rsidR="00196481">
        <w:rPr>
          <w:rFonts w:ascii="Arial Narrow" w:hAnsi="Arial Narrow"/>
          <w:b/>
          <w:szCs w:val="24"/>
          <w:lang w:val="es-ES"/>
        </w:rPr>
        <w:t>p</w:t>
      </w:r>
      <w:r w:rsidRPr="0087583F">
        <w:rPr>
          <w:rFonts w:ascii="Arial Narrow" w:hAnsi="Arial Narrow"/>
          <w:b/>
          <w:szCs w:val="24"/>
          <w:lang w:val="es-ES"/>
        </w:rPr>
        <w:t>rovisiones</w:t>
      </w:r>
    </w:p>
    <w:p w14:paraId="7F1184A8" w14:textId="33C5C056" w:rsidR="0087583F" w:rsidRPr="0087583F" w:rsidRDefault="0087583F" w:rsidP="0087583F">
      <w:pPr>
        <w:pStyle w:val="Sangra2detindependiente"/>
        <w:ind w:firstLine="0"/>
        <w:rPr>
          <w:rFonts w:ascii="Arial Narrow" w:hAnsi="Arial Narrow"/>
          <w:szCs w:val="24"/>
          <w:lang w:val="es-ES"/>
        </w:rPr>
      </w:pPr>
      <w:r w:rsidRPr="0087583F">
        <w:rPr>
          <w:rFonts w:ascii="Arial Narrow" w:hAnsi="Arial Narrow"/>
          <w:b/>
          <w:bCs/>
          <w:szCs w:val="24"/>
          <w:lang w:val="es-ES"/>
        </w:rPr>
        <w:t>Art. 11.-</w:t>
      </w:r>
      <w:r w:rsidRPr="0087583F">
        <w:rPr>
          <w:rFonts w:ascii="Arial Narrow" w:hAnsi="Arial Narrow"/>
          <w:szCs w:val="24"/>
          <w:lang w:val="es-ES"/>
        </w:rPr>
        <w:t xml:space="preserve"> En caso de que un activo extraordinario no se haya liquidado al término del plazo establecido en el inciso primero del artículo 61 de la Ley, la Sociedad de Garantía estará obligada a tener una provisión equivalente al ciento por ciento del activo, constituida con cargo al rubro 8240 CASTIGO DE BIENES RECIBIDOS EN PAGO O ADJUDICADOS</w:t>
      </w:r>
      <w:r w:rsidR="002402A0">
        <w:rPr>
          <w:rFonts w:ascii="Arial Narrow" w:hAnsi="Arial Narrow"/>
          <w:szCs w:val="24"/>
          <w:lang w:val="es-ES"/>
        </w:rPr>
        <w:t xml:space="preserve"> </w:t>
      </w:r>
      <w:r w:rsidRPr="0087583F">
        <w:rPr>
          <w:rFonts w:ascii="Arial Narrow" w:hAnsi="Arial Narrow"/>
          <w:szCs w:val="24"/>
          <w:lang w:val="es-ES"/>
        </w:rPr>
        <w:t>y abono a la cuenta 323001 PROVISIONES – POR BIENES RECIBIDOS EN PAGO O ADJUDICADOS.</w:t>
      </w:r>
    </w:p>
    <w:p w14:paraId="7F1184A9" w14:textId="77777777" w:rsidR="0087583F" w:rsidRPr="0087583F" w:rsidRDefault="0087583F" w:rsidP="0087583F">
      <w:pPr>
        <w:jc w:val="center"/>
        <w:outlineLvl w:val="0"/>
        <w:rPr>
          <w:rFonts w:ascii="Arial Narrow" w:hAnsi="Arial Narrow"/>
          <w:b/>
          <w:sz w:val="24"/>
          <w:szCs w:val="24"/>
        </w:rPr>
      </w:pPr>
    </w:p>
    <w:p w14:paraId="7F1184AA"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CAPÍTULO III</w:t>
      </w:r>
    </w:p>
    <w:p w14:paraId="7F1184AB"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DEL RETIRO DE LOS ACTIVOS EXTRAORDINARIOS</w:t>
      </w:r>
    </w:p>
    <w:p w14:paraId="7F1184AC" w14:textId="77777777" w:rsidR="0087583F" w:rsidRPr="0087583F" w:rsidRDefault="0087583F" w:rsidP="0087583F">
      <w:pPr>
        <w:jc w:val="center"/>
        <w:rPr>
          <w:rFonts w:ascii="Arial Narrow" w:hAnsi="Arial Narrow"/>
          <w:b/>
          <w:sz w:val="24"/>
          <w:szCs w:val="24"/>
        </w:rPr>
      </w:pPr>
    </w:p>
    <w:p w14:paraId="7F1184AD" w14:textId="77777777" w:rsidR="0087583F" w:rsidRPr="0087583F" w:rsidRDefault="0087583F" w:rsidP="00E3178F">
      <w:pPr>
        <w:spacing w:after="120"/>
        <w:jc w:val="both"/>
        <w:rPr>
          <w:rFonts w:ascii="Arial Narrow" w:hAnsi="Arial Narrow"/>
          <w:sz w:val="24"/>
          <w:szCs w:val="24"/>
        </w:rPr>
      </w:pPr>
      <w:r w:rsidRPr="0087583F">
        <w:rPr>
          <w:rFonts w:ascii="Arial Narrow" w:hAnsi="Arial Narrow"/>
          <w:b/>
          <w:bCs/>
          <w:sz w:val="24"/>
          <w:szCs w:val="24"/>
        </w:rPr>
        <w:t>Art. 12.-</w:t>
      </w:r>
      <w:r w:rsidRPr="0087583F">
        <w:rPr>
          <w:rFonts w:ascii="Arial Narrow" w:hAnsi="Arial Narrow"/>
          <w:sz w:val="24"/>
          <w:szCs w:val="24"/>
        </w:rPr>
        <w:t xml:space="preserve"> Los activos extraordinarios pierden tal denominación, por las siguientes causas:</w:t>
      </w:r>
    </w:p>
    <w:p w14:paraId="7F1184AF" w14:textId="77777777" w:rsidR="0087583F" w:rsidRPr="00DD6539" w:rsidRDefault="0087583F" w:rsidP="00DD6539">
      <w:pPr>
        <w:pStyle w:val="Prrafodelista"/>
        <w:numPr>
          <w:ilvl w:val="0"/>
          <w:numId w:val="2"/>
        </w:numPr>
        <w:ind w:left="425" w:hanging="425"/>
        <w:contextualSpacing w:val="0"/>
        <w:jc w:val="both"/>
        <w:rPr>
          <w:rFonts w:ascii="Arial Narrow" w:hAnsi="Arial Narrow"/>
          <w:sz w:val="24"/>
          <w:szCs w:val="24"/>
        </w:rPr>
      </w:pPr>
      <w:r w:rsidRPr="00DD6539">
        <w:rPr>
          <w:rFonts w:ascii="Arial Narrow" w:hAnsi="Arial Narrow"/>
          <w:sz w:val="24"/>
          <w:szCs w:val="24"/>
        </w:rPr>
        <w:t>Por venta;</w:t>
      </w:r>
    </w:p>
    <w:p w14:paraId="7F1184B0" w14:textId="77777777" w:rsidR="0087583F" w:rsidRPr="00DD6539" w:rsidRDefault="0087583F" w:rsidP="00DD6539">
      <w:pPr>
        <w:pStyle w:val="Prrafodelista"/>
        <w:numPr>
          <w:ilvl w:val="0"/>
          <w:numId w:val="2"/>
        </w:numPr>
        <w:tabs>
          <w:tab w:val="left" w:pos="-1440"/>
        </w:tabs>
        <w:ind w:left="425" w:hanging="425"/>
        <w:contextualSpacing w:val="0"/>
        <w:jc w:val="both"/>
        <w:rPr>
          <w:rFonts w:ascii="Arial Narrow" w:hAnsi="Arial Narrow"/>
          <w:sz w:val="24"/>
          <w:szCs w:val="24"/>
        </w:rPr>
      </w:pPr>
      <w:r w:rsidRPr="00DD6539">
        <w:rPr>
          <w:rFonts w:ascii="Arial Narrow" w:hAnsi="Arial Narrow"/>
          <w:sz w:val="24"/>
          <w:szCs w:val="24"/>
        </w:rPr>
        <w:t>Por traslado al activo fijo; o</w:t>
      </w:r>
    </w:p>
    <w:p w14:paraId="7F1184B1" w14:textId="77777777" w:rsidR="0087583F" w:rsidRPr="0087583F" w:rsidRDefault="0087583F" w:rsidP="00DD6539">
      <w:pPr>
        <w:pStyle w:val="Textoindependiente"/>
        <w:widowControl/>
        <w:numPr>
          <w:ilvl w:val="0"/>
          <w:numId w:val="2"/>
        </w:numPr>
        <w:spacing w:line="240" w:lineRule="auto"/>
        <w:ind w:left="425" w:hanging="425"/>
        <w:rPr>
          <w:rFonts w:ascii="Arial Narrow" w:hAnsi="Arial Narrow"/>
          <w:snapToGrid/>
          <w:szCs w:val="24"/>
          <w:lang w:val="es-ES"/>
        </w:rPr>
      </w:pPr>
      <w:r w:rsidRPr="0087583F">
        <w:rPr>
          <w:rFonts w:ascii="Arial Narrow" w:hAnsi="Arial Narrow"/>
          <w:snapToGrid/>
          <w:szCs w:val="24"/>
          <w:lang w:val="es-ES"/>
        </w:rPr>
        <w:t>Por destrucción.</w:t>
      </w:r>
    </w:p>
    <w:p w14:paraId="7F1184B2" w14:textId="77777777" w:rsidR="0087583F" w:rsidRPr="0087583F" w:rsidRDefault="0087583F" w:rsidP="0087583F">
      <w:pPr>
        <w:pStyle w:val="Textoindependiente"/>
        <w:widowControl/>
        <w:spacing w:line="240" w:lineRule="auto"/>
        <w:rPr>
          <w:rFonts w:ascii="Arial Narrow" w:hAnsi="Arial Narrow"/>
          <w:snapToGrid/>
          <w:szCs w:val="24"/>
          <w:lang w:val="es-ES"/>
        </w:rPr>
      </w:pPr>
    </w:p>
    <w:p w14:paraId="7F1184B3" w14:textId="77777777" w:rsidR="0087583F" w:rsidRPr="0087583F" w:rsidRDefault="0087583F" w:rsidP="0087583F">
      <w:pPr>
        <w:jc w:val="both"/>
        <w:outlineLvl w:val="0"/>
        <w:rPr>
          <w:rFonts w:ascii="Arial Narrow" w:hAnsi="Arial Narrow"/>
          <w:b/>
          <w:sz w:val="24"/>
          <w:szCs w:val="24"/>
        </w:rPr>
      </w:pPr>
      <w:r w:rsidRPr="0087583F">
        <w:rPr>
          <w:rFonts w:ascii="Arial Narrow" w:hAnsi="Arial Narrow"/>
          <w:b/>
          <w:sz w:val="24"/>
          <w:szCs w:val="24"/>
        </w:rPr>
        <w:t>Venta al contado</w:t>
      </w:r>
    </w:p>
    <w:p w14:paraId="7F1184B4"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13.-</w:t>
      </w:r>
      <w:r w:rsidRPr="0087583F">
        <w:rPr>
          <w:rFonts w:ascii="Arial Narrow" w:hAnsi="Arial Narrow"/>
          <w:sz w:val="24"/>
          <w:szCs w:val="24"/>
        </w:rPr>
        <w:t xml:space="preserve"> El retiro de un activo extraordinario por motivo de venta causará un incremento en las disponibilidades o en la cartera de Cuentas por Cobrar, según corresponda, y una disminución en la cuenta 1220 BIENES RECIBIDOS EN PAGO O ADJUDICADOS, por el valor en libros correspondiente.</w:t>
      </w:r>
    </w:p>
    <w:p w14:paraId="7F1184B5" w14:textId="77777777" w:rsidR="0087583F" w:rsidRPr="0087583F" w:rsidRDefault="0087583F" w:rsidP="0087583F">
      <w:pPr>
        <w:jc w:val="both"/>
        <w:rPr>
          <w:rFonts w:ascii="Arial Narrow" w:hAnsi="Arial Narrow"/>
          <w:sz w:val="24"/>
          <w:szCs w:val="24"/>
        </w:rPr>
      </w:pPr>
    </w:p>
    <w:p w14:paraId="7F1184B6" w14:textId="77777777" w:rsidR="0087583F" w:rsidRPr="0087583F" w:rsidRDefault="0087583F" w:rsidP="0087583F">
      <w:pPr>
        <w:jc w:val="both"/>
        <w:rPr>
          <w:rFonts w:ascii="Arial Narrow" w:hAnsi="Arial Narrow"/>
          <w:color w:val="FF0000"/>
          <w:sz w:val="24"/>
          <w:szCs w:val="24"/>
        </w:rPr>
      </w:pPr>
      <w:r w:rsidRPr="0087583F">
        <w:rPr>
          <w:rFonts w:ascii="Arial Narrow" w:hAnsi="Arial Narrow"/>
          <w:sz w:val="24"/>
          <w:szCs w:val="24"/>
        </w:rPr>
        <w:t>Si la venta es al contado y su valor es mayor que el valor bruto en libros del activo, la diferencia se deberá registrar en la cuenta 6310030200 UTILIDAD EN VENTA DE ACTIVOS – Bienes recibidos en pago o adjudicados</w:t>
      </w:r>
      <w:r w:rsidRPr="0087583F">
        <w:rPr>
          <w:rFonts w:ascii="Arial Narrow" w:hAnsi="Arial Narrow"/>
          <w:color w:val="FF0000"/>
          <w:sz w:val="24"/>
          <w:szCs w:val="24"/>
        </w:rPr>
        <w:t>.</w:t>
      </w:r>
      <w:r w:rsidRPr="0087583F">
        <w:rPr>
          <w:rFonts w:ascii="Arial Narrow" w:hAnsi="Arial Narrow"/>
          <w:color w:val="FF0000"/>
          <w:sz w:val="24"/>
          <w:szCs w:val="24"/>
        </w:rPr>
        <w:tab/>
      </w:r>
    </w:p>
    <w:p w14:paraId="7F1184B7" w14:textId="77777777" w:rsidR="0087583F" w:rsidRPr="0087583F" w:rsidRDefault="0087583F" w:rsidP="0087583F">
      <w:pPr>
        <w:jc w:val="both"/>
        <w:rPr>
          <w:rFonts w:ascii="Arial Narrow" w:hAnsi="Arial Narrow"/>
          <w:color w:val="FF0000"/>
          <w:sz w:val="24"/>
          <w:szCs w:val="24"/>
        </w:rPr>
      </w:pPr>
    </w:p>
    <w:p w14:paraId="7F1184B8" w14:textId="44707B95" w:rsidR="0087583F" w:rsidRPr="0087583F" w:rsidRDefault="0087583F" w:rsidP="0087583F">
      <w:pPr>
        <w:pStyle w:val="Sangra2detindependiente"/>
        <w:widowControl/>
        <w:ind w:firstLine="0"/>
        <w:rPr>
          <w:rFonts w:ascii="Arial Narrow" w:hAnsi="Arial Narrow"/>
          <w:snapToGrid/>
          <w:szCs w:val="24"/>
          <w:lang w:val="es-ES"/>
        </w:rPr>
      </w:pPr>
      <w:r w:rsidRPr="0087583F">
        <w:rPr>
          <w:rFonts w:ascii="Arial Narrow" w:hAnsi="Arial Narrow"/>
          <w:snapToGrid/>
          <w:szCs w:val="24"/>
          <w:lang w:val="es-ES"/>
        </w:rPr>
        <w:t>En caso contrario, si el valor de venta fuera menor al valor bruto en libros del bien, la diferencia deberá registrarse en la cuenta 822002 PÉRDIDA EN VENTAS DE ACTIVOS -</w:t>
      </w:r>
      <w:r w:rsidR="002402A0">
        <w:rPr>
          <w:rFonts w:ascii="Arial Narrow" w:hAnsi="Arial Narrow"/>
          <w:snapToGrid/>
          <w:szCs w:val="24"/>
          <w:lang w:val="es-ES"/>
        </w:rPr>
        <w:t xml:space="preserve"> </w:t>
      </w:r>
      <w:r w:rsidRPr="0087583F">
        <w:rPr>
          <w:rFonts w:ascii="Arial Narrow" w:hAnsi="Arial Narrow"/>
          <w:snapToGrid/>
          <w:szCs w:val="24"/>
          <w:lang w:val="es-ES"/>
        </w:rPr>
        <w:t>BIENES RECIBIDOS EN PAGO O ADJUDICADOS.</w:t>
      </w:r>
    </w:p>
    <w:p w14:paraId="7F1184B9" w14:textId="77777777" w:rsidR="0087583F" w:rsidRPr="0087583F" w:rsidRDefault="0087583F" w:rsidP="0087583F">
      <w:pPr>
        <w:jc w:val="both"/>
        <w:rPr>
          <w:rFonts w:ascii="Arial Narrow" w:hAnsi="Arial Narrow"/>
          <w:b/>
          <w:sz w:val="24"/>
          <w:szCs w:val="24"/>
        </w:rPr>
      </w:pPr>
    </w:p>
    <w:p w14:paraId="7F1184BA"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En caso de que el activo extraordinario tuviera constituida provisión, ésta deberá liquidarse como ingreso por liberación de reserva, en la cuenta 6310020500 INGRESOS NO OPERACIONALES – INGRESOS DE EJERCICIOS ANTERIORES – Liberación de Provisiones de Activos Extraordinarios con cargo a las respectivas cuentas del Patrimonio Restringido.</w:t>
      </w:r>
    </w:p>
    <w:p w14:paraId="7F1184BB" w14:textId="77777777" w:rsidR="0087583F" w:rsidRPr="0087583F" w:rsidRDefault="0087583F" w:rsidP="0087583F">
      <w:pPr>
        <w:jc w:val="both"/>
        <w:rPr>
          <w:rFonts w:ascii="Arial Narrow" w:hAnsi="Arial Narrow"/>
          <w:sz w:val="24"/>
          <w:szCs w:val="24"/>
        </w:rPr>
      </w:pPr>
    </w:p>
    <w:p w14:paraId="7F1184BC" w14:textId="3CA9FD8D" w:rsidR="0087583F" w:rsidRPr="0087583F" w:rsidRDefault="0087583F" w:rsidP="0087583F">
      <w:pPr>
        <w:jc w:val="both"/>
        <w:outlineLvl w:val="0"/>
        <w:rPr>
          <w:rFonts w:ascii="Arial Narrow" w:hAnsi="Arial Narrow"/>
          <w:b/>
          <w:sz w:val="24"/>
          <w:szCs w:val="24"/>
        </w:rPr>
      </w:pPr>
      <w:r w:rsidRPr="0087583F">
        <w:rPr>
          <w:rFonts w:ascii="Arial Narrow" w:hAnsi="Arial Narrow"/>
          <w:b/>
          <w:sz w:val="24"/>
          <w:szCs w:val="24"/>
        </w:rPr>
        <w:t xml:space="preserve">Adquisición por la </w:t>
      </w:r>
      <w:r w:rsidR="00F34918">
        <w:rPr>
          <w:rFonts w:ascii="Arial Narrow" w:hAnsi="Arial Narrow"/>
          <w:b/>
          <w:sz w:val="24"/>
          <w:szCs w:val="24"/>
        </w:rPr>
        <w:t>s</w:t>
      </w:r>
      <w:r w:rsidRPr="0087583F">
        <w:rPr>
          <w:rFonts w:ascii="Arial Narrow" w:hAnsi="Arial Narrow"/>
          <w:b/>
          <w:sz w:val="24"/>
          <w:szCs w:val="24"/>
        </w:rPr>
        <w:t xml:space="preserve">ociedad de </w:t>
      </w:r>
      <w:r w:rsidR="00F34918">
        <w:rPr>
          <w:rFonts w:ascii="Arial Narrow" w:hAnsi="Arial Narrow"/>
          <w:b/>
          <w:sz w:val="24"/>
          <w:szCs w:val="24"/>
        </w:rPr>
        <w:t>g</w:t>
      </w:r>
      <w:r w:rsidRPr="0087583F">
        <w:rPr>
          <w:rFonts w:ascii="Arial Narrow" w:hAnsi="Arial Narrow"/>
          <w:b/>
          <w:sz w:val="24"/>
          <w:szCs w:val="24"/>
        </w:rPr>
        <w:t>arantía</w:t>
      </w:r>
    </w:p>
    <w:p w14:paraId="7F1184BD" w14:textId="630D0C76" w:rsidR="0087583F" w:rsidRDefault="0087583F" w:rsidP="0087583F">
      <w:pPr>
        <w:jc w:val="both"/>
        <w:rPr>
          <w:rFonts w:ascii="Arial Narrow" w:hAnsi="Arial Narrow"/>
          <w:sz w:val="24"/>
          <w:szCs w:val="24"/>
        </w:rPr>
      </w:pPr>
      <w:r w:rsidRPr="0087583F">
        <w:rPr>
          <w:rFonts w:ascii="Arial Narrow" w:hAnsi="Arial Narrow"/>
          <w:b/>
          <w:bCs/>
          <w:sz w:val="24"/>
          <w:szCs w:val="24"/>
        </w:rPr>
        <w:t>Art. 14. -</w:t>
      </w:r>
      <w:r w:rsidRPr="0087583F">
        <w:rPr>
          <w:rFonts w:ascii="Arial Narrow" w:hAnsi="Arial Narrow"/>
          <w:sz w:val="24"/>
          <w:szCs w:val="24"/>
        </w:rPr>
        <w:t xml:space="preserve"> Cuando un activo extraordinario sea adquirido como activo fijo por la Sociedad de Garantía, con base en lo establecido en el artículo 61, inciso penúltimo de la Ley, se trasladará a la cuenta que corresponda por el valor bruto en libros a la fecha del traslado. La provisión que tuviese constituido tal activo deberá liquidarse como ingreso por liberación de provisión, en la cuenta</w:t>
      </w:r>
      <w:r w:rsidR="002402A0">
        <w:rPr>
          <w:rFonts w:ascii="Arial Narrow" w:hAnsi="Arial Narrow"/>
          <w:sz w:val="24"/>
          <w:szCs w:val="24"/>
        </w:rPr>
        <w:t xml:space="preserve"> </w:t>
      </w:r>
      <w:r w:rsidRPr="0087583F">
        <w:rPr>
          <w:rFonts w:ascii="Arial Narrow" w:hAnsi="Arial Narrow"/>
          <w:sz w:val="24"/>
          <w:szCs w:val="24"/>
        </w:rPr>
        <w:t>6310020500 INGRESOS NO OPERACIONALES – INGRESOS DE EJERCICIOS ANTERIORES – Liberación de Provisiones de Activos Extraordinarios.</w:t>
      </w:r>
    </w:p>
    <w:p w14:paraId="7A12FEA6" w14:textId="77777777" w:rsidR="00E779B1" w:rsidRPr="0087583F" w:rsidRDefault="00E779B1" w:rsidP="0087583F">
      <w:pPr>
        <w:jc w:val="both"/>
        <w:rPr>
          <w:rFonts w:ascii="Arial Narrow" w:hAnsi="Arial Narrow"/>
          <w:sz w:val="24"/>
          <w:szCs w:val="24"/>
        </w:rPr>
      </w:pPr>
    </w:p>
    <w:p w14:paraId="7F1184BE" w14:textId="5ABA4C35" w:rsidR="0087583F" w:rsidRPr="0087583F" w:rsidRDefault="0087583F" w:rsidP="0087583F">
      <w:pPr>
        <w:pStyle w:val="Ttulo2"/>
        <w:widowControl/>
        <w:spacing w:line="240" w:lineRule="auto"/>
        <w:rPr>
          <w:rFonts w:ascii="Arial Narrow" w:hAnsi="Arial Narrow"/>
          <w:snapToGrid/>
          <w:szCs w:val="24"/>
          <w:lang w:val="es-ES"/>
        </w:rPr>
      </w:pPr>
      <w:r w:rsidRPr="0087583F">
        <w:rPr>
          <w:rFonts w:ascii="Arial Narrow" w:hAnsi="Arial Narrow"/>
          <w:snapToGrid/>
          <w:szCs w:val="24"/>
          <w:lang w:val="es-ES"/>
        </w:rPr>
        <w:t xml:space="preserve">Destrucción del </w:t>
      </w:r>
      <w:r w:rsidR="009321F3">
        <w:rPr>
          <w:rFonts w:ascii="Arial Narrow" w:hAnsi="Arial Narrow"/>
          <w:snapToGrid/>
          <w:szCs w:val="24"/>
          <w:lang w:val="es-ES"/>
        </w:rPr>
        <w:t>a</w:t>
      </w:r>
      <w:r w:rsidRPr="0087583F">
        <w:rPr>
          <w:rFonts w:ascii="Arial Narrow" w:hAnsi="Arial Narrow"/>
          <w:snapToGrid/>
          <w:szCs w:val="24"/>
          <w:lang w:val="es-ES"/>
        </w:rPr>
        <w:t xml:space="preserve">ctivo </w:t>
      </w:r>
      <w:r w:rsidR="009321F3">
        <w:rPr>
          <w:rFonts w:ascii="Arial Narrow" w:hAnsi="Arial Narrow"/>
          <w:snapToGrid/>
          <w:szCs w:val="24"/>
          <w:lang w:val="es-ES"/>
        </w:rPr>
        <w:t>e</w:t>
      </w:r>
      <w:r w:rsidRPr="0087583F">
        <w:rPr>
          <w:rFonts w:ascii="Arial Narrow" w:hAnsi="Arial Narrow"/>
          <w:snapToGrid/>
          <w:szCs w:val="24"/>
          <w:lang w:val="es-ES"/>
        </w:rPr>
        <w:t>xtraordinario</w:t>
      </w:r>
    </w:p>
    <w:p w14:paraId="7F1184BF"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15.-</w:t>
      </w:r>
      <w:r w:rsidRPr="0087583F">
        <w:rPr>
          <w:rFonts w:ascii="Arial Narrow" w:hAnsi="Arial Narrow"/>
          <w:sz w:val="24"/>
          <w:szCs w:val="24"/>
        </w:rPr>
        <w:t xml:space="preserve"> La destrucción de un bien contabilizado como activo extraordinario deberá reconocerse como pérdida total y contabilizarse con cargo a la cuenta 8270000700 DETERIORO DE ACTIVOS – ACTIVOS EXTRAORDINARIOS.</w:t>
      </w:r>
    </w:p>
    <w:p w14:paraId="7F1184C0" w14:textId="77777777" w:rsidR="0087583F" w:rsidRPr="0087583F" w:rsidRDefault="0087583F" w:rsidP="0087583F">
      <w:pPr>
        <w:ind w:firstLine="720"/>
        <w:jc w:val="both"/>
        <w:rPr>
          <w:rFonts w:ascii="Arial Narrow" w:hAnsi="Arial Narrow"/>
          <w:sz w:val="24"/>
          <w:szCs w:val="24"/>
        </w:rPr>
      </w:pPr>
    </w:p>
    <w:p w14:paraId="7F1184C1" w14:textId="380A68AB" w:rsidR="0087583F" w:rsidRPr="0087583F" w:rsidRDefault="0087583F" w:rsidP="0087583F">
      <w:pPr>
        <w:jc w:val="both"/>
        <w:rPr>
          <w:rFonts w:ascii="Arial Narrow" w:hAnsi="Arial Narrow"/>
          <w:sz w:val="24"/>
          <w:szCs w:val="24"/>
        </w:rPr>
      </w:pPr>
      <w:r w:rsidRPr="0087583F">
        <w:rPr>
          <w:rFonts w:ascii="Arial Narrow" w:hAnsi="Arial Narrow"/>
          <w:sz w:val="24"/>
          <w:szCs w:val="24"/>
        </w:rPr>
        <w:t xml:space="preserve">Cuando se haya recuperado el valor del seguro del activo extraordinario dado de baja, si lo hubiere, éste deberá aplicarse como utilidad a la cuenta </w:t>
      </w:r>
      <w:proofErr w:type="gramStart"/>
      <w:r w:rsidRPr="0087583F">
        <w:rPr>
          <w:rFonts w:ascii="Arial Narrow" w:hAnsi="Arial Narrow"/>
          <w:sz w:val="24"/>
          <w:szCs w:val="24"/>
        </w:rPr>
        <w:t>6310990000</w:t>
      </w:r>
      <w:r w:rsidR="007C34A0">
        <w:rPr>
          <w:rFonts w:ascii="Arial Narrow" w:hAnsi="Arial Narrow"/>
          <w:sz w:val="24"/>
          <w:szCs w:val="24"/>
        </w:rPr>
        <w:t xml:space="preserve"> </w:t>
      </w:r>
      <w:r w:rsidRPr="0087583F">
        <w:rPr>
          <w:rFonts w:ascii="Arial Narrow" w:hAnsi="Arial Narrow"/>
          <w:sz w:val="24"/>
          <w:szCs w:val="24"/>
        </w:rPr>
        <w:t xml:space="preserve"> OTROS</w:t>
      </w:r>
      <w:proofErr w:type="gramEnd"/>
      <w:r w:rsidRPr="0087583F">
        <w:rPr>
          <w:rFonts w:ascii="Arial Narrow" w:hAnsi="Arial Narrow"/>
          <w:sz w:val="24"/>
          <w:szCs w:val="24"/>
        </w:rPr>
        <w:t xml:space="preserve"> – Otros.</w:t>
      </w:r>
    </w:p>
    <w:p w14:paraId="7F1184C2" w14:textId="77777777" w:rsidR="0087583F" w:rsidRPr="0087583F" w:rsidRDefault="0087583F" w:rsidP="0087583F">
      <w:pPr>
        <w:jc w:val="both"/>
        <w:rPr>
          <w:rFonts w:ascii="Arial Narrow" w:hAnsi="Arial Narrow"/>
          <w:sz w:val="24"/>
          <w:szCs w:val="24"/>
        </w:rPr>
      </w:pPr>
      <w:r w:rsidRPr="0087583F">
        <w:rPr>
          <w:rFonts w:ascii="Arial Narrow" w:hAnsi="Arial Narrow"/>
          <w:sz w:val="24"/>
          <w:szCs w:val="24"/>
        </w:rPr>
        <w:tab/>
      </w:r>
    </w:p>
    <w:p w14:paraId="7F1184C3"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CAPÍTULO IV</w:t>
      </w:r>
    </w:p>
    <w:p w14:paraId="7F1184C4" w14:textId="77777777" w:rsidR="0087583F" w:rsidRPr="0087583F" w:rsidRDefault="0087583F" w:rsidP="0087583F">
      <w:pPr>
        <w:jc w:val="center"/>
        <w:outlineLvl w:val="0"/>
        <w:rPr>
          <w:rFonts w:ascii="Arial Narrow" w:hAnsi="Arial Narrow"/>
          <w:b/>
          <w:sz w:val="24"/>
          <w:szCs w:val="24"/>
        </w:rPr>
      </w:pPr>
      <w:r w:rsidRPr="0087583F">
        <w:rPr>
          <w:rFonts w:ascii="Arial Narrow" w:hAnsi="Arial Narrow"/>
          <w:b/>
          <w:sz w:val="24"/>
          <w:szCs w:val="24"/>
        </w:rPr>
        <w:t>OTRAS DISPOSICIONES Y VIGENCIA</w:t>
      </w:r>
    </w:p>
    <w:p w14:paraId="7F1184C5" w14:textId="77777777" w:rsidR="0087583F" w:rsidRPr="0087583F" w:rsidRDefault="0087583F" w:rsidP="0087583F">
      <w:pPr>
        <w:jc w:val="both"/>
        <w:rPr>
          <w:rFonts w:ascii="Arial Narrow" w:hAnsi="Arial Narrow"/>
          <w:sz w:val="24"/>
          <w:szCs w:val="24"/>
        </w:rPr>
      </w:pPr>
    </w:p>
    <w:p w14:paraId="7F1184C6" w14:textId="77777777" w:rsidR="0087583F" w:rsidRPr="0087583F" w:rsidRDefault="0087583F" w:rsidP="0087583F">
      <w:pPr>
        <w:pStyle w:val="Sangra2detindependiente"/>
        <w:widowControl/>
        <w:ind w:firstLine="0"/>
        <w:rPr>
          <w:rFonts w:ascii="Arial Narrow" w:hAnsi="Arial Narrow"/>
          <w:snapToGrid/>
          <w:szCs w:val="24"/>
          <w:lang w:val="es-ES"/>
        </w:rPr>
      </w:pPr>
      <w:r w:rsidRPr="0087583F">
        <w:rPr>
          <w:rFonts w:ascii="Arial Narrow" w:hAnsi="Arial Narrow"/>
          <w:b/>
          <w:bCs/>
          <w:snapToGrid/>
          <w:szCs w:val="24"/>
          <w:lang w:val="es-ES"/>
        </w:rPr>
        <w:t>Art. 16.-</w:t>
      </w:r>
      <w:r w:rsidRPr="0087583F">
        <w:rPr>
          <w:rFonts w:ascii="Arial Narrow" w:hAnsi="Arial Narrow"/>
          <w:snapToGrid/>
          <w:szCs w:val="24"/>
          <w:lang w:val="es-ES"/>
        </w:rPr>
        <w:t xml:space="preserve"> Los valores y prácticas contables establecidos en las presentes Normas no afectan la relación jurídica entre deudores y acreedores, por lo que no se modifica el derecho de la Sociedad de Garantía de perseguir a sus socios partícipes deudores hasta recuperar sus créditos. En el caso de las adjudicaciones judiciales, la Sociedad de Garantía deberá llevar control en cuentas de orden de los saldos a cargo de los deudores.</w:t>
      </w:r>
    </w:p>
    <w:p w14:paraId="7F1184C7" w14:textId="77777777" w:rsidR="0087583F" w:rsidRPr="0087583F" w:rsidRDefault="0087583F" w:rsidP="0087583F">
      <w:pPr>
        <w:jc w:val="both"/>
        <w:rPr>
          <w:rFonts w:ascii="Arial Narrow" w:hAnsi="Arial Narrow"/>
          <w:sz w:val="24"/>
          <w:szCs w:val="24"/>
        </w:rPr>
      </w:pPr>
    </w:p>
    <w:p w14:paraId="7F1184C8"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17.-</w:t>
      </w:r>
      <w:r w:rsidRPr="0087583F">
        <w:rPr>
          <w:rFonts w:ascii="Arial Narrow" w:hAnsi="Arial Narrow"/>
          <w:sz w:val="24"/>
          <w:szCs w:val="24"/>
        </w:rPr>
        <w:t xml:space="preserve"> Las Sociedades de Garantía deberán llevar registros auxiliares, según modelo anexo, debidamente actualizados.</w:t>
      </w:r>
    </w:p>
    <w:p w14:paraId="7F1184C9" w14:textId="77777777" w:rsidR="0087583F" w:rsidRPr="0087583F" w:rsidRDefault="0087583F" w:rsidP="0087583F">
      <w:pPr>
        <w:jc w:val="both"/>
        <w:rPr>
          <w:rFonts w:ascii="Arial Narrow" w:hAnsi="Arial Narrow"/>
          <w:sz w:val="24"/>
          <w:szCs w:val="24"/>
        </w:rPr>
      </w:pPr>
    </w:p>
    <w:p w14:paraId="7F1184CA"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18.-</w:t>
      </w:r>
      <w:r w:rsidRPr="0087583F">
        <w:rPr>
          <w:rFonts w:ascii="Arial Narrow" w:hAnsi="Arial Narrow"/>
          <w:sz w:val="24"/>
          <w:szCs w:val="24"/>
        </w:rPr>
        <w:t xml:space="preserve"> Cuando se adquieran grupos de activos extraordinarios, deberá individualizarse el valor de </w:t>
      </w:r>
      <w:proofErr w:type="gramStart"/>
      <w:r w:rsidRPr="0087583F">
        <w:rPr>
          <w:rFonts w:ascii="Arial Narrow" w:hAnsi="Arial Narrow"/>
          <w:sz w:val="24"/>
          <w:szCs w:val="24"/>
        </w:rPr>
        <w:t>los mismos</w:t>
      </w:r>
      <w:proofErr w:type="gramEnd"/>
      <w:r w:rsidRPr="0087583F">
        <w:rPr>
          <w:rFonts w:ascii="Arial Narrow" w:hAnsi="Arial Narrow"/>
          <w:sz w:val="24"/>
          <w:szCs w:val="24"/>
        </w:rPr>
        <w:t xml:space="preserve"> y las provisiones que les correspondan.</w:t>
      </w:r>
    </w:p>
    <w:p w14:paraId="7F1184CB" w14:textId="77777777" w:rsidR="0087583F" w:rsidRPr="0087583F" w:rsidRDefault="0087583F" w:rsidP="0087583F">
      <w:pPr>
        <w:jc w:val="both"/>
        <w:rPr>
          <w:rFonts w:ascii="Arial Narrow" w:hAnsi="Arial Narrow"/>
          <w:sz w:val="24"/>
          <w:szCs w:val="24"/>
        </w:rPr>
      </w:pPr>
    </w:p>
    <w:p w14:paraId="7F1184CC" w14:textId="77777777" w:rsidR="0087583F" w:rsidRPr="0087583F" w:rsidRDefault="0087583F" w:rsidP="0087583F">
      <w:pPr>
        <w:jc w:val="both"/>
        <w:rPr>
          <w:rFonts w:ascii="Arial Narrow" w:hAnsi="Arial Narrow"/>
          <w:sz w:val="24"/>
          <w:szCs w:val="24"/>
        </w:rPr>
      </w:pPr>
      <w:r w:rsidRPr="0087583F">
        <w:rPr>
          <w:rFonts w:ascii="Arial Narrow" w:hAnsi="Arial Narrow"/>
          <w:b/>
          <w:bCs/>
          <w:sz w:val="24"/>
          <w:szCs w:val="24"/>
        </w:rPr>
        <w:t>Art. 19.-</w:t>
      </w:r>
      <w:r w:rsidRPr="0087583F">
        <w:rPr>
          <w:rFonts w:ascii="Arial Narrow" w:hAnsi="Arial Narrow"/>
          <w:sz w:val="24"/>
          <w:szCs w:val="24"/>
        </w:rPr>
        <w:t xml:space="preserve"> Lo no contemplado en las presentes Normas será resuelto por el Consejo Directivo de la Superintendencia del Sistema Financiero.</w:t>
      </w:r>
    </w:p>
    <w:p w14:paraId="7F1184CD" w14:textId="77777777" w:rsidR="0087583F" w:rsidRPr="0087583F" w:rsidRDefault="0087583F" w:rsidP="0087583F">
      <w:pPr>
        <w:ind w:firstLine="720"/>
        <w:jc w:val="both"/>
        <w:outlineLvl w:val="0"/>
        <w:rPr>
          <w:rFonts w:ascii="Arial Narrow" w:hAnsi="Arial Narrow"/>
          <w:sz w:val="24"/>
          <w:szCs w:val="24"/>
        </w:rPr>
      </w:pPr>
    </w:p>
    <w:p w14:paraId="7F1184CE" w14:textId="6CF69354" w:rsidR="0087583F" w:rsidRDefault="0087583F" w:rsidP="0087583F">
      <w:pPr>
        <w:pStyle w:val="Sangra2detindependiente"/>
        <w:widowControl/>
        <w:ind w:firstLine="0"/>
        <w:outlineLvl w:val="0"/>
        <w:rPr>
          <w:rFonts w:ascii="Arial Narrow" w:hAnsi="Arial Narrow"/>
          <w:snapToGrid/>
          <w:szCs w:val="24"/>
        </w:rPr>
      </w:pPr>
      <w:r w:rsidRPr="0087583F">
        <w:rPr>
          <w:rFonts w:ascii="Arial Narrow" w:hAnsi="Arial Narrow"/>
          <w:b/>
          <w:bCs/>
          <w:snapToGrid/>
          <w:szCs w:val="24"/>
        </w:rPr>
        <w:t>Art. 20.-</w:t>
      </w:r>
      <w:r w:rsidRPr="0087583F">
        <w:rPr>
          <w:rFonts w:ascii="Arial Narrow" w:hAnsi="Arial Narrow"/>
          <w:snapToGrid/>
          <w:szCs w:val="24"/>
        </w:rPr>
        <w:t xml:space="preserve"> Las presentes Normas tendrán vigencia a partir</w:t>
      </w:r>
      <w:r w:rsidR="002402A0">
        <w:rPr>
          <w:rFonts w:ascii="Arial Narrow" w:hAnsi="Arial Narrow"/>
          <w:snapToGrid/>
          <w:szCs w:val="24"/>
        </w:rPr>
        <w:t xml:space="preserve"> </w:t>
      </w:r>
      <w:r w:rsidRPr="0087583F">
        <w:rPr>
          <w:rFonts w:ascii="Arial Narrow" w:hAnsi="Arial Narrow"/>
          <w:snapToGrid/>
          <w:szCs w:val="24"/>
        </w:rPr>
        <w:t>del</w:t>
      </w:r>
      <w:r w:rsidR="002402A0">
        <w:rPr>
          <w:rFonts w:ascii="Arial Narrow" w:hAnsi="Arial Narrow"/>
          <w:snapToGrid/>
          <w:szCs w:val="24"/>
        </w:rPr>
        <w:t xml:space="preserve"> </w:t>
      </w:r>
      <w:r w:rsidRPr="0087583F">
        <w:rPr>
          <w:rFonts w:ascii="Arial Narrow" w:hAnsi="Arial Narrow"/>
          <w:snapToGrid/>
          <w:szCs w:val="24"/>
        </w:rPr>
        <w:t>uno de</w:t>
      </w:r>
      <w:r w:rsidR="002402A0">
        <w:rPr>
          <w:rFonts w:ascii="Arial Narrow" w:hAnsi="Arial Narrow"/>
          <w:snapToGrid/>
          <w:szCs w:val="24"/>
        </w:rPr>
        <w:t xml:space="preserve"> </w:t>
      </w:r>
      <w:r w:rsidRPr="0087583F">
        <w:rPr>
          <w:rFonts w:ascii="Arial Narrow" w:hAnsi="Arial Narrow"/>
          <w:snapToGrid/>
          <w:szCs w:val="24"/>
        </w:rPr>
        <w:t>noviembre de dos mil tres.</w:t>
      </w:r>
    </w:p>
    <w:p w14:paraId="7F1184CF" w14:textId="77777777" w:rsidR="008A3706" w:rsidRDefault="008A3706" w:rsidP="0087583F">
      <w:pPr>
        <w:pStyle w:val="Sangra2detindependiente"/>
        <w:widowControl/>
        <w:ind w:firstLine="0"/>
        <w:outlineLvl w:val="0"/>
        <w:rPr>
          <w:rFonts w:ascii="Arial Narrow" w:hAnsi="Arial Narrow"/>
          <w:snapToGrid/>
          <w:szCs w:val="24"/>
        </w:rPr>
      </w:pPr>
    </w:p>
    <w:p w14:paraId="7F1184D0" w14:textId="77777777" w:rsidR="008A3706" w:rsidRDefault="008A3706" w:rsidP="0087583F">
      <w:pPr>
        <w:pStyle w:val="Sangra2detindependiente"/>
        <w:widowControl/>
        <w:ind w:firstLine="0"/>
        <w:outlineLvl w:val="0"/>
        <w:rPr>
          <w:rFonts w:ascii="Arial Narrow" w:hAnsi="Arial Narrow"/>
          <w:snapToGrid/>
          <w:szCs w:val="24"/>
        </w:rPr>
      </w:pPr>
    </w:p>
    <w:p w14:paraId="7F1184D1" w14:textId="77777777" w:rsidR="008A3706" w:rsidRDefault="008A3706" w:rsidP="0087583F">
      <w:pPr>
        <w:pStyle w:val="Sangra2detindependiente"/>
        <w:widowControl/>
        <w:ind w:firstLine="0"/>
        <w:outlineLvl w:val="0"/>
        <w:rPr>
          <w:rFonts w:ascii="Arial Narrow" w:hAnsi="Arial Narrow"/>
          <w:snapToGrid/>
          <w:szCs w:val="24"/>
        </w:rPr>
      </w:pPr>
    </w:p>
    <w:p w14:paraId="7F1184D2" w14:textId="77777777" w:rsidR="0087583F" w:rsidRPr="0029699B" w:rsidRDefault="008A3706" w:rsidP="008A3706">
      <w:pPr>
        <w:pStyle w:val="Sangra2detindependiente"/>
        <w:widowControl/>
        <w:ind w:firstLine="0"/>
        <w:outlineLvl w:val="0"/>
        <w:rPr>
          <w:rFonts w:ascii="Arial Narrow" w:hAnsi="Arial Narrow"/>
          <w:b/>
          <w:snapToGrid/>
          <w:sz w:val="22"/>
          <w:szCs w:val="22"/>
        </w:rPr>
      </w:pPr>
      <w:r w:rsidRPr="0029699B">
        <w:rPr>
          <w:rFonts w:ascii="Arial Narrow" w:hAnsi="Arial Narrow"/>
          <w:b/>
          <w:snapToGrid/>
          <w:sz w:val="22"/>
          <w:szCs w:val="22"/>
        </w:rPr>
        <w:t>MODIFICACIONES:</w:t>
      </w:r>
      <w:r w:rsidR="0087583F" w:rsidRPr="0029699B">
        <w:rPr>
          <w:rFonts w:ascii="Arial Narrow" w:hAnsi="Arial Narrow"/>
          <w:b/>
          <w:snapToGrid/>
          <w:sz w:val="22"/>
          <w:szCs w:val="22"/>
        </w:rPr>
        <w:tab/>
      </w:r>
    </w:p>
    <w:p w14:paraId="7F1184D3" w14:textId="77777777" w:rsidR="0087583F" w:rsidRPr="0029699B" w:rsidRDefault="0087583F" w:rsidP="008A3706">
      <w:pPr>
        <w:pStyle w:val="Sangra2detindependiente"/>
        <w:widowControl/>
        <w:numPr>
          <w:ilvl w:val="0"/>
          <w:numId w:val="1"/>
        </w:numPr>
        <w:ind w:left="425" w:hanging="425"/>
        <w:rPr>
          <w:rFonts w:ascii="Arial Narrow" w:hAnsi="Arial Narrow"/>
          <w:b/>
          <w:bCs/>
          <w:sz w:val="22"/>
          <w:szCs w:val="22"/>
        </w:rPr>
      </w:pPr>
      <w:r w:rsidRPr="0029699B">
        <w:rPr>
          <w:rFonts w:ascii="Arial Narrow" w:hAnsi="Arial Narrow"/>
          <w:b/>
          <w:bCs/>
          <w:sz w:val="22"/>
          <w:szCs w:val="22"/>
        </w:rPr>
        <w:t>Modificaciones Aprobadas por el Comité de Normas del Banco Central de Reserva de El Salvador, en Sesión No. CN-12/2012 de fecha 27 de noviembre de dos mil doce, con vigencia a partir del día 02 de enero de dos mil trece.</w:t>
      </w:r>
    </w:p>
    <w:p w14:paraId="7F1184D4" w14:textId="77777777" w:rsidR="008A3706" w:rsidRPr="0087583F" w:rsidRDefault="008A3706" w:rsidP="008A3706">
      <w:pPr>
        <w:pStyle w:val="Sangra2detindependiente"/>
        <w:widowControl/>
        <w:ind w:left="720" w:firstLine="0"/>
        <w:rPr>
          <w:rFonts w:ascii="Arial Narrow" w:hAnsi="Arial Narrow"/>
          <w:snapToGrid/>
          <w:szCs w:val="24"/>
          <w:lang w:val="es-ES"/>
        </w:rPr>
      </w:pPr>
    </w:p>
    <w:p w14:paraId="7F1184D5" w14:textId="77777777" w:rsidR="00232AC7" w:rsidRDefault="00232AC7">
      <w:pPr>
        <w:rPr>
          <w:rFonts w:ascii="Arial Narrow" w:hAnsi="Arial Narrow"/>
          <w:sz w:val="24"/>
          <w:szCs w:val="24"/>
        </w:rPr>
      </w:pPr>
    </w:p>
    <w:p w14:paraId="7F1184D6" w14:textId="77777777" w:rsidR="00002614" w:rsidRDefault="00002614">
      <w:pPr>
        <w:rPr>
          <w:rFonts w:ascii="Arial Narrow" w:hAnsi="Arial Narrow"/>
          <w:sz w:val="24"/>
          <w:szCs w:val="24"/>
        </w:rPr>
      </w:pPr>
    </w:p>
    <w:p w14:paraId="7F1184D7" w14:textId="77777777" w:rsidR="00002614" w:rsidRDefault="00002614">
      <w:pPr>
        <w:rPr>
          <w:rFonts w:ascii="Arial Narrow" w:hAnsi="Arial Narrow"/>
          <w:sz w:val="24"/>
          <w:szCs w:val="24"/>
        </w:rPr>
      </w:pPr>
    </w:p>
    <w:p w14:paraId="7F1184D8" w14:textId="77777777" w:rsidR="00002614" w:rsidRDefault="00002614">
      <w:pPr>
        <w:rPr>
          <w:rFonts w:ascii="Arial Narrow" w:hAnsi="Arial Narrow"/>
          <w:sz w:val="24"/>
          <w:szCs w:val="24"/>
        </w:rPr>
      </w:pPr>
    </w:p>
    <w:p w14:paraId="7F1184D9" w14:textId="77777777" w:rsidR="00002614" w:rsidRDefault="00002614">
      <w:pPr>
        <w:rPr>
          <w:rFonts w:ascii="Arial Narrow" w:hAnsi="Arial Narrow"/>
          <w:sz w:val="24"/>
          <w:szCs w:val="24"/>
        </w:rPr>
      </w:pPr>
    </w:p>
    <w:p w14:paraId="7F1184DA" w14:textId="77777777" w:rsidR="00002614" w:rsidRDefault="00002614">
      <w:pPr>
        <w:rPr>
          <w:rFonts w:ascii="Arial Narrow" w:hAnsi="Arial Narrow"/>
          <w:sz w:val="24"/>
          <w:szCs w:val="24"/>
        </w:rPr>
      </w:pPr>
    </w:p>
    <w:p w14:paraId="7F1184DB" w14:textId="77777777" w:rsidR="00002614" w:rsidRDefault="00002614">
      <w:pPr>
        <w:rPr>
          <w:rFonts w:ascii="Arial Narrow" w:hAnsi="Arial Narrow"/>
          <w:sz w:val="24"/>
          <w:szCs w:val="24"/>
        </w:rPr>
        <w:sectPr w:rsidR="00002614" w:rsidSect="00E3178F">
          <w:headerReference w:type="default" r:id="rId11"/>
          <w:footerReference w:type="default" r:id="rId12"/>
          <w:pgSz w:w="11906" w:h="16838"/>
          <w:pgMar w:top="1417" w:right="1701" w:bottom="1417" w:left="1701" w:header="709" w:footer="709" w:gutter="0"/>
          <w:cols w:space="708"/>
          <w:docGrid w:linePitch="360"/>
        </w:sectPr>
      </w:pPr>
    </w:p>
    <w:p w14:paraId="7F1184DC" w14:textId="35F33C33" w:rsidR="00002614" w:rsidRDefault="00002614" w:rsidP="00BA00EE">
      <w:pPr>
        <w:ind w:left="708" w:firstLine="708"/>
        <w:rPr>
          <w:rFonts w:ascii="Arial Narrow" w:hAnsi="Arial Narrow"/>
          <w:b/>
          <w:sz w:val="22"/>
          <w:szCs w:val="24"/>
        </w:rPr>
      </w:pPr>
      <w:r w:rsidRPr="00002614">
        <w:rPr>
          <w:rFonts w:ascii="Arial Narrow" w:hAnsi="Arial Narrow"/>
          <w:b/>
          <w:sz w:val="22"/>
          <w:szCs w:val="24"/>
        </w:rPr>
        <w:lastRenderedPageBreak/>
        <w:t>Anexo</w:t>
      </w:r>
    </w:p>
    <w:p w14:paraId="7F1184DD" w14:textId="77777777" w:rsidR="00002614" w:rsidRDefault="00002614" w:rsidP="00002614">
      <w:pPr>
        <w:rPr>
          <w:rFonts w:ascii="Arial Narrow" w:hAnsi="Arial Narrow"/>
          <w:sz w:val="22"/>
          <w:szCs w:val="24"/>
        </w:rPr>
      </w:pPr>
    </w:p>
    <w:tbl>
      <w:tblPr>
        <w:tblW w:w="5000" w:type="pct"/>
        <w:tblCellMar>
          <w:left w:w="70" w:type="dxa"/>
          <w:right w:w="70" w:type="dxa"/>
        </w:tblCellMar>
        <w:tblLook w:val="04A0" w:firstRow="1" w:lastRow="0" w:firstColumn="1" w:lastColumn="0" w:noHBand="0" w:noVBand="1"/>
      </w:tblPr>
      <w:tblGrid>
        <w:gridCol w:w="811"/>
        <w:gridCol w:w="1437"/>
        <w:gridCol w:w="1328"/>
        <w:gridCol w:w="1140"/>
        <w:gridCol w:w="810"/>
        <w:gridCol w:w="810"/>
        <w:gridCol w:w="1347"/>
        <w:gridCol w:w="869"/>
        <w:gridCol w:w="707"/>
        <w:gridCol w:w="567"/>
        <w:gridCol w:w="609"/>
        <w:gridCol w:w="444"/>
        <w:gridCol w:w="442"/>
        <w:gridCol w:w="442"/>
        <w:gridCol w:w="595"/>
        <w:gridCol w:w="797"/>
        <w:gridCol w:w="819"/>
      </w:tblGrid>
      <w:tr w:rsidR="00FE736A" w:rsidRPr="00BA00EE" w14:paraId="7F1184E8" w14:textId="77777777" w:rsidTr="00BC3C3E">
        <w:trPr>
          <w:trHeight w:val="330"/>
        </w:trPr>
        <w:tc>
          <w:tcPr>
            <w:tcW w:w="290" w:type="pct"/>
            <w:vMerge w:val="restart"/>
            <w:tcBorders>
              <w:top w:val="single" w:sz="12" w:space="0" w:color="auto"/>
              <w:left w:val="single" w:sz="12" w:space="0" w:color="auto"/>
              <w:bottom w:val="nil"/>
              <w:right w:val="single" w:sz="12" w:space="0" w:color="auto"/>
            </w:tcBorders>
            <w:shd w:val="clear" w:color="auto" w:fill="auto"/>
            <w:vAlign w:val="center"/>
            <w:hideMark/>
          </w:tcPr>
          <w:p w14:paraId="7F1184DE"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FECHA</w:t>
            </w:r>
          </w:p>
        </w:tc>
        <w:tc>
          <w:tcPr>
            <w:tcW w:w="514" w:type="pct"/>
            <w:vMerge w:val="restart"/>
            <w:tcBorders>
              <w:top w:val="single" w:sz="12" w:space="0" w:color="auto"/>
              <w:left w:val="nil"/>
              <w:bottom w:val="nil"/>
              <w:right w:val="single" w:sz="12" w:space="0" w:color="000000"/>
            </w:tcBorders>
            <w:shd w:val="clear" w:color="auto" w:fill="auto"/>
            <w:vAlign w:val="center"/>
            <w:hideMark/>
          </w:tcPr>
          <w:p w14:paraId="7F1184DF"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DESCRIPCIÓN DE LA TRANSACCIÓN</w:t>
            </w:r>
          </w:p>
        </w:tc>
        <w:tc>
          <w:tcPr>
            <w:tcW w:w="475" w:type="pct"/>
            <w:vMerge w:val="restart"/>
            <w:tcBorders>
              <w:top w:val="single" w:sz="12" w:space="0" w:color="auto"/>
              <w:left w:val="single" w:sz="12" w:space="0" w:color="000000"/>
              <w:bottom w:val="nil"/>
              <w:right w:val="single" w:sz="12" w:space="0" w:color="000000"/>
            </w:tcBorders>
            <w:shd w:val="clear" w:color="auto" w:fill="auto"/>
            <w:vAlign w:val="center"/>
            <w:hideMark/>
          </w:tcPr>
          <w:p w14:paraId="7F1184E0"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APROBACIÓN</w:t>
            </w:r>
          </w:p>
        </w:tc>
        <w:tc>
          <w:tcPr>
            <w:tcW w:w="408" w:type="pct"/>
            <w:vMerge w:val="restart"/>
            <w:tcBorders>
              <w:top w:val="single" w:sz="12" w:space="0" w:color="auto"/>
              <w:left w:val="single" w:sz="12" w:space="0" w:color="000000"/>
              <w:bottom w:val="nil"/>
              <w:right w:val="single" w:sz="12" w:space="0" w:color="000000"/>
            </w:tcBorders>
            <w:shd w:val="clear" w:color="auto" w:fill="auto"/>
            <w:vAlign w:val="center"/>
            <w:hideMark/>
          </w:tcPr>
          <w:p w14:paraId="7F1184E1"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UBICACIÓN O DIRECCIÓN</w:t>
            </w:r>
          </w:p>
        </w:tc>
        <w:tc>
          <w:tcPr>
            <w:tcW w:w="580" w:type="pct"/>
            <w:gridSpan w:val="2"/>
            <w:tcBorders>
              <w:top w:val="single" w:sz="12" w:space="0" w:color="auto"/>
              <w:left w:val="nil"/>
              <w:bottom w:val="single" w:sz="12" w:space="0" w:color="000000"/>
              <w:right w:val="single" w:sz="12" w:space="0" w:color="000000"/>
            </w:tcBorders>
            <w:shd w:val="clear" w:color="auto" w:fill="auto"/>
            <w:vAlign w:val="center"/>
            <w:hideMark/>
          </w:tcPr>
          <w:p w14:paraId="7F1184E2"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ADQUISICIÓN</w:t>
            </w:r>
          </w:p>
        </w:tc>
        <w:tc>
          <w:tcPr>
            <w:tcW w:w="482" w:type="pct"/>
            <w:vMerge w:val="restart"/>
            <w:tcBorders>
              <w:top w:val="single" w:sz="12" w:space="0" w:color="auto"/>
              <w:left w:val="single" w:sz="12" w:space="0" w:color="000000"/>
              <w:bottom w:val="nil"/>
              <w:right w:val="single" w:sz="12" w:space="0" w:color="000000"/>
            </w:tcBorders>
            <w:shd w:val="clear" w:color="auto" w:fill="auto"/>
            <w:vAlign w:val="center"/>
            <w:hideMark/>
          </w:tcPr>
          <w:p w14:paraId="7F1184E3"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PROVISIÓN CONSTITUIDA</w:t>
            </w:r>
          </w:p>
        </w:tc>
        <w:tc>
          <w:tcPr>
            <w:tcW w:w="564" w:type="pct"/>
            <w:gridSpan w:val="2"/>
            <w:tcBorders>
              <w:top w:val="single" w:sz="12" w:space="0" w:color="auto"/>
              <w:left w:val="nil"/>
              <w:bottom w:val="single" w:sz="12" w:space="0" w:color="000000"/>
              <w:right w:val="single" w:sz="12" w:space="0" w:color="000000"/>
            </w:tcBorders>
            <w:shd w:val="clear" w:color="auto" w:fill="auto"/>
            <w:vAlign w:val="center"/>
            <w:hideMark/>
          </w:tcPr>
          <w:p w14:paraId="7F1184E4"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PRÓRROGA</w:t>
            </w:r>
          </w:p>
        </w:tc>
        <w:tc>
          <w:tcPr>
            <w:tcW w:w="421" w:type="pct"/>
            <w:gridSpan w:val="2"/>
            <w:vMerge w:val="restart"/>
            <w:tcBorders>
              <w:top w:val="single" w:sz="12" w:space="0" w:color="auto"/>
              <w:left w:val="single" w:sz="12" w:space="0" w:color="auto"/>
              <w:bottom w:val="nil"/>
              <w:right w:val="single" w:sz="12" w:space="0" w:color="000000"/>
            </w:tcBorders>
            <w:shd w:val="clear" w:color="auto" w:fill="auto"/>
            <w:vAlign w:val="center"/>
            <w:hideMark/>
          </w:tcPr>
          <w:p w14:paraId="7F1184E5"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SUBASTAS</w:t>
            </w:r>
          </w:p>
        </w:tc>
        <w:tc>
          <w:tcPr>
            <w:tcW w:w="688" w:type="pct"/>
            <w:gridSpan w:val="4"/>
            <w:vMerge w:val="restart"/>
            <w:tcBorders>
              <w:top w:val="single" w:sz="12" w:space="0" w:color="auto"/>
              <w:left w:val="nil"/>
              <w:bottom w:val="nil"/>
              <w:right w:val="single" w:sz="12" w:space="0" w:color="000000"/>
            </w:tcBorders>
            <w:shd w:val="clear" w:color="auto" w:fill="auto"/>
            <w:vAlign w:val="center"/>
            <w:hideMark/>
          </w:tcPr>
          <w:p w14:paraId="7F1184E6"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GESTIONES DE COMERCIALIZACIÓN</w:t>
            </w:r>
          </w:p>
        </w:tc>
        <w:tc>
          <w:tcPr>
            <w:tcW w:w="579" w:type="pct"/>
            <w:gridSpan w:val="2"/>
            <w:tcBorders>
              <w:top w:val="single" w:sz="12" w:space="0" w:color="auto"/>
              <w:left w:val="nil"/>
              <w:bottom w:val="single" w:sz="12" w:space="0" w:color="000000"/>
              <w:right w:val="single" w:sz="12" w:space="0" w:color="000000"/>
            </w:tcBorders>
            <w:shd w:val="clear" w:color="auto" w:fill="auto"/>
            <w:vAlign w:val="center"/>
            <w:hideMark/>
          </w:tcPr>
          <w:p w14:paraId="7F1184E7"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RETIRO</w:t>
            </w:r>
          </w:p>
        </w:tc>
      </w:tr>
      <w:tr w:rsidR="00FE736A" w:rsidRPr="00BA00EE" w14:paraId="7F1184F6" w14:textId="77777777" w:rsidTr="00BA00EE">
        <w:trPr>
          <w:trHeight w:val="315"/>
        </w:trPr>
        <w:tc>
          <w:tcPr>
            <w:tcW w:w="290" w:type="pct"/>
            <w:vMerge/>
            <w:tcBorders>
              <w:top w:val="single" w:sz="12" w:space="0" w:color="auto"/>
              <w:left w:val="single" w:sz="12" w:space="0" w:color="auto"/>
              <w:bottom w:val="nil"/>
              <w:right w:val="single" w:sz="12" w:space="0" w:color="auto"/>
            </w:tcBorders>
            <w:vAlign w:val="center"/>
            <w:hideMark/>
          </w:tcPr>
          <w:p w14:paraId="7F1184E9" w14:textId="77777777" w:rsidR="00FE736A" w:rsidRPr="00BA00EE" w:rsidRDefault="00FE736A" w:rsidP="00FE736A">
            <w:pPr>
              <w:rPr>
                <w:rFonts w:ascii="Arial Narrow" w:hAnsi="Arial Narrow"/>
                <w:color w:val="000000"/>
              </w:rPr>
            </w:pPr>
          </w:p>
        </w:tc>
        <w:tc>
          <w:tcPr>
            <w:tcW w:w="514" w:type="pct"/>
            <w:vMerge/>
            <w:tcBorders>
              <w:top w:val="single" w:sz="12" w:space="0" w:color="auto"/>
              <w:left w:val="nil"/>
              <w:bottom w:val="nil"/>
              <w:right w:val="single" w:sz="12" w:space="0" w:color="000000"/>
            </w:tcBorders>
            <w:vAlign w:val="center"/>
            <w:hideMark/>
          </w:tcPr>
          <w:p w14:paraId="7F1184EA" w14:textId="77777777" w:rsidR="00FE736A" w:rsidRPr="00BA00EE" w:rsidRDefault="00FE736A" w:rsidP="00FE736A">
            <w:pPr>
              <w:rPr>
                <w:rFonts w:ascii="Arial Narrow" w:hAnsi="Arial Narrow"/>
                <w:color w:val="000000"/>
              </w:rPr>
            </w:pPr>
          </w:p>
        </w:tc>
        <w:tc>
          <w:tcPr>
            <w:tcW w:w="475" w:type="pct"/>
            <w:vMerge/>
            <w:tcBorders>
              <w:top w:val="single" w:sz="12" w:space="0" w:color="auto"/>
              <w:left w:val="single" w:sz="12" w:space="0" w:color="000000"/>
              <w:bottom w:val="nil"/>
              <w:right w:val="single" w:sz="12" w:space="0" w:color="000000"/>
            </w:tcBorders>
            <w:vAlign w:val="center"/>
            <w:hideMark/>
          </w:tcPr>
          <w:p w14:paraId="7F1184EB" w14:textId="77777777" w:rsidR="00FE736A" w:rsidRPr="00BA00EE" w:rsidRDefault="00FE736A" w:rsidP="00FE736A">
            <w:pPr>
              <w:rPr>
                <w:rFonts w:ascii="Arial Narrow" w:hAnsi="Arial Narrow"/>
                <w:color w:val="000000"/>
              </w:rPr>
            </w:pPr>
          </w:p>
        </w:tc>
        <w:tc>
          <w:tcPr>
            <w:tcW w:w="408" w:type="pct"/>
            <w:vMerge/>
            <w:tcBorders>
              <w:top w:val="single" w:sz="12" w:space="0" w:color="auto"/>
              <w:left w:val="single" w:sz="12" w:space="0" w:color="000000"/>
              <w:bottom w:val="nil"/>
              <w:right w:val="single" w:sz="12" w:space="0" w:color="000000"/>
            </w:tcBorders>
            <w:vAlign w:val="center"/>
            <w:hideMark/>
          </w:tcPr>
          <w:p w14:paraId="7F1184EC" w14:textId="77777777" w:rsidR="00FE736A" w:rsidRPr="00BA00EE" w:rsidRDefault="00FE736A" w:rsidP="00FE736A">
            <w:pPr>
              <w:rPr>
                <w:rFonts w:ascii="Arial Narrow" w:hAnsi="Arial Narrow"/>
                <w:color w:val="000000"/>
              </w:rPr>
            </w:pPr>
          </w:p>
        </w:tc>
        <w:tc>
          <w:tcPr>
            <w:tcW w:w="290" w:type="pct"/>
            <w:tcBorders>
              <w:top w:val="nil"/>
              <w:left w:val="nil"/>
              <w:bottom w:val="nil"/>
              <w:right w:val="single" w:sz="12" w:space="0" w:color="000000"/>
            </w:tcBorders>
            <w:shd w:val="clear" w:color="auto" w:fill="auto"/>
            <w:vAlign w:val="center"/>
            <w:hideMark/>
          </w:tcPr>
          <w:p w14:paraId="7F1184ED"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FORMA</w:t>
            </w:r>
          </w:p>
        </w:tc>
        <w:tc>
          <w:tcPr>
            <w:tcW w:w="290" w:type="pct"/>
            <w:tcBorders>
              <w:top w:val="nil"/>
              <w:left w:val="nil"/>
              <w:bottom w:val="nil"/>
              <w:right w:val="single" w:sz="12" w:space="0" w:color="000000"/>
            </w:tcBorders>
            <w:shd w:val="clear" w:color="auto" w:fill="auto"/>
            <w:vAlign w:val="center"/>
            <w:hideMark/>
          </w:tcPr>
          <w:p w14:paraId="7F1184EE"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VALOR</w:t>
            </w:r>
          </w:p>
        </w:tc>
        <w:tc>
          <w:tcPr>
            <w:tcW w:w="482" w:type="pct"/>
            <w:vMerge/>
            <w:tcBorders>
              <w:top w:val="single" w:sz="12" w:space="0" w:color="auto"/>
              <w:left w:val="single" w:sz="12" w:space="0" w:color="000000"/>
              <w:bottom w:val="nil"/>
              <w:right w:val="single" w:sz="12" w:space="0" w:color="000000"/>
            </w:tcBorders>
            <w:vAlign w:val="center"/>
            <w:hideMark/>
          </w:tcPr>
          <w:p w14:paraId="7F1184EF" w14:textId="77777777" w:rsidR="00FE736A" w:rsidRPr="00BA00EE" w:rsidRDefault="00FE736A" w:rsidP="00FE736A">
            <w:pPr>
              <w:rPr>
                <w:rFonts w:ascii="Arial Narrow" w:hAnsi="Arial Narrow"/>
                <w:color w:val="000000"/>
              </w:rPr>
            </w:pPr>
          </w:p>
        </w:tc>
        <w:tc>
          <w:tcPr>
            <w:tcW w:w="311" w:type="pct"/>
            <w:tcBorders>
              <w:top w:val="single" w:sz="12" w:space="0" w:color="000000"/>
              <w:left w:val="nil"/>
              <w:bottom w:val="nil"/>
              <w:right w:val="single" w:sz="12" w:space="0" w:color="000000"/>
            </w:tcBorders>
            <w:shd w:val="clear" w:color="auto" w:fill="auto"/>
            <w:vAlign w:val="center"/>
            <w:hideMark/>
          </w:tcPr>
          <w:p w14:paraId="7F1184F0"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NOTA S.S.F.</w:t>
            </w:r>
          </w:p>
        </w:tc>
        <w:tc>
          <w:tcPr>
            <w:tcW w:w="253" w:type="pct"/>
            <w:tcBorders>
              <w:top w:val="nil"/>
              <w:left w:val="nil"/>
              <w:bottom w:val="nil"/>
              <w:right w:val="single" w:sz="12" w:space="0" w:color="auto"/>
            </w:tcBorders>
            <w:shd w:val="clear" w:color="auto" w:fill="auto"/>
            <w:vAlign w:val="center"/>
            <w:hideMark/>
          </w:tcPr>
          <w:p w14:paraId="7F1184F1"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VTO.</w:t>
            </w:r>
          </w:p>
        </w:tc>
        <w:tc>
          <w:tcPr>
            <w:tcW w:w="421" w:type="pct"/>
            <w:gridSpan w:val="2"/>
            <w:vMerge/>
            <w:tcBorders>
              <w:top w:val="nil"/>
              <w:left w:val="nil"/>
              <w:bottom w:val="nil"/>
              <w:right w:val="single" w:sz="12" w:space="0" w:color="auto"/>
            </w:tcBorders>
            <w:vAlign w:val="center"/>
            <w:hideMark/>
          </w:tcPr>
          <w:p w14:paraId="7F1184F2" w14:textId="77777777" w:rsidR="00FE736A" w:rsidRPr="00BA00EE" w:rsidRDefault="00FE736A" w:rsidP="00FE736A">
            <w:pPr>
              <w:rPr>
                <w:rFonts w:ascii="Arial Narrow" w:hAnsi="Arial Narrow"/>
                <w:color w:val="000000"/>
              </w:rPr>
            </w:pPr>
          </w:p>
        </w:tc>
        <w:tc>
          <w:tcPr>
            <w:tcW w:w="688" w:type="pct"/>
            <w:gridSpan w:val="4"/>
            <w:vMerge/>
            <w:tcBorders>
              <w:top w:val="nil"/>
              <w:left w:val="nil"/>
              <w:bottom w:val="nil"/>
              <w:right w:val="single" w:sz="12" w:space="0" w:color="auto"/>
            </w:tcBorders>
            <w:vAlign w:val="center"/>
            <w:hideMark/>
          </w:tcPr>
          <w:p w14:paraId="7F1184F3" w14:textId="77777777" w:rsidR="00FE736A" w:rsidRPr="00BA00EE" w:rsidRDefault="00FE736A" w:rsidP="00FE736A">
            <w:pPr>
              <w:rPr>
                <w:rFonts w:ascii="Arial Narrow" w:hAnsi="Arial Narrow"/>
                <w:color w:val="000000"/>
              </w:rPr>
            </w:pPr>
          </w:p>
        </w:tc>
        <w:tc>
          <w:tcPr>
            <w:tcW w:w="285" w:type="pct"/>
            <w:tcBorders>
              <w:top w:val="nil"/>
              <w:left w:val="nil"/>
              <w:bottom w:val="nil"/>
              <w:right w:val="single" w:sz="12" w:space="0" w:color="000000"/>
            </w:tcBorders>
            <w:shd w:val="clear" w:color="auto" w:fill="auto"/>
            <w:vAlign w:val="center"/>
            <w:hideMark/>
          </w:tcPr>
          <w:p w14:paraId="7F1184F4"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CAUSA</w:t>
            </w:r>
          </w:p>
        </w:tc>
        <w:tc>
          <w:tcPr>
            <w:tcW w:w="294" w:type="pct"/>
            <w:tcBorders>
              <w:top w:val="nil"/>
              <w:left w:val="nil"/>
              <w:bottom w:val="nil"/>
              <w:right w:val="single" w:sz="12" w:space="0" w:color="auto"/>
            </w:tcBorders>
            <w:shd w:val="clear" w:color="auto" w:fill="auto"/>
            <w:vAlign w:val="center"/>
            <w:hideMark/>
          </w:tcPr>
          <w:p w14:paraId="7F1184F5" w14:textId="77777777" w:rsidR="00FE736A" w:rsidRPr="00BA00EE" w:rsidRDefault="00FE736A" w:rsidP="00FE736A">
            <w:pPr>
              <w:jc w:val="center"/>
              <w:rPr>
                <w:rFonts w:ascii="Arial Narrow" w:hAnsi="Arial Narrow"/>
                <w:color w:val="000000"/>
              </w:rPr>
            </w:pPr>
            <w:r w:rsidRPr="00BA00EE">
              <w:rPr>
                <w:rFonts w:ascii="Arial Narrow" w:hAnsi="Arial Narrow"/>
                <w:color w:val="000000"/>
              </w:rPr>
              <w:t>PRECIO</w:t>
            </w:r>
          </w:p>
        </w:tc>
      </w:tr>
      <w:tr w:rsidR="00FE736A" w:rsidRPr="00BA00EE" w14:paraId="7F118504" w14:textId="77777777" w:rsidTr="00BA00EE">
        <w:trPr>
          <w:trHeight w:val="315"/>
        </w:trPr>
        <w:tc>
          <w:tcPr>
            <w:tcW w:w="290" w:type="pct"/>
            <w:tcBorders>
              <w:top w:val="nil"/>
              <w:left w:val="single" w:sz="12" w:space="0" w:color="auto"/>
              <w:bottom w:val="single" w:sz="12" w:space="0" w:color="auto"/>
              <w:right w:val="single" w:sz="12" w:space="0" w:color="auto"/>
            </w:tcBorders>
            <w:shd w:val="clear" w:color="auto" w:fill="auto"/>
            <w:vAlign w:val="center"/>
            <w:hideMark/>
          </w:tcPr>
          <w:p w14:paraId="7F1184F7" w14:textId="6CE92B7D"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1</w:t>
            </w:r>
            <w:r w:rsidRPr="00BA00EE">
              <w:rPr>
                <w:rFonts w:ascii="Arial Narrow" w:hAnsi="Arial Narrow"/>
                <w:color w:val="000000"/>
              </w:rPr>
              <w:t>)</w:t>
            </w:r>
          </w:p>
        </w:tc>
        <w:tc>
          <w:tcPr>
            <w:tcW w:w="514" w:type="pct"/>
            <w:tcBorders>
              <w:top w:val="nil"/>
              <w:left w:val="nil"/>
              <w:bottom w:val="single" w:sz="12" w:space="0" w:color="auto"/>
              <w:right w:val="single" w:sz="12" w:space="0" w:color="000000"/>
            </w:tcBorders>
            <w:shd w:val="clear" w:color="auto" w:fill="auto"/>
            <w:vAlign w:val="center"/>
            <w:hideMark/>
          </w:tcPr>
          <w:p w14:paraId="7F1184F8" w14:textId="5FE6DB36"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2</w:t>
            </w:r>
            <w:r w:rsidRPr="00BA00EE">
              <w:rPr>
                <w:rFonts w:ascii="Arial Narrow" w:hAnsi="Arial Narrow"/>
                <w:color w:val="000000"/>
              </w:rPr>
              <w:t>)</w:t>
            </w:r>
          </w:p>
        </w:tc>
        <w:tc>
          <w:tcPr>
            <w:tcW w:w="475" w:type="pct"/>
            <w:tcBorders>
              <w:top w:val="nil"/>
              <w:left w:val="nil"/>
              <w:bottom w:val="single" w:sz="12" w:space="0" w:color="auto"/>
              <w:right w:val="single" w:sz="12" w:space="0" w:color="000000"/>
            </w:tcBorders>
            <w:shd w:val="clear" w:color="auto" w:fill="auto"/>
            <w:vAlign w:val="center"/>
            <w:hideMark/>
          </w:tcPr>
          <w:p w14:paraId="7F1184F9" w14:textId="50154515"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3</w:t>
            </w:r>
            <w:r w:rsidRPr="00BA00EE">
              <w:rPr>
                <w:rFonts w:ascii="Arial Narrow" w:hAnsi="Arial Narrow"/>
                <w:color w:val="000000"/>
              </w:rPr>
              <w:t>)</w:t>
            </w:r>
          </w:p>
        </w:tc>
        <w:tc>
          <w:tcPr>
            <w:tcW w:w="408" w:type="pct"/>
            <w:tcBorders>
              <w:top w:val="nil"/>
              <w:left w:val="nil"/>
              <w:bottom w:val="single" w:sz="12" w:space="0" w:color="auto"/>
              <w:right w:val="single" w:sz="12" w:space="0" w:color="000000"/>
            </w:tcBorders>
            <w:shd w:val="clear" w:color="auto" w:fill="auto"/>
            <w:vAlign w:val="center"/>
            <w:hideMark/>
          </w:tcPr>
          <w:p w14:paraId="7F1184FA" w14:textId="0C785EC3"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4</w:t>
            </w:r>
            <w:r w:rsidRPr="00BA00EE">
              <w:rPr>
                <w:rFonts w:ascii="Arial Narrow" w:hAnsi="Arial Narrow"/>
                <w:color w:val="000000"/>
              </w:rPr>
              <w:t>)</w:t>
            </w:r>
          </w:p>
        </w:tc>
        <w:tc>
          <w:tcPr>
            <w:tcW w:w="290" w:type="pct"/>
            <w:tcBorders>
              <w:top w:val="nil"/>
              <w:left w:val="nil"/>
              <w:bottom w:val="single" w:sz="12" w:space="0" w:color="auto"/>
              <w:right w:val="single" w:sz="12" w:space="0" w:color="000000"/>
            </w:tcBorders>
            <w:shd w:val="clear" w:color="auto" w:fill="auto"/>
            <w:vAlign w:val="center"/>
            <w:hideMark/>
          </w:tcPr>
          <w:p w14:paraId="7F1184FB" w14:textId="5F8CA8CB"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5</w:t>
            </w:r>
            <w:r w:rsidRPr="00BA00EE">
              <w:rPr>
                <w:rFonts w:ascii="Arial Narrow" w:hAnsi="Arial Narrow"/>
                <w:color w:val="000000"/>
              </w:rPr>
              <w:t>)</w:t>
            </w:r>
          </w:p>
        </w:tc>
        <w:tc>
          <w:tcPr>
            <w:tcW w:w="290" w:type="pct"/>
            <w:tcBorders>
              <w:top w:val="nil"/>
              <w:left w:val="nil"/>
              <w:bottom w:val="single" w:sz="12" w:space="0" w:color="auto"/>
              <w:right w:val="single" w:sz="12" w:space="0" w:color="000000"/>
            </w:tcBorders>
            <w:shd w:val="clear" w:color="auto" w:fill="auto"/>
            <w:vAlign w:val="center"/>
            <w:hideMark/>
          </w:tcPr>
          <w:p w14:paraId="7F1184FC" w14:textId="1D004838"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6</w:t>
            </w:r>
            <w:r w:rsidRPr="00BA00EE">
              <w:rPr>
                <w:rFonts w:ascii="Arial Narrow" w:hAnsi="Arial Narrow"/>
                <w:color w:val="000000"/>
              </w:rPr>
              <w:t>)</w:t>
            </w:r>
          </w:p>
        </w:tc>
        <w:tc>
          <w:tcPr>
            <w:tcW w:w="482" w:type="pct"/>
            <w:tcBorders>
              <w:top w:val="nil"/>
              <w:left w:val="nil"/>
              <w:bottom w:val="single" w:sz="12" w:space="0" w:color="auto"/>
              <w:right w:val="single" w:sz="12" w:space="0" w:color="000000"/>
            </w:tcBorders>
            <w:shd w:val="clear" w:color="auto" w:fill="auto"/>
            <w:vAlign w:val="center"/>
            <w:hideMark/>
          </w:tcPr>
          <w:p w14:paraId="7F1184FD" w14:textId="01012A8A"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7</w:t>
            </w:r>
            <w:r w:rsidRPr="00BA00EE">
              <w:rPr>
                <w:rFonts w:ascii="Arial Narrow" w:hAnsi="Arial Narrow"/>
                <w:color w:val="000000"/>
              </w:rPr>
              <w:t>)</w:t>
            </w:r>
          </w:p>
        </w:tc>
        <w:tc>
          <w:tcPr>
            <w:tcW w:w="311" w:type="pct"/>
            <w:tcBorders>
              <w:top w:val="nil"/>
              <w:left w:val="nil"/>
              <w:bottom w:val="single" w:sz="12" w:space="0" w:color="auto"/>
              <w:right w:val="single" w:sz="12" w:space="0" w:color="000000"/>
            </w:tcBorders>
            <w:shd w:val="clear" w:color="auto" w:fill="auto"/>
            <w:vAlign w:val="center"/>
            <w:hideMark/>
          </w:tcPr>
          <w:p w14:paraId="7F1184FE" w14:textId="6CAC1BA2"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8</w:t>
            </w:r>
            <w:r w:rsidRPr="00BA00EE">
              <w:rPr>
                <w:rFonts w:ascii="Arial Narrow" w:hAnsi="Arial Narrow"/>
                <w:color w:val="000000"/>
              </w:rPr>
              <w:t>)</w:t>
            </w:r>
          </w:p>
        </w:tc>
        <w:tc>
          <w:tcPr>
            <w:tcW w:w="253" w:type="pct"/>
            <w:tcBorders>
              <w:top w:val="nil"/>
              <w:left w:val="nil"/>
              <w:bottom w:val="single" w:sz="12" w:space="0" w:color="auto"/>
              <w:right w:val="nil"/>
            </w:tcBorders>
            <w:shd w:val="clear" w:color="auto" w:fill="auto"/>
            <w:vAlign w:val="center"/>
            <w:hideMark/>
          </w:tcPr>
          <w:p w14:paraId="7F1184FF" w14:textId="1F4D1A07"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9</w:t>
            </w:r>
            <w:r w:rsidRPr="00BA00EE">
              <w:rPr>
                <w:rFonts w:ascii="Arial Narrow" w:hAnsi="Arial Narrow"/>
                <w:color w:val="000000"/>
              </w:rPr>
              <w:t>)</w:t>
            </w:r>
          </w:p>
        </w:tc>
        <w:tc>
          <w:tcPr>
            <w:tcW w:w="421" w:type="pct"/>
            <w:gridSpan w:val="2"/>
            <w:tcBorders>
              <w:top w:val="nil"/>
              <w:left w:val="single" w:sz="12" w:space="0" w:color="auto"/>
              <w:bottom w:val="single" w:sz="12" w:space="0" w:color="auto"/>
              <w:right w:val="single" w:sz="12" w:space="0" w:color="000000"/>
            </w:tcBorders>
            <w:shd w:val="clear" w:color="auto" w:fill="auto"/>
            <w:vAlign w:val="center"/>
            <w:hideMark/>
          </w:tcPr>
          <w:p w14:paraId="7F118500" w14:textId="78CF36E8"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10</w:t>
            </w:r>
            <w:r w:rsidRPr="00BA00EE">
              <w:rPr>
                <w:rFonts w:ascii="Arial Narrow" w:hAnsi="Arial Narrow"/>
                <w:color w:val="000000"/>
              </w:rPr>
              <w:t>)</w:t>
            </w:r>
          </w:p>
        </w:tc>
        <w:tc>
          <w:tcPr>
            <w:tcW w:w="688" w:type="pct"/>
            <w:gridSpan w:val="4"/>
            <w:tcBorders>
              <w:top w:val="nil"/>
              <w:left w:val="nil"/>
              <w:bottom w:val="single" w:sz="12" w:space="0" w:color="auto"/>
              <w:right w:val="single" w:sz="12" w:space="0" w:color="000000"/>
            </w:tcBorders>
            <w:shd w:val="clear" w:color="auto" w:fill="auto"/>
            <w:vAlign w:val="center"/>
            <w:hideMark/>
          </w:tcPr>
          <w:p w14:paraId="7F118501" w14:textId="45936E62"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11</w:t>
            </w:r>
            <w:r w:rsidRPr="00BA00EE">
              <w:rPr>
                <w:rFonts w:ascii="Arial Narrow" w:hAnsi="Arial Narrow"/>
                <w:color w:val="000000"/>
              </w:rPr>
              <w:t>)</w:t>
            </w:r>
          </w:p>
        </w:tc>
        <w:tc>
          <w:tcPr>
            <w:tcW w:w="285" w:type="pct"/>
            <w:tcBorders>
              <w:top w:val="nil"/>
              <w:left w:val="nil"/>
              <w:bottom w:val="single" w:sz="12" w:space="0" w:color="auto"/>
              <w:right w:val="single" w:sz="12" w:space="0" w:color="000000"/>
            </w:tcBorders>
            <w:shd w:val="clear" w:color="auto" w:fill="auto"/>
            <w:vAlign w:val="center"/>
            <w:hideMark/>
          </w:tcPr>
          <w:p w14:paraId="7F118502" w14:textId="3B80D8B2"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12</w:t>
            </w:r>
            <w:r w:rsidRPr="00BA00EE">
              <w:rPr>
                <w:rFonts w:ascii="Arial Narrow" w:hAnsi="Arial Narrow"/>
                <w:color w:val="000000"/>
              </w:rPr>
              <w:t>)</w:t>
            </w:r>
          </w:p>
        </w:tc>
        <w:tc>
          <w:tcPr>
            <w:tcW w:w="294" w:type="pct"/>
            <w:tcBorders>
              <w:top w:val="nil"/>
              <w:left w:val="nil"/>
              <w:bottom w:val="single" w:sz="12" w:space="0" w:color="auto"/>
              <w:right w:val="single" w:sz="12" w:space="0" w:color="auto"/>
            </w:tcBorders>
            <w:shd w:val="clear" w:color="auto" w:fill="auto"/>
            <w:vAlign w:val="center"/>
            <w:hideMark/>
          </w:tcPr>
          <w:p w14:paraId="7F118503" w14:textId="647FC393" w:rsidR="00FE736A" w:rsidRPr="00BA00EE" w:rsidRDefault="005F1025" w:rsidP="00FE736A">
            <w:pPr>
              <w:jc w:val="center"/>
              <w:rPr>
                <w:rFonts w:ascii="Arial Narrow" w:hAnsi="Arial Narrow"/>
                <w:color w:val="000000"/>
              </w:rPr>
            </w:pPr>
            <w:r w:rsidRPr="00BA00EE">
              <w:rPr>
                <w:rFonts w:ascii="Arial Narrow" w:hAnsi="Arial Narrow"/>
                <w:color w:val="000000"/>
              </w:rPr>
              <w:t>(</w:t>
            </w:r>
            <w:r w:rsidR="00FE736A" w:rsidRPr="00BA00EE">
              <w:rPr>
                <w:rFonts w:ascii="Arial Narrow" w:hAnsi="Arial Narrow"/>
                <w:color w:val="000000"/>
              </w:rPr>
              <w:t>13</w:t>
            </w:r>
            <w:r w:rsidRPr="00BA00EE">
              <w:rPr>
                <w:rFonts w:ascii="Arial Narrow" w:hAnsi="Arial Narrow"/>
                <w:color w:val="000000"/>
              </w:rPr>
              <w:t>)</w:t>
            </w:r>
          </w:p>
        </w:tc>
      </w:tr>
      <w:tr w:rsidR="00FE736A" w:rsidRPr="00BA00EE" w14:paraId="7F118516" w14:textId="77777777" w:rsidTr="00BA00EE">
        <w:trPr>
          <w:trHeight w:val="315"/>
        </w:trPr>
        <w:tc>
          <w:tcPr>
            <w:tcW w:w="290" w:type="pct"/>
            <w:tcBorders>
              <w:top w:val="nil"/>
              <w:left w:val="single" w:sz="12" w:space="0" w:color="auto"/>
              <w:bottom w:val="nil"/>
              <w:right w:val="single" w:sz="12" w:space="0" w:color="auto"/>
            </w:tcBorders>
            <w:shd w:val="clear" w:color="auto" w:fill="auto"/>
            <w:vAlign w:val="center"/>
            <w:hideMark/>
          </w:tcPr>
          <w:p w14:paraId="7F11850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06"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0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08"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0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0A"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0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0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0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0E"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0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10"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11"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12"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1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14"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1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528" w14:textId="77777777" w:rsidTr="00BA00EE">
        <w:trPr>
          <w:trHeight w:val="300"/>
        </w:trPr>
        <w:tc>
          <w:tcPr>
            <w:tcW w:w="290" w:type="pct"/>
            <w:tcBorders>
              <w:top w:val="nil"/>
              <w:left w:val="single" w:sz="12" w:space="0" w:color="auto"/>
              <w:bottom w:val="nil"/>
              <w:right w:val="single" w:sz="12" w:space="0" w:color="000000"/>
            </w:tcBorders>
            <w:shd w:val="clear" w:color="auto" w:fill="auto"/>
            <w:vAlign w:val="center"/>
            <w:hideMark/>
          </w:tcPr>
          <w:p w14:paraId="7F11851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18"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1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1A"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1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1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1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1E"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1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20"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2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22"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23"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24"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2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26"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2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53A" w14:textId="77777777" w:rsidTr="00BA00EE">
        <w:trPr>
          <w:trHeight w:val="300"/>
        </w:trPr>
        <w:tc>
          <w:tcPr>
            <w:tcW w:w="290" w:type="pct"/>
            <w:tcBorders>
              <w:top w:val="nil"/>
              <w:left w:val="single" w:sz="12" w:space="0" w:color="auto"/>
              <w:bottom w:val="nil"/>
              <w:right w:val="single" w:sz="12" w:space="0" w:color="000000"/>
            </w:tcBorders>
            <w:shd w:val="clear" w:color="auto" w:fill="auto"/>
            <w:vAlign w:val="center"/>
            <w:hideMark/>
          </w:tcPr>
          <w:p w14:paraId="7F11852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2A"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2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2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2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2E"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2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30"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3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32"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3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34"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35"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36"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3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38"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3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582" w14:textId="77777777" w:rsidTr="00BA00EE">
        <w:trPr>
          <w:trHeight w:val="300"/>
        </w:trPr>
        <w:tc>
          <w:tcPr>
            <w:tcW w:w="290" w:type="pct"/>
            <w:tcBorders>
              <w:top w:val="nil"/>
              <w:left w:val="single" w:sz="12" w:space="0" w:color="auto"/>
              <w:bottom w:val="nil"/>
              <w:right w:val="single" w:sz="12" w:space="0" w:color="000000"/>
            </w:tcBorders>
            <w:shd w:val="clear" w:color="auto" w:fill="auto"/>
            <w:vAlign w:val="center"/>
            <w:hideMark/>
          </w:tcPr>
          <w:p w14:paraId="7F11857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72"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7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74"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7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76"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7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78"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7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7A"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7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7C"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7D"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7E"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7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80"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8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5DC" w14:textId="77777777" w:rsidTr="00BA00EE">
        <w:trPr>
          <w:trHeight w:val="300"/>
        </w:trPr>
        <w:tc>
          <w:tcPr>
            <w:tcW w:w="290" w:type="pct"/>
            <w:tcBorders>
              <w:top w:val="nil"/>
              <w:left w:val="single" w:sz="12" w:space="0" w:color="auto"/>
              <w:bottom w:val="nil"/>
              <w:right w:val="single" w:sz="12" w:space="0" w:color="000000"/>
            </w:tcBorders>
            <w:shd w:val="clear" w:color="auto" w:fill="auto"/>
            <w:vAlign w:val="center"/>
            <w:hideMark/>
          </w:tcPr>
          <w:p w14:paraId="7F1185C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C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C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CE"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C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D0"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D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D2"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D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D4"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D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D6"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D7"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D8"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D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DA"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D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5EE" w14:textId="77777777" w:rsidTr="00BA00EE">
        <w:trPr>
          <w:trHeight w:val="300"/>
        </w:trPr>
        <w:tc>
          <w:tcPr>
            <w:tcW w:w="290" w:type="pct"/>
            <w:tcBorders>
              <w:top w:val="nil"/>
              <w:left w:val="single" w:sz="12" w:space="0" w:color="auto"/>
              <w:bottom w:val="nil"/>
              <w:right w:val="single" w:sz="12" w:space="0" w:color="000000"/>
            </w:tcBorders>
            <w:shd w:val="clear" w:color="auto" w:fill="auto"/>
            <w:vAlign w:val="center"/>
            <w:hideMark/>
          </w:tcPr>
          <w:p w14:paraId="7F1185D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nil"/>
              <w:right w:val="single" w:sz="12" w:space="0" w:color="000000"/>
            </w:tcBorders>
            <w:shd w:val="clear" w:color="auto" w:fill="auto"/>
            <w:vAlign w:val="center"/>
            <w:hideMark/>
          </w:tcPr>
          <w:p w14:paraId="7F1185DE"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nil"/>
              <w:right w:val="single" w:sz="12" w:space="0" w:color="000000"/>
            </w:tcBorders>
            <w:shd w:val="clear" w:color="auto" w:fill="auto"/>
            <w:vAlign w:val="center"/>
            <w:hideMark/>
          </w:tcPr>
          <w:p w14:paraId="7F1185D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nil"/>
              <w:right w:val="single" w:sz="12" w:space="0" w:color="000000"/>
            </w:tcBorders>
            <w:shd w:val="clear" w:color="auto" w:fill="auto"/>
            <w:vAlign w:val="center"/>
            <w:hideMark/>
          </w:tcPr>
          <w:p w14:paraId="7F1185E0"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E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nil"/>
              <w:right w:val="single" w:sz="12" w:space="0" w:color="000000"/>
            </w:tcBorders>
            <w:shd w:val="clear" w:color="auto" w:fill="auto"/>
            <w:vAlign w:val="center"/>
            <w:hideMark/>
          </w:tcPr>
          <w:p w14:paraId="7F1185E2"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nil"/>
              <w:right w:val="single" w:sz="12" w:space="0" w:color="000000"/>
            </w:tcBorders>
            <w:shd w:val="clear" w:color="auto" w:fill="auto"/>
            <w:vAlign w:val="center"/>
            <w:hideMark/>
          </w:tcPr>
          <w:p w14:paraId="7F1185E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nil"/>
              <w:right w:val="single" w:sz="12" w:space="0" w:color="000000"/>
            </w:tcBorders>
            <w:shd w:val="clear" w:color="auto" w:fill="auto"/>
            <w:vAlign w:val="center"/>
            <w:hideMark/>
          </w:tcPr>
          <w:p w14:paraId="7F1185E4"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nil"/>
              <w:right w:val="single" w:sz="12" w:space="0" w:color="000000"/>
            </w:tcBorders>
            <w:shd w:val="clear" w:color="auto" w:fill="auto"/>
            <w:vAlign w:val="center"/>
            <w:hideMark/>
          </w:tcPr>
          <w:p w14:paraId="7F1185E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nil"/>
              <w:right w:val="nil"/>
            </w:tcBorders>
            <w:shd w:val="clear" w:color="auto" w:fill="auto"/>
            <w:vAlign w:val="center"/>
            <w:hideMark/>
          </w:tcPr>
          <w:p w14:paraId="7F1185E6" w14:textId="77777777" w:rsidR="00FE736A" w:rsidRPr="00BA00EE" w:rsidRDefault="00FE736A" w:rsidP="00FE736A">
            <w:pPr>
              <w:jc w:val="right"/>
              <w:rPr>
                <w:rFonts w:ascii="Arial Narrow" w:hAnsi="Arial Narrow"/>
                <w:color w:val="000000"/>
              </w:rPr>
            </w:pPr>
          </w:p>
        </w:tc>
        <w:tc>
          <w:tcPr>
            <w:tcW w:w="218" w:type="pct"/>
            <w:tcBorders>
              <w:top w:val="nil"/>
              <w:left w:val="nil"/>
              <w:bottom w:val="nil"/>
              <w:right w:val="single" w:sz="12" w:space="0" w:color="000000"/>
            </w:tcBorders>
            <w:shd w:val="clear" w:color="auto" w:fill="auto"/>
            <w:vAlign w:val="center"/>
            <w:hideMark/>
          </w:tcPr>
          <w:p w14:paraId="7F1185E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nil"/>
              <w:right w:val="nil"/>
            </w:tcBorders>
            <w:shd w:val="clear" w:color="auto" w:fill="auto"/>
            <w:vAlign w:val="center"/>
            <w:hideMark/>
          </w:tcPr>
          <w:p w14:paraId="7F1185E8"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E9" w14:textId="77777777" w:rsidR="00FE736A" w:rsidRPr="00BA00EE" w:rsidRDefault="00FE736A" w:rsidP="00FE736A">
            <w:pPr>
              <w:jc w:val="right"/>
              <w:rPr>
                <w:rFonts w:ascii="Arial Narrow" w:hAnsi="Arial Narrow"/>
                <w:color w:val="000000"/>
              </w:rPr>
            </w:pPr>
          </w:p>
        </w:tc>
        <w:tc>
          <w:tcPr>
            <w:tcW w:w="158" w:type="pct"/>
            <w:tcBorders>
              <w:top w:val="nil"/>
              <w:left w:val="nil"/>
              <w:bottom w:val="nil"/>
              <w:right w:val="nil"/>
            </w:tcBorders>
            <w:shd w:val="clear" w:color="auto" w:fill="auto"/>
            <w:vAlign w:val="center"/>
            <w:hideMark/>
          </w:tcPr>
          <w:p w14:paraId="7F1185EA" w14:textId="77777777" w:rsidR="00FE736A" w:rsidRPr="00BA00EE" w:rsidRDefault="00FE736A" w:rsidP="00FE736A">
            <w:pPr>
              <w:jc w:val="right"/>
              <w:rPr>
                <w:rFonts w:ascii="Arial Narrow" w:hAnsi="Arial Narrow"/>
                <w:color w:val="000000"/>
              </w:rPr>
            </w:pPr>
          </w:p>
        </w:tc>
        <w:tc>
          <w:tcPr>
            <w:tcW w:w="213" w:type="pct"/>
            <w:tcBorders>
              <w:top w:val="nil"/>
              <w:left w:val="nil"/>
              <w:bottom w:val="nil"/>
              <w:right w:val="single" w:sz="12" w:space="0" w:color="000000"/>
            </w:tcBorders>
            <w:shd w:val="clear" w:color="auto" w:fill="auto"/>
            <w:vAlign w:val="center"/>
            <w:hideMark/>
          </w:tcPr>
          <w:p w14:paraId="7F1185E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nil"/>
              <w:right w:val="single" w:sz="12" w:space="0" w:color="000000"/>
            </w:tcBorders>
            <w:shd w:val="clear" w:color="auto" w:fill="auto"/>
            <w:vAlign w:val="center"/>
            <w:hideMark/>
          </w:tcPr>
          <w:p w14:paraId="7F1185E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nil"/>
              <w:right w:val="single" w:sz="12" w:space="0" w:color="auto"/>
            </w:tcBorders>
            <w:shd w:val="clear" w:color="auto" w:fill="auto"/>
            <w:vAlign w:val="center"/>
            <w:hideMark/>
          </w:tcPr>
          <w:p w14:paraId="7F1185E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r w:rsidR="00FE736A" w:rsidRPr="00BA00EE" w14:paraId="7F118600" w14:textId="77777777" w:rsidTr="00BA00EE">
        <w:trPr>
          <w:trHeight w:val="315"/>
        </w:trPr>
        <w:tc>
          <w:tcPr>
            <w:tcW w:w="290" w:type="pct"/>
            <w:tcBorders>
              <w:top w:val="nil"/>
              <w:left w:val="single" w:sz="12" w:space="0" w:color="auto"/>
              <w:bottom w:val="single" w:sz="12" w:space="0" w:color="auto"/>
              <w:right w:val="single" w:sz="12" w:space="0" w:color="000000"/>
            </w:tcBorders>
            <w:shd w:val="clear" w:color="auto" w:fill="auto"/>
            <w:vAlign w:val="center"/>
            <w:hideMark/>
          </w:tcPr>
          <w:p w14:paraId="7F1185E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514" w:type="pct"/>
            <w:tcBorders>
              <w:top w:val="nil"/>
              <w:left w:val="nil"/>
              <w:bottom w:val="single" w:sz="12" w:space="0" w:color="auto"/>
              <w:right w:val="single" w:sz="12" w:space="0" w:color="000000"/>
            </w:tcBorders>
            <w:shd w:val="clear" w:color="auto" w:fill="auto"/>
            <w:vAlign w:val="center"/>
            <w:hideMark/>
          </w:tcPr>
          <w:p w14:paraId="7F1185F0"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75" w:type="pct"/>
            <w:tcBorders>
              <w:top w:val="nil"/>
              <w:left w:val="nil"/>
              <w:bottom w:val="single" w:sz="12" w:space="0" w:color="auto"/>
              <w:right w:val="single" w:sz="12" w:space="0" w:color="000000"/>
            </w:tcBorders>
            <w:shd w:val="clear" w:color="auto" w:fill="auto"/>
            <w:vAlign w:val="center"/>
            <w:hideMark/>
          </w:tcPr>
          <w:p w14:paraId="7F1185F1"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08" w:type="pct"/>
            <w:tcBorders>
              <w:top w:val="nil"/>
              <w:left w:val="nil"/>
              <w:bottom w:val="single" w:sz="12" w:space="0" w:color="auto"/>
              <w:right w:val="single" w:sz="12" w:space="0" w:color="000000"/>
            </w:tcBorders>
            <w:shd w:val="clear" w:color="auto" w:fill="auto"/>
            <w:vAlign w:val="center"/>
            <w:hideMark/>
          </w:tcPr>
          <w:p w14:paraId="7F1185F2"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single" w:sz="12" w:space="0" w:color="auto"/>
              <w:right w:val="single" w:sz="12" w:space="0" w:color="000000"/>
            </w:tcBorders>
            <w:shd w:val="clear" w:color="auto" w:fill="auto"/>
            <w:vAlign w:val="center"/>
            <w:hideMark/>
          </w:tcPr>
          <w:p w14:paraId="7F1185F3"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0" w:type="pct"/>
            <w:tcBorders>
              <w:top w:val="nil"/>
              <w:left w:val="nil"/>
              <w:bottom w:val="single" w:sz="12" w:space="0" w:color="auto"/>
              <w:right w:val="single" w:sz="12" w:space="0" w:color="000000"/>
            </w:tcBorders>
            <w:shd w:val="clear" w:color="auto" w:fill="auto"/>
            <w:vAlign w:val="center"/>
            <w:hideMark/>
          </w:tcPr>
          <w:p w14:paraId="7F1185F4"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482" w:type="pct"/>
            <w:tcBorders>
              <w:top w:val="nil"/>
              <w:left w:val="nil"/>
              <w:bottom w:val="single" w:sz="12" w:space="0" w:color="auto"/>
              <w:right w:val="single" w:sz="12" w:space="0" w:color="000000"/>
            </w:tcBorders>
            <w:shd w:val="clear" w:color="auto" w:fill="auto"/>
            <w:vAlign w:val="center"/>
            <w:hideMark/>
          </w:tcPr>
          <w:p w14:paraId="7F1185F5"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311" w:type="pct"/>
            <w:tcBorders>
              <w:top w:val="nil"/>
              <w:left w:val="nil"/>
              <w:bottom w:val="single" w:sz="12" w:space="0" w:color="auto"/>
              <w:right w:val="single" w:sz="12" w:space="0" w:color="000000"/>
            </w:tcBorders>
            <w:shd w:val="clear" w:color="auto" w:fill="auto"/>
            <w:vAlign w:val="center"/>
            <w:hideMark/>
          </w:tcPr>
          <w:p w14:paraId="7F1185F6"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53" w:type="pct"/>
            <w:tcBorders>
              <w:top w:val="nil"/>
              <w:left w:val="nil"/>
              <w:bottom w:val="single" w:sz="12" w:space="0" w:color="auto"/>
              <w:right w:val="single" w:sz="12" w:space="0" w:color="000000"/>
            </w:tcBorders>
            <w:shd w:val="clear" w:color="auto" w:fill="auto"/>
            <w:vAlign w:val="center"/>
            <w:hideMark/>
          </w:tcPr>
          <w:p w14:paraId="7F1185F7"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03" w:type="pct"/>
            <w:tcBorders>
              <w:top w:val="nil"/>
              <w:left w:val="nil"/>
              <w:bottom w:val="single" w:sz="12" w:space="0" w:color="auto"/>
              <w:right w:val="nil"/>
            </w:tcBorders>
            <w:shd w:val="clear" w:color="auto" w:fill="auto"/>
            <w:vAlign w:val="center"/>
            <w:hideMark/>
          </w:tcPr>
          <w:p w14:paraId="7F1185F8"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18" w:type="pct"/>
            <w:tcBorders>
              <w:top w:val="nil"/>
              <w:left w:val="nil"/>
              <w:bottom w:val="single" w:sz="12" w:space="0" w:color="auto"/>
              <w:right w:val="single" w:sz="12" w:space="0" w:color="000000"/>
            </w:tcBorders>
            <w:shd w:val="clear" w:color="auto" w:fill="auto"/>
            <w:vAlign w:val="center"/>
            <w:hideMark/>
          </w:tcPr>
          <w:p w14:paraId="7F1185F9"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9" w:type="pct"/>
            <w:tcBorders>
              <w:top w:val="nil"/>
              <w:left w:val="nil"/>
              <w:bottom w:val="single" w:sz="12" w:space="0" w:color="auto"/>
              <w:right w:val="nil"/>
            </w:tcBorders>
            <w:shd w:val="clear" w:color="auto" w:fill="auto"/>
            <w:vAlign w:val="center"/>
            <w:hideMark/>
          </w:tcPr>
          <w:p w14:paraId="7F1185FA"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8" w:type="pct"/>
            <w:tcBorders>
              <w:top w:val="nil"/>
              <w:left w:val="nil"/>
              <w:bottom w:val="single" w:sz="12" w:space="0" w:color="auto"/>
              <w:right w:val="nil"/>
            </w:tcBorders>
            <w:shd w:val="clear" w:color="auto" w:fill="auto"/>
            <w:vAlign w:val="center"/>
            <w:hideMark/>
          </w:tcPr>
          <w:p w14:paraId="7F1185FB"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158" w:type="pct"/>
            <w:tcBorders>
              <w:top w:val="nil"/>
              <w:left w:val="nil"/>
              <w:bottom w:val="single" w:sz="12" w:space="0" w:color="auto"/>
              <w:right w:val="nil"/>
            </w:tcBorders>
            <w:shd w:val="clear" w:color="auto" w:fill="auto"/>
            <w:vAlign w:val="center"/>
            <w:hideMark/>
          </w:tcPr>
          <w:p w14:paraId="7F1185FC"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13" w:type="pct"/>
            <w:tcBorders>
              <w:top w:val="nil"/>
              <w:left w:val="nil"/>
              <w:bottom w:val="single" w:sz="12" w:space="0" w:color="auto"/>
              <w:right w:val="single" w:sz="12" w:space="0" w:color="000000"/>
            </w:tcBorders>
            <w:shd w:val="clear" w:color="auto" w:fill="auto"/>
            <w:vAlign w:val="center"/>
            <w:hideMark/>
          </w:tcPr>
          <w:p w14:paraId="7F1185FD"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85" w:type="pct"/>
            <w:tcBorders>
              <w:top w:val="nil"/>
              <w:left w:val="nil"/>
              <w:bottom w:val="single" w:sz="12" w:space="0" w:color="auto"/>
              <w:right w:val="single" w:sz="12" w:space="0" w:color="000000"/>
            </w:tcBorders>
            <w:shd w:val="clear" w:color="auto" w:fill="auto"/>
            <w:vAlign w:val="center"/>
            <w:hideMark/>
          </w:tcPr>
          <w:p w14:paraId="7F1185FE"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c>
          <w:tcPr>
            <w:tcW w:w="294" w:type="pct"/>
            <w:tcBorders>
              <w:top w:val="nil"/>
              <w:left w:val="nil"/>
              <w:bottom w:val="single" w:sz="12" w:space="0" w:color="auto"/>
              <w:right w:val="single" w:sz="12" w:space="0" w:color="auto"/>
            </w:tcBorders>
            <w:shd w:val="clear" w:color="auto" w:fill="auto"/>
            <w:vAlign w:val="center"/>
            <w:hideMark/>
          </w:tcPr>
          <w:p w14:paraId="7F1185FF" w14:textId="77777777" w:rsidR="00FE736A" w:rsidRPr="00BA00EE" w:rsidRDefault="00FE736A" w:rsidP="00FE736A">
            <w:pPr>
              <w:jc w:val="right"/>
              <w:rPr>
                <w:rFonts w:ascii="Arial Narrow" w:hAnsi="Arial Narrow"/>
                <w:color w:val="000000"/>
              </w:rPr>
            </w:pPr>
            <w:r w:rsidRPr="00BA00EE">
              <w:rPr>
                <w:rFonts w:ascii="Arial Narrow" w:hAnsi="Arial Narrow"/>
                <w:color w:val="000000"/>
              </w:rPr>
              <w:t> </w:t>
            </w:r>
          </w:p>
        </w:tc>
      </w:tr>
    </w:tbl>
    <w:p w14:paraId="6DE73F5A" w14:textId="368A3AEC" w:rsidR="00E779B1" w:rsidRDefault="00E779B1" w:rsidP="00002614">
      <w:pPr>
        <w:rPr>
          <w:rFonts w:ascii="Arial Narrow" w:hAnsi="Arial Narrow"/>
          <w:sz w:val="22"/>
          <w:szCs w:val="24"/>
        </w:rPr>
      </w:pPr>
    </w:p>
    <w:p w14:paraId="7F118605" w14:textId="77777777" w:rsidR="00002614" w:rsidRPr="00BA00EE" w:rsidRDefault="00002614" w:rsidP="00002614">
      <w:pPr>
        <w:rPr>
          <w:rFonts w:ascii="Arial Narrow" w:hAnsi="Arial Narrow"/>
        </w:rPr>
      </w:pPr>
      <w:r w:rsidRPr="00BA00EE">
        <w:rPr>
          <w:rFonts w:ascii="Arial Narrow" w:hAnsi="Arial Narrow"/>
        </w:rPr>
        <w:t>INSTRUCCIONES</w:t>
      </w:r>
      <w:r w:rsidRPr="00BA00EE">
        <w:rPr>
          <w:rFonts w:ascii="Arial Narrow" w:hAnsi="Arial Narrow"/>
        </w:rPr>
        <w:tab/>
      </w:r>
      <w:r w:rsidRPr="00BA00EE">
        <w:rPr>
          <w:rFonts w:ascii="Arial Narrow" w:hAnsi="Arial Narrow"/>
        </w:rPr>
        <w:tab/>
      </w:r>
      <w:r w:rsidRPr="00BA00EE">
        <w:rPr>
          <w:rFonts w:ascii="Arial Narrow" w:hAnsi="Arial Narrow"/>
        </w:rPr>
        <w:tab/>
      </w:r>
    </w:p>
    <w:p w14:paraId="7F118606"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Fecha de la transacción</w:t>
      </w:r>
      <w:r w:rsidRPr="00BA00EE">
        <w:rPr>
          <w:rFonts w:ascii="Arial Narrow" w:hAnsi="Arial Narrow"/>
          <w:bCs/>
          <w:sz w:val="20"/>
        </w:rPr>
        <w:tab/>
      </w:r>
      <w:r w:rsidRPr="00BA00EE">
        <w:rPr>
          <w:rFonts w:ascii="Arial Narrow" w:hAnsi="Arial Narrow"/>
          <w:bCs/>
          <w:sz w:val="20"/>
        </w:rPr>
        <w:tab/>
      </w:r>
    </w:p>
    <w:p w14:paraId="7F118607"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 xml:space="preserve">Descripción de la transacción, identificando las referencias del </w:t>
      </w:r>
      <w:proofErr w:type="spellStart"/>
      <w:r w:rsidRPr="00BA00EE">
        <w:rPr>
          <w:rFonts w:ascii="Arial Narrow" w:hAnsi="Arial Narrow"/>
          <w:bCs/>
          <w:sz w:val="20"/>
        </w:rPr>
        <w:t>ex-deudor</w:t>
      </w:r>
      <w:proofErr w:type="spellEnd"/>
    </w:p>
    <w:p w14:paraId="7F118608"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Número y fecha del acuerdo de J.D. o Comité que aprobó la adquisición, venta, conservación o retiro por destrucción</w:t>
      </w:r>
    </w:p>
    <w:p w14:paraId="7F118609"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Los datos suficientes para ubicarlo</w:t>
      </w:r>
      <w:r w:rsidRPr="00BA00EE">
        <w:rPr>
          <w:rFonts w:ascii="Arial Narrow" w:hAnsi="Arial Narrow"/>
          <w:bCs/>
          <w:sz w:val="20"/>
        </w:rPr>
        <w:tab/>
      </w:r>
    </w:p>
    <w:p w14:paraId="7F11860A"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Compra, dación en pago o adjudicación</w:t>
      </w:r>
      <w:r w:rsidRPr="00BA00EE">
        <w:rPr>
          <w:rFonts w:ascii="Arial Narrow" w:hAnsi="Arial Narrow"/>
          <w:bCs/>
          <w:sz w:val="20"/>
        </w:rPr>
        <w:tab/>
      </w:r>
    </w:p>
    <w:p w14:paraId="7F11860B"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Valor de adquisición más adiciones</w:t>
      </w:r>
      <w:r w:rsidRPr="00BA00EE">
        <w:rPr>
          <w:rFonts w:ascii="Arial Narrow" w:hAnsi="Arial Narrow"/>
          <w:bCs/>
          <w:sz w:val="20"/>
        </w:rPr>
        <w:tab/>
      </w:r>
    </w:p>
    <w:p w14:paraId="7F11860C"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La provisión registrada en la cuenta de patrimonio restringido</w:t>
      </w:r>
    </w:p>
    <w:p w14:paraId="7F11860D"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Número y fecha de la</w:t>
      </w:r>
      <w:r w:rsidR="00FD18D9" w:rsidRPr="00BA00EE">
        <w:rPr>
          <w:rFonts w:ascii="Arial Narrow" w:hAnsi="Arial Narrow"/>
          <w:bCs/>
          <w:sz w:val="20"/>
        </w:rPr>
        <w:t xml:space="preserve"> nota que contiene la prórroga, </w:t>
      </w:r>
      <w:r w:rsidRPr="00BA00EE">
        <w:rPr>
          <w:rFonts w:ascii="Arial Narrow" w:hAnsi="Arial Narrow"/>
          <w:bCs/>
          <w:sz w:val="20"/>
        </w:rPr>
        <w:t>si la hay</w:t>
      </w:r>
    </w:p>
    <w:p w14:paraId="7F11860E"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Vencimiento de la prórroga</w:t>
      </w:r>
      <w:r w:rsidRPr="00BA00EE">
        <w:rPr>
          <w:rFonts w:ascii="Arial Narrow" w:hAnsi="Arial Narrow"/>
          <w:bCs/>
          <w:sz w:val="20"/>
        </w:rPr>
        <w:tab/>
      </w:r>
    </w:p>
    <w:p w14:paraId="7F11860F"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Fecha y precio base de la última subasta</w:t>
      </w:r>
      <w:r w:rsidRPr="00BA00EE">
        <w:rPr>
          <w:rFonts w:ascii="Arial Narrow" w:hAnsi="Arial Narrow"/>
          <w:bCs/>
          <w:sz w:val="20"/>
        </w:rPr>
        <w:tab/>
      </w:r>
    </w:p>
    <w:p w14:paraId="7F118610"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proofErr w:type="gramStart"/>
      <w:r w:rsidRPr="00BA00EE">
        <w:rPr>
          <w:rFonts w:ascii="Arial Narrow" w:hAnsi="Arial Narrow"/>
          <w:bCs/>
          <w:sz w:val="20"/>
        </w:rPr>
        <w:t>Acciones tendientes a venderlo</w:t>
      </w:r>
      <w:proofErr w:type="gramEnd"/>
      <w:r w:rsidRPr="00BA00EE">
        <w:rPr>
          <w:rFonts w:ascii="Arial Narrow" w:hAnsi="Arial Narrow"/>
          <w:bCs/>
          <w:sz w:val="20"/>
        </w:rPr>
        <w:tab/>
      </w:r>
      <w:r w:rsidRPr="00BA00EE">
        <w:rPr>
          <w:rFonts w:ascii="Arial Narrow" w:hAnsi="Arial Narrow"/>
          <w:bCs/>
          <w:sz w:val="20"/>
        </w:rPr>
        <w:tab/>
      </w:r>
    </w:p>
    <w:p w14:paraId="7F118611"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Exponer la causa del retiro, la cual puede ser venta, conservación o destrucción</w:t>
      </w:r>
    </w:p>
    <w:p w14:paraId="7F118612" w14:textId="77777777" w:rsidR="00002614" w:rsidRPr="00BA00EE" w:rsidRDefault="00002614" w:rsidP="00002614">
      <w:pPr>
        <w:pStyle w:val="Sangra2detindependiente"/>
        <w:widowControl/>
        <w:numPr>
          <w:ilvl w:val="0"/>
          <w:numId w:val="3"/>
        </w:numPr>
        <w:ind w:left="425" w:hanging="425"/>
        <w:rPr>
          <w:rFonts w:ascii="Arial Narrow" w:hAnsi="Arial Narrow"/>
          <w:bCs/>
          <w:sz w:val="20"/>
        </w:rPr>
      </w:pPr>
      <w:r w:rsidRPr="00BA00EE">
        <w:rPr>
          <w:rFonts w:ascii="Arial Narrow" w:hAnsi="Arial Narrow"/>
          <w:bCs/>
          <w:sz w:val="20"/>
        </w:rPr>
        <w:t>Precio de la venta del activo extraordinario</w:t>
      </w:r>
    </w:p>
    <w:sectPr w:rsidR="00002614" w:rsidRPr="00BA00EE" w:rsidSect="0000261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4EB54" w14:textId="77777777" w:rsidR="00660BF4" w:rsidRDefault="00660BF4" w:rsidP="0087583F">
      <w:r>
        <w:separator/>
      </w:r>
    </w:p>
  </w:endnote>
  <w:endnote w:type="continuationSeparator" w:id="0">
    <w:p w14:paraId="58183D0D" w14:textId="77777777" w:rsidR="00660BF4" w:rsidRDefault="00660BF4" w:rsidP="0087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47" w:type="dxa"/>
      <w:jc w:val="center"/>
      <w:tblBorders>
        <w:top w:val="triple" w:sz="4" w:space="0" w:color="A6A6A6" w:themeColor="background1" w:themeShade="A6"/>
      </w:tblBorders>
      <w:tblLook w:val="04A0" w:firstRow="1" w:lastRow="0" w:firstColumn="1" w:lastColumn="0" w:noHBand="0" w:noVBand="1"/>
    </w:tblPr>
    <w:tblGrid>
      <w:gridCol w:w="6521"/>
      <w:gridCol w:w="2126"/>
    </w:tblGrid>
    <w:tr w:rsidR="00FD1DAB" w:rsidRPr="00FD1DAB" w14:paraId="7F11862F" w14:textId="77777777" w:rsidTr="00444FAA">
      <w:trPr>
        <w:trHeight w:val="822"/>
        <w:jc w:val="center"/>
      </w:trPr>
      <w:tc>
        <w:tcPr>
          <w:tcW w:w="6521" w:type="dxa"/>
          <w:tcBorders>
            <w:top w:val="triple" w:sz="4" w:space="0" w:color="A6A6A6" w:themeColor="background1" w:themeShade="A6"/>
            <w:left w:val="nil"/>
            <w:bottom w:val="nil"/>
            <w:right w:val="nil"/>
          </w:tcBorders>
          <w:vAlign w:val="center"/>
          <w:hideMark/>
        </w:tcPr>
        <w:p w14:paraId="7F11862B" w14:textId="77777777" w:rsidR="0087583F" w:rsidRPr="00FD1DAB" w:rsidRDefault="0087583F" w:rsidP="00444FAA">
          <w:pPr>
            <w:pStyle w:val="Piedepgina"/>
            <w:jc w:val="center"/>
            <w:rPr>
              <w:rFonts w:ascii="Arial Narrow" w:hAnsi="Arial Narrow" w:cs="Arial"/>
              <w:color w:val="808080" w:themeColor="background1" w:themeShade="80"/>
              <w:sz w:val="20"/>
              <w:lang w:val="es-MX"/>
            </w:rPr>
          </w:pPr>
          <w:r w:rsidRPr="00FD1DAB">
            <w:rPr>
              <w:rFonts w:ascii="Arial Narrow" w:hAnsi="Arial Narrow" w:cs="Arial"/>
              <w:color w:val="808080" w:themeColor="background1" w:themeShade="80"/>
              <w:sz w:val="20"/>
              <w:lang w:val="es-MX"/>
            </w:rPr>
            <w:t>Alameda Juan Pablo II, entre 15 y 17 Av. Norte, San Salvador, El Salvador.</w:t>
          </w:r>
        </w:p>
        <w:p w14:paraId="7F11862C" w14:textId="77777777" w:rsidR="0087583F" w:rsidRPr="00FD1DAB" w:rsidRDefault="0087583F" w:rsidP="00444FAA">
          <w:pPr>
            <w:pStyle w:val="Piedepgina"/>
            <w:jc w:val="center"/>
            <w:rPr>
              <w:rFonts w:ascii="Arial Narrow" w:hAnsi="Arial Narrow" w:cs="Arial"/>
              <w:color w:val="808080" w:themeColor="background1" w:themeShade="80"/>
              <w:sz w:val="20"/>
            </w:rPr>
          </w:pPr>
          <w:r w:rsidRPr="00FD1DAB">
            <w:rPr>
              <w:rFonts w:ascii="Arial Narrow" w:hAnsi="Arial Narrow" w:cs="Arial"/>
              <w:color w:val="808080" w:themeColor="background1" w:themeShade="80"/>
              <w:sz w:val="20"/>
            </w:rPr>
            <w:t>Tel. (503) 2281-8000</w:t>
          </w:r>
        </w:p>
        <w:p w14:paraId="7F11862D" w14:textId="77777777" w:rsidR="0087583F" w:rsidRPr="00FD1DAB" w:rsidRDefault="0087583F" w:rsidP="00444FAA">
          <w:pPr>
            <w:pStyle w:val="Piedepgina"/>
            <w:jc w:val="center"/>
            <w:rPr>
              <w:rFonts w:ascii="Arial Narrow" w:hAnsi="Arial Narrow" w:cs="Arial"/>
              <w:color w:val="808080" w:themeColor="background1" w:themeShade="80"/>
              <w:sz w:val="20"/>
            </w:rPr>
          </w:pPr>
          <w:r w:rsidRPr="00FD1DAB">
            <w:rPr>
              <w:rFonts w:ascii="Arial Narrow" w:hAnsi="Arial Narrow" w:cs="Arial"/>
              <w:color w:val="808080" w:themeColor="background1" w:themeShade="80"/>
              <w:sz w:val="20"/>
            </w:rPr>
            <w:t xml:space="preserve"> www.bcr.gob.sv</w:t>
          </w:r>
        </w:p>
      </w:tc>
      <w:tc>
        <w:tcPr>
          <w:tcW w:w="2126" w:type="dxa"/>
          <w:tcBorders>
            <w:top w:val="triple" w:sz="4" w:space="0" w:color="A6A6A6" w:themeColor="background1" w:themeShade="A6"/>
            <w:left w:val="nil"/>
            <w:bottom w:val="nil"/>
            <w:right w:val="nil"/>
          </w:tcBorders>
          <w:vAlign w:val="center"/>
          <w:hideMark/>
        </w:tcPr>
        <w:p w14:paraId="7F11862E" w14:textId="77777777" w:rsidR="0087583F" w:rsidRPr="00FD1DAB" w:rsidRDefault="00660BF4" w:rsidP="00444FAA">
          <w:pPr>
            <w:pStyle w:val="Piedepgina"/>
            <w:jc w:val="center"/>
            <w:rPr>
              <w:rFonts w:ascii="Arial Narrow" w:hAnsi="Arial Narrow" w:cs="Arial"/>
              <w:color w:val="808080" w:themeColor="background1" w:themeShade="80"/>
              <w:sz w:val="20"/>
            </w:rPr>
          </w:pPr>
          <w:sdt>
            <w:sdtPr>
              <w:rPr>
                <w:rFonts w:ascii="Arial Narrow" w:hAnsi="Arial Narrow" w:cs="Arial"/>
                <w:color w:val="808080" w:themeColor="background1" w:themeShade="80"/>
                <w:sz w:val="20"/>
              </w:rPr>
              <w:id w:val="-2139403029"/>
              <w:docPartObj>
                <w:docPartGallery w:val="Page Numbers (Bottom of Page)"/>
                <w:docPartUnique/>
              </w:docPartObj>
            </w:sdtPr>
            <w:sdtEndPr/>
            <w:sdtContent>
              <w:sdt>
                <w:sdtPr>
                  <w:rPr>
                    <w:rFonts w:ascii="Arial Narrow" w:hAnsi="Arial Narrow" w:cs="Arial"/>
                    <w:color w:val="808080" w:themeColor="background1" w:themeShade="80"/>
                    <w:sz w:val="20"/>
                  </w:rPr>
                  <w:id w:val="973402497"/>
                  <w:docPartObj>
                    <w:docPartGallery w:val="Page Numbers (Top of Page)"/>
                    <w:docPartUnique/>
                  </w:docPartObj>
                </w:sdtPr>
                <w:sdtEndPr/>
                <w:sdtContent>
                  <w:r w:rsidR="0087583F" w:rsidRPr="00FD1DAB">
                    <w:rPr>
                      <w:rFonts w:ascii="Arial Narrow" w:hAnsi="Arial Narrow" w:cs="Arial"/>
                      <w:color w:val="808080" w:themeColor="background1" w:themeShade="80"/>
                      <w:sz w:val="20"/>
                    </w:rPr>
                    <w:t xml:space="preserve">Página </w:t>
                  </w:r>
                  <w:r w:rsidR="0087583F" w:rsidRPr="00FD1DAB">
                    <w:rPr>
                      <w:rFonts w:ascii="Arial Narrow" w:hAnsi="Arial Narrow" w:cs="Arial"/>
                      <w:color w:val="808080" w:themeColor="background1" w:themeShade="80"/>
                      <w:sz w:val="20"/>
                    </w:rPr>
                    <w:fldChar w:fldCharType="begin"/>
                  </w:r>
                  <w:r w:rsidR="0087583F" w:rsidRPr="00FD1DAB">
                    <w:rPr>
                      <w:rFonts w:ascii="Arial Narrow" w:hAnsi="Arial Narrow" w:cs="Arial"/>
                      <w:color w:val="808080" w:themeColor="background1" w:themeShade="80"/>
                      <w:sz w:val="20"/>
                    </w:rPr>
                    <w:instrText>PAGE</w:instrText>
                  </w:r>
                  <w:r w:rsidR="0087583F" w:rsidRPr="00FD1DAB">
                    <w:rPr>
                      <w:rFonts w:ascii="Arial Narrow" w:hAnsi="Arial Narrow" w:cs="Arial"/>
                      <w:color w:val="808080" w:themeColor="background1" w:themeShade="80"/>
                      <w:sz w:val="20"/>
                    </w:rPr>
                    <w:fldChar w:fldCharType="separate"/>
                  </w:r>
                  <w:r w:rsidR="00E3178F">
                    <w:rPr>
                      <w:rFonts w:ascii="Arial Narrow" w:hAnsi="Arial Narrow" w:cs="Arial"/>
                      <w:noProof/>
                      <w:color w:val="808080" w:themeColor="background1" w:themeShade="80"/>
                      <w:sz w:val="20"/>
                    </w:rPr>
                    <w:t>1</w:t>
                  </w:r>
                  <w:r w:rsidR="0087583F" w:rsidRPr="00FD1DAB">
                    <w:rPr>
                      <w:rFonts w:ascii="Arial Narrow" w:hAnsi="Arial Narrow" w:cs="Arial"/>
                      <w:color w:val="808080" w:themeColor="background1" w:themeShade="80"/>
                      <w:sz w:val="20"/>
                    </w:rPr>
                    <w:fldChar w:fldCharType="end"/>
                  </w:r>
                  <w:r w:rsidR="0087583F" w:rsidRPr="00FD1DAB">
                    <w:rPr>
                      <w:rFonts w:ascii="Arial Narrow" w:hAnsi="Arial Narrow" w:cs="Arial"/>
                      <w:color w:val="808080" w:themeColor="background1" w:themeShade="80"/>
                      <w:sz w:val="20"/>
                    </w:rPr>
                    <w:t xml:space="preserve"> de </w:t>
                  </w:r>
                  <w:r w:rsidR="0087583F" w:rsidRPr="00FD1DAB">
                    <w:rPr>
                      <w:rFonts w:ascii="Arial Narrow" w:hAnsi="Arial Narrow" w:cs="Arial"/>
                      <w:color w:val="808080" w:themeColor="background1" w:themeShade="80"/>
                      <w:sz w:val="20"/>
                    </w:rPr>
                    <w:fldChar w:fldCharType="begin"/>
                  </w:r>
                  <w:r w:rsidR="0087583F" w:rsidRPr="00FD1DAB">
                    <w:rPr>
                      <w:rFonts w:ascii="Arial Narrow" w:hAnsi="Arial Narrow" w:cs="Arial"/>
                      <w:color w:val="808080" w:themeColor="background1" w:themeShade="80"/>
                      <w:sz w:val="20"/>
                    </w:rPr>
                    <w:instrText>NUMPAGES</w:instrText>
                  </w:r>
                  <w:r w:rsidR="0087583F" w:rsidRPr="00FD1DAB">
                    <w:rPr>
                      <w:rFonts w:ascii="Arial Narrow" w:hAnsi="Arial Narrow" w:cs="Arial"/>
                      <w:color w:val="808080" w:themeColor="background1" w:themeShade="80"/>
                      <w:sz w:val="20"/>
                    </w:rPr>
                    <w:fldChar w:fldCharType="separate"/>
                  </w:r>
                  <w:r w:rsidR="00E3178F">
                    <w:rPr>
                      <w:rFonts w:ascii="Arial Narrow" w:hAnsi="Arial Narrow" w:cs="Arial"/>
                      <w:noProof/>
                      <w:color w:val="808080" w:themeColor="background1" w:themeShade="80"/>
                      <w:sz w:val="20"/>
                    </w:rPr>
                    <w:t>5</w:t>
                  </w:r>
                  <w:r w:rsidR="0087583F" w:rsidRPr="00FD1DAB">
                    <w:rPr>
                      <w:rFonts w:ascii="Arial Narrow" w:hAnsi="Arial Narrow" w:cs="Arial"/>
                      <w:color w:val="808080" w:themeColor="background1" w:themeShade="80"/>
                      <w:sz w:val="20"/>
                    </w:rPr>
                    <w:fldChar w:fldCharType="end"/>
                  </w:r>
                </w:sdtContent>
              </w:sdt>
            </w:sdtContent>
          </w:sdt>
        </w:p>
      </w:tc>
    </w:tr>
  </w:tbl>
  <w:p w14:paraId="7F118630" w14:textId="77777777" w:rsidR="0087583F" w:rsidRDefault="00875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13486" w14:textId="77777777" w:rsidR="00660BF4" w:rsidRDefault="00660BF4" w:rsidP="0087583F">
      <w:r>
        <w:separator/>
      </w:r>
    </w:p>
  </w:footnote>
  <w:footnote w:type="continuationSeparator" w:id="0">
    <w:p w14:paraId="336295D5" w14:textId="77777777" w:rsidR="00660BF4" w:rsidRDefault="00660BF4" w:rsidP="0087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horzAnchor="margin" w:tblpXSpec="center" w:tblpY="-645"/>
      <w:tblW w:w="10626"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122"/>
      <w:gridCol w:w="6945"/>
      <w:gridCol w:w="1559"/>
    </w:tblGrid>
    <w:tr w:rsidR="00FD1DAB" w:rsidRPr="00FD1DAB" w14:paraId="7F11861B" w14:textId="77777777" w:rsidTr="00186D5E">
      <w:trPr>
        <w:trHeight w:val="380"/>
      </w:trPr>
      <w:tc>
        <w:tcPr>
          <w:tcW w:w="2122" w:type="dxa"/>
          <w:vAlign w:val="center"/>
        </w:tcPr>
        <w:p w14:paraId="7F118617" w14:textId="16422965" w:rsidR="0087583F" w:rsidRPr="00FD1DAB" w:rsidRDefault="0087583F" w:rsidP="0087583F">
          <w:pPr>
            <w:tabs>
              <w:tab w:val="center" w:pos="4419"/>
              <w:tab w:val="right" w:pos="8838"/>
            </w:tabs>
            <w:jc w:val="center"/>
            <w:rPr>
              <w:rFonts w:ascii="Arial Narrow" w:hAnsi="Arial Narrow" w:cs="Arial"/>
              <w:color w:val="808080" w:themeColor="background1" w:themeShade="80"/>
            </w:rPr>
          </w:pPr>
          <w:r w:rsidRPr="00FD1DAB">
            <w:rPr>
              <w:rFonts w:ascii="Arial Narrow" w:hAnsi="Arial Narrow" w:cs="Arial"/>
              <w:color w:val="808080" w:themeColor="background1" w:themeShade="80"/>
            </w:rPr>
            <w:t>CDSSF-42/</w:t>
          </w:r>
          <w:r w:rsidR="002402A0">
            <w:rPr>
              <w:rFonts w:ascii="Arial Narrow" w:hAnsi="Arial Narrow" w:cs="Arial"/>
              <w:color w:val="808080" w:themeColor="background1" w:themeShade="80"/>
            </w:rPr>
            <w:t>20</w:t>
          </w:r>
          <w:r w:rsidRPr="00FD1DAB">
            <w:rPr>
              <w:rFonts w:ascii="Arial Narrow" w:hAnsi="Arial Narrow" w:cs="Arial"/>
              <w:color w:val="808080" w:themeColor="background1" w:themeShade="80"/>
            </w:rPr>
            <w:t>03</w:t>
          </w:r>
        </w:p>
      </w:tc>
      <w:tc>
        <w:tcPr>
          <w:tcW w:w="6945" w:type="dxa"/>
          <w:vMerge w:val="restart"/>
          <w:tcBorders>
            <w:right w:val="triple" w:sz="4" w:space="0" w:color="A6A6A6" w:themeColor="background1" w:themeShade="A6"/>
          </w:tcBorders>
          <w:vAlign w:val="center"/>
        </w:tcPr>
        <w:p w14:paraId="7F118618" w14:textId="77777777" w:rsidR="0087583F" w:rsidRPr="00FD1DAB" w:rsidRDefault="0087583F" w:rsidP="0087583F">
          <w:pPr>
            <w:jc w:val="center"/>
            <w:rPr>
              <w:rFonts w:ascii="Arial Narrow" w:hAnsi="Arial Narrow" w:cs="Arial"/>
              <w:color w:val="808080" w:themeColor="background1" w:themeShade="80"/>
              <w:lang w:val="es-MX" w:eastAsia="es-MX"/>
            </w:rPr>
          </w:pPr>
          <w:r w:rsidRPr="00FD1DAB">
            <w:rPr>
              <w:rFonts w:ascii="Arial Narrow" w:hAnsi="Arial Narrow" w:cs="Arial"/>
              <w:color w:val="808080" w:themeColor="background1" w:themeShade="80"/>
              <w:lang w:val="es-MX" w:eastAsia="es-MX"/>
            </w:rPr>
            <w:t>NCSGR-002</w:t>
          </w:r>
        </w:p>
        <w:p w14:paraId="7F118619" w14:textId="77777777" w:rsidR="0087583F" w:rsidRPr="00FD1DAB" w:rsidRDefault="0087583F" w:rsidP="0087583F">
          <w:pPr>
            <w:jc w:val="center"/>
            <w:rPr>
              <w:rFonts w:ascii="Arial Narrow" w:hAnsi="Arial Narrow" w:cs="Arial"/>
              <w:color w:val="808080" w:themeColor="background1" w:themeShade="80"/>
              <w:lang w:val="es-MX" w:eastAsia="es-MX"/>
            </w:rPr>
          </w:pPr>
          <w:r w:rsidRPr="00FD1DAB">
            <w:rPr>
              <w:rFonts w:ascii="Arial Narrow" w:hAnsi="Arial Narrow" w:cs="Arial"/>
              <w:color w:val="808080" w:themeColor="background1" w:themeShade="80"/>
              <w:lang w:val="es-MX" w:eastAsia="es-MX"/>
            </w:rPr>
            <w:t>NORMAS PARA LA CONTABILIZACIÓN DE LOS ACTIVOS EXTRAORDINARIOS DE LAS SOCIEDADES DE GARANTÍA RECÍPROCA</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F11861A" w14:textId="77777777" w:rsidR="0087583F" w:rsidRPr="00FD1DAB" w:rsidRDefault="0087583F" w:rsidP="0087583F">
          <w:pPr>
            <w:tabs>
              <w:tab w:val="center" w:pos="4419"/>
              <w:tab w:val="right" w:pos="8838"/>
            </w:tabs>
            <w:jc w:val="center"/>
            <w:rPr>
              <w:rFonts w:cs="Arial"/>
              <w:color w:val="808080" w:themeColor="background1" w:themeShade="80"/>
            </w:rPr>
          </w:pPr>
        </w:p>
      </w:tc>
    </w:tr>
    <w:tr w:rsidR="00FD1DAB" w:rsidRPr="00FD1DAB" w14:paraId="7F11861F" w14:textId="77777777" w:rsidTr="00186D5E">
      <w:trPr>
        <w:trHeight w:val="514"/>
      </w:trPr>
      <w:tc>
        <w:tcPr>
          <w:tcW w:w="2122" w:type="dxa"/>
          <w:vAlign w:val="center"/>
        </w:tcPr>
        <w:p w14:paraId="7F11861C" w14:textId="77777777" w:rsidR="0087583F" w:rsidRPr="00FD1DAB" w:rsidRDefault="0087583F" w:rsidP="0087583F">
          <w:pPr>
            <w:tabs>
              <w:tab w:val="center" w:pos="4419"/>
              <w:tab w:val="right" w:pos="8838"/>
            </w:tabs>
            <w:jc w:val="center"/>
            <w:rPr>
              <w:rFonts w:ascii="Arial Narrow" w:hAnsi="Arial Narrow" w:cs="Arial"/>
              <w:color w:val="808080" w:themeColor="background1" w:themeShade="80"/>
            </w:rPr>
          </w:pPr>
          <w:r w:rsidRPr="00FD1DAB">
            <w:rPr>
              <w:rFonts w:ascii="Arial Narrow" w:hAnsi="Arial Narrow" w:cs="Arial"/>
              <w:color w:val="808080" w:themeColor="background1" w:themeShade="80"/>
            </w:rPr>
            <w:t>Aprobación: 08/10/2003</w:t>
          </w:r>
        </w:p>
      </w:tc>
      <w:tc>
        <w:tcPr>
          <w:tcW w:w="6945" w:type="dxa"/>
          <w:vMerge/>
          <w:tcBorders>
            <w:right w:val="triple" w:sz="4" w:space="0" w:color="A6A6A6" w:themeColor="background1" w:themeShade="A6"/>
          </w:tcBorders>
          <w:vAlign w:val="center"/>
        </w:tcPr>
        <w:p w14:paraId="7F11861D" w14:textId="77777777" w:rsidR="0087583F" w:rsidRPr="00FD1DAB" w:rsidRDefault="0087583F" w:rsidP="0087583F">
          <w:pPr>
            <w:tabs>
              <w:tab w:val="center" w:pos="4419"/>
              <w:tab w:val="right" w:pos="8838"/>
            </w:tabs>
            <w:jc w:val="center"/>
            <w:rPr>
              <w:rFonts w:cs="Arial"/>
              <w:color w:val="808080" w:themeColor="background1" w:themeShade="80"/>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F11861E" w14:textId="77777777" w:rsidR="0087583F" w:rsidRPr="00FD1DAB" w:rsidRDefault="0087583F" w:rsidP="0087583F">
          <w:pPr>
            <w:tabs>
              <w:tab w:val="center" w:pos="4419"/>
              <w:tab w:val="right" w:pos="8838"/>
            </w:tabs>
            <w:jc w:val="center"/>
            <w:rPr>
              <w:rFonts w:cs="Arial"/>
              <w:noProof/>
              <w:color w:val="808080" w:themeColor="background1" w:themeShade="80"/>
            </w:rPr>
          </w:pPr>
        </w:p>
      </w:tc>
    </w:tr>
    <w:tr w:rsidR="00FD1DAB" w:rsidRPr="00FD1DAB" w14:paraId="7F118623" w14:textId="77777777" w:rsidTr="00186D5E">
      <w:trPr>
        <w:trHeight w:val="502"/>
      </w:trPr>
      <w:tc>
        <w:tcPr>
          <w:tcW w:w="2122" w:type="dxa"/>
          <w:vAlign w:val="center"/>
        </w:tcPr>
        <w:p w14:paraId="7F118620" w14:textId="77777777" w:rsidR="0087583F" w:rsidRPr="00FD1DAB" w:rsidRDefault="0087583F" w:rsidP="0087583F">
          <w:pPr>
            <w:tabs>
              <w:tab w:val="center" w:pos="4419"/>
              <w:tab w:val="right" w:pos="8838"/>
            </w:tabs>
            <w:jc w:val="center"/>
            <w:rPr>
              <w:rFonts w:ascii="Arial Narrow" w:hAnsi="Arial Narrow" w:cs="Arial"/>
              <w:color w:val="808080" w:themeColor="background1" w:themeShade="80"/>
            </w:rPr>
          </w:pPr>
          <w:r w:rsidRPr="00FD1DAB">
            <w:rPr>
              <w:rFonts w:ascii="Arial Narrow" w:hAnsi="Arial Narrow" w:cs="Arial"/>
              <w:color w:val="808080" w:themeColor="background1" w:themeShade="80"/>
            </w:rPr>
            <w:t>Vigencia: 01/11/2003</w:t>
          </w:r>
        </w:p>
      </w:tc>
      <w:tc>
        <w:tcPr>
          <w:tcW w:w="6945" w:type="dxa"/>
          <w:vMerge/>
          <w:tcBorders>
            <w:right w:val="triple" w:sz="4" w:space="0" w:color="A6A6A6" w:themeColor="background1" w:themeShade="A6"/>
          </w:tcBorders>
          <w:vAlign w:val="center"/>
        </w:tcPr>
        <w:p w14:paraId="7F118621" w14:textId="77777777" w:rsidR="0087583F" w:rsidRPr="00FD1DAB" w:rsidRDefault="0087583F" w:rsidP="0087583F">
          <w:pPr>
            <w:tabs>
              <w:tab w:val="center" w:pos="4419"/>
              <w:tab w:val="right" w:pos="8838"/>
            </w:tabs>
            <w:jc w:val="center"/>
            <w:rPr>
              <w:rFonts w:cs="Arial"/>
              <w:color w:val="808080" w:themeColor="background1" w:themeShade="80"/>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F118622" w14:textId="77777777" w:rsidR="0087583F" w:rsidRPr="00FD1DAB" w:rsidRDefault="0087583F" w:rsidP="0087583F">
          <w:pPr>
            <w:tabs>
              <w:tab w:val="center" w:pos="4419"/>
              <w:tab w:val="right" w:pos="8838"/>
            </w:tabs>
            <w:jc w:val="center"/>
            <w:rPr>
              <w:rFonts w:cs="Arial"/>
              <w:color w:val="808080" w:themeColor="background1" w:themeShade="80"/>
            </w:rPr>
          </w:pPr>
        </w:p>
      </w:tc>
    </w:tr>
  </w:tbl>
  <w:p w14:paraId="7F118624" w14:textId="77777777" w:rsidR="0087583F" w:rsidRDefault="0087583F">
    <w:pPr>
      <w:pStyle w:val="Encabezado"/>
    </w:pPr>
  </w:p>
  <w:p w14:paraId="7F118625" w14:textId="77777777" w:rsidR="0087583F" w:rsidRDefault="0087583F">
    <w:pPr>
      <w:pStyle w:val="Encabezado"/>
    </w:pPr>
  </w:p>
  <w:p w14:paraId="7F118626" w14:textId="77777777" w:rsidR="0087583F" w:rsidRDefault="0087583F">
    <w:pPr>
      <w:pStyle w:val="Encabezado"/>
    </w:pPr>
  </w:p>
  <w:p w14:paraId="7F118627" w14:textId="77777777" w:rsidR="0087583F" w:rsidRDefault="0087583F">
    <w:pPr>
      <w:pStyle w:val="Encabezado"/>
    </w:pPr>
  </w:p>
  <w:p w14:paraId="7F118628" w14:textId="77777777" w:rsidR="0087583F" w:rsidRDefault="0087583F">
    <w:pPr>
      <w:pStyle w:val="Encabezado"/>
    </w:pPr>
  </w:p>
  <w:p w14:paraId="7F118629" w14:textId="77777777" w:rsidR="0087583F" w:rsidRDefault="0087583F">
    <w:pPr>
      <w:pStyle w:val="Encabezado"/>
    </w:pPr>
  </w:p>
  <w:p w14:paraId="7F11862A" w14:textId="77777777" w:rsidR="0087583F" w:rsidRDefault="00875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752D8"/>
    <w:multiLevelType w:val="hybridMultilevel"/>
    <w:tmpl w:val="F0FA2C14"/>
    <w:lvl w:ilvl="0" w:tplc="7C74E0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A9555E"/>
    <w:multiLevelType w:val="hybridMultilevel"/>
    <w:tmpl w:val="6E38B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C2562AB"/>
    <w:multiLevelType w:val="hybridMultilevel"/>
    <w:tmpl w:val="FBBAD52C"/>
    <w:lvl w:ilvl="0" w:tplc="E31EBC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3F"/>
    <w:rsid w:val="000021EF"/>
    <w:rsid w:val="00002614"/>
    <w:rsid w:val="00186D5E"/>
    <w:rsid w:val="00196481"/>
    <w:rsid w:val="00232AC7"/>
    <w:rsid w:val="002402A0"/>
    <w:rsid w:val="002717E3"/>
    <w:rsid w:val="0029699B"/>
    <w:rsid w:val="003D0E18"/>
    <w:rsid w:val="005F1025"/>
    <w:rsid w:val="006575C9"/>
    <w:rsid w:val="00660BF4"/>
    <w:rsid w:val="00700AF3"/>
    <w:rsid w:val="007B6043"/>
    <w:rsid w:val="007C34A0"/>
    <w:rsid w:val="0087583F"/>
    <w:rsid w:val="008A3706"/>
    <w:rsid w:val="009321F3"/>
    <w:rsid w:val="00987783"/>
    <w:rsid w:val="00A83E03"/>
    <w:rsid w:val="00BA00EE"/>
    <w:rsid w:val="00BC3C3E"/>
    <w:rsid w:val="00DD6539"/>
    <w:rsid w:val="00E3178F"/>
    <w:rsid w:val="00E779B1"/>
    <w:rsid w:val="00F00844"/>
    <w:rsid w:val="00F34918"/>
    <w:rsid w:val="00F43611"/>
    <w:rsid w:val="00FD18D9"/>
    <w:rsid w:val="00FD1DAB"/>
    <w:rsid w:val="00FE736A"/>
    <w:rsid w:val="00FF34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18476"/>
  <w15:docId w15:val="{A1D1CFF9-A92E-4952-8AFE-A17AC934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3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8758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87583F"/>
    <w:pPr>
      <w:keepNext/>
      <w:widowControl w:val="0"/>
      <w:spacing w:line="480" w:lineRule="auto"/>
      <w:jc w:val="both"/>
      <w:outlineLvl w:val="1"/>
    </w:pPr>
    <w:rPr>
      <w:rFonts w:ascii="Verdana" w:hAnsi="Verdana"/>
      <w:b/>
      <w:snapToGrid w:val="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83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7583F"/>
  </w:style>
  <w:style w:type="paragraph" w:styleId="Piedepgina">
    <w:name w:val="footer"/>
    <w:basedOn w:val="Normal"/>
    <w:link w:val="PiedepginaCar"/>
    <w:uiPriority w:val="99"/>
    <w:unhideWhenUsed/>
    <w:rsid w:val="0087583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7583F"/>
  </w:style>
  <w:style w:type="character" w:customStyle="1" w:styleId="Ttulo2Car">
    <w:name w:val="Título 2 Car"/>
    <w:basedOn w:val="Fuentedeprrafopredeter"/>
    <w:link w:val="Ttulo2"/>
    <w:rsid w:val="0087583F"/>
    <w:rPr>
      <w:rFonts w:ascii="Verdana" w:eastAsia="Times New Roman" w:hAnsi="Verdana" w:cs="Times New Roman"/>
      <w:b/>
      <w:snapToGrid w:val="0"/>
      <w:sz w:val="24"/>
      <w:szCs w:val="20"/>
      <w:lang w:val="es-ES_tradnl" w:eastAsia="es-ES"/>
    </w:rPr>
  </w:style>
  <w:style w:type="paragraph" w:styleId="Textoindependiente">
    <w:name w:val="Body Text"/>
    <w:basedOn w:val="Normal"/>
    <w:link w:val="TextoindependienteCar"/>
    <w:semiHidden/>
    <w:rsid w:val="0087583F"/>
    <w:pPr>
      <w:widowControl w:val="0"/>
      <w:spacing w:line="480" w:lineRule="auto"/>
      <w:jc w:val="both"/>
    </w:pPr>
    <w:rPr>
      <w:rFonts w:ascii="Verdana" w:hAnsi="Verdana"/>
      <w:snapToGrid w:val="0"/>
      <w:sz w:val="24"/>
      <w:lang w:val="es-ES_tradnl"/>
    </w:rPr>
  </w:style>
  <w:style w:type="character" w:customStyle="1" w:styleId="TextoindependienteCar">
    <w:name w:val="Texto independiente Car"/>
    <w:basedOn w:val="Fuentedeprrafopredeter"/>
    <w:link w:val="Textoindependiente"/>
    <w:semiHidden/>
    <w:rsid w:val="0087583F"/>
    <w:rPr>
      <w:rFonts w:ascii="Verdana" w:eastAsia="Times New Roman" w:hAnsi="Verdana" w:cs="Times New Roman"/>
      <w:snapToGrid w:val="0"/>
      <w:sz w:val="24"/>
      <w:szCs w:val="20"/>
      <w:lang w:val="es-ES_tradnl" w:eastAsia="es-ES"/>
    </w:rPr>
  </w:style>
  <w:style w:type="paragraph" w:styleId="Sangradetextonormal">
    <w:name w:val="Body Text Indent"/>
    <w:basedOn w:val="Normal"/>
    <w:link w:val="SangradetextonormalCar"/>
    <w:semiHidden/>
    <w:rsid w:val="0087583F"/>
    <w:pPr>
      <w:ind w:left="705"/>
      <w:jc w:val="both"/>
    </w:pPr>
    <w:rPr>
      <w:sz w:val="24"/>
      <w:lang w:val="es-GT"/>
    </w:rPr>
  </w:style>
  <w:style w:type="character" w:customStyle="1" w:styleId="SangradetextonormalCar">
    <w:name w:val="Sangría de texto normal Car"/>
    <w:basedOn w:val="Fuentedeprrafopredeter"/>
    <w:link w:val="Sangradetextonormal"/>
    <w:semiHidden/>
    <w:rsid w:val="0087583F"/>
    <w:rPr>
      <w:rFonts w:ascii="Times New Roman" w:eastAsia="Times New Roman" w:hAnsi="Times New Roman" w:cs="Times New Roman"/>
      <w:sz w:val="24"/>
      <w:szCs w:val="20"/>
      <w:lang w:val="es-GT" w:eastAsia="es-ES"/>
    </w:rPr>
  </w:style>
  <w:style w:type="paragraph" w:styleId="Sangra2detindependiente">
    <w:name w:val="Body Text Indent 2"/>
    <w:basedOn w:val="Normal"/>
    <w:link w:val="Sangra2detindependienteCar"/>
    <w:semiHidden/>
    <w:rsid w:val="0087583F"/>
    <w:pPr>
      <w:widowControl w:val="0"/>
      <w:ind w:firstLine="720"/>
      <w:jc w:val="both"/>
    </w:pPr>
    <w:rPr>
      <w:snapToGrid w:val="0"/>
      <w:sz w:val="24"/>
      <w:lang w:val="es-ES_tradnl"/>
    </w:rPr>
  </w:style>
  <w:style w:type="character" w:customStyle="1" w:styleId="Sangra2detindependienteCar">
    <w:name w:val="Sangría 2 de t. independiente Car"/>
    <w:basedOn w:val="Fuentedeprrafopredeter"/>
    <w:link w:val="Sangra2detindependiente"/>
    <w:semiHidden/>
    <w:rsid w:val="0087583F"/>
    <w:rPr>
      <w:rFonts w:ascii="Times New Roman" w:eastAsia="Times New Roman" w:hAnsi="Times New Roman" w:cs="Times New Roman"/>
      <w:snapToGrid w:val="0"/>
      <w:sz w:val="24"/>
      <w:szCs w:val="20"/>
      <w:lang w:val="es-ES_tradnl" w:eastAsia="es-ES"/>
    </w:rPr>
  </w:style>
  <w:style w:type="paragraph" w:styleId="Textoindependiente3">
    <w:name w:val="Body Text 3"/>
    <w:basedOn w:val="Normal"/>
    <w:link w:val="Textoindependiente3Car"/>
    <w:semiHidden/>
    <w:rsid w:val="0087583F"/>
    <w:pPr>
      <w:jc w:val="center"/>
      <w:outlineLvl w:val="0"/>
    </w:pPr>
    <w:rPr>
      <w:rFonts w:ascii="Arial" w:hAnsi="Arial"/>
      <w:b/>
      <w:sz w:val="24"/>
    </w:rPr>
  </w:style>
  <w:style w:type="character" w:customStyle="1" w:styleId="Textoindependiente3Car">
    <w:name w:val="Texto independiente 3 Car"/>
    <w:basedOn w:val="Fuentedeprrafopredeter"/>
    <w:link w:val="Textoindependiente3"/>
    <w:semiHidden/>
    <w:rsid w:val="0087583F"/>
    <w:rPr>
      <w:rFonts w:ascii="Arial" w:eastAsia="Times New Roman" w:hAnsi="Arial" w:cs="Times New Roman"/>
      <w:b/>
      <w:sz w:val="24"/>
      <w:szCs w:val="20"/>
      <w:lang w:eastAsia="es-ES"/>
    </w:rPr>
  </w:style>
  <w:style w:type="character" w:customStyle="1" w:styleId="Ttulo1Car">
    <w:name w:val="Título 1 Car"/>
    <w:basedOn w:val="Fuentedeprrafopredeter"/>
    <w:link w:val="Ttulo1"/>
    <w:uiPriority w:val="9"/>
    <w:rsid w:val="0087583F"/>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DD6539"/>
    <w:pPr>
      <w:ind w:left="720"/>
      <w:contextualSpacing/>
    </w:pPr>
  </w:style>
  <w:style w:type="paragraph" w:styleId="Textodeglobo">
    <w:name w:val="Balloon Text"/>
    <w:basedOn w:val="Normal"/>
    <w:link w:val="TextodegloboCar"/>
    <w:uiPriority w:val="99"/>
    <w:semiHidden/>
    <w:unhideWhenUsed/>
    <w:rsid w:val="00186D5E"/>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D5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72161">
      <w:bodyDiv w:val="1"/>
      <w:marLeft w:val="0"/>
      <w:marRight w:val="0"/>
      <w:marTop w:val="0"/>
      <w:marBottom w:val="0"/>
      <w:divBdr>
        <w:top w:val="none" w:sz="0" w:space="0" w:color="auto"/>
        <w:left w:val="none" w:sz="0" w:space="0" w:color="auto"/>
        <w:bottom w:val="none" w:sz="0" w:space="0" w:color="auto"/>
        <w:right w:val="none" w:sz="0" w:space="0" w:color="auto"/>
      </w:divBdr>
    </w:div>
    <w:div w:id="5588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yecto de Norma" ma:contentTypeID="0x0101005A139FDA20C7A64AAD2E7A90AFF2DCF500039D0D54758CFA48973AA818C061169B" ma:contentTypeVersion="24" ma:contentTypeDescription="" ma:contentTypeScope="" ma:versionID="04bd240786252dc3252d668757f6b584">
  <xsd:schema xmlns:xsd="http://www.w3.org/2001/XMLSchema" xmlns:xs="http://www.w3.org/2001/XMLSchema" xmlns:p="http://schemas.microsoft.com/office/2006/metadata/properties" xmlns:ns1="http://schemas.microsoft.com/sharepoint/v3" xmlns:ns2="584cea7c-54a5-449f-8ad4-145e8723e09c" targetNamespace="http://schemas.microsoft.com/office/2006/metadata/properties" ma:root="true" ma:fieldsID="0daf67018b1ae46b3b3df15da28d5c08" ns1:_="" ns2:_="">
    <xsd:import namespace="http://schemas.microsoft.com/sharepoint/v3"/>
    <xsd:import namespace="584cea7c-54a5-449f-8ad4-145e8723e09c"/>
    <xsd:element name="properties">
      <xsd:complexType>
        <xsd:sequence>
          <xsd:element name="documentManagement">
            <xsd:complexType>
              <xsd:all>
                <xsd:element ref="ns2:Revisi_x00f3_n_x0020_SSF" minOccurs="0"/>
                <xsd:element ref="ns2:Revisi_x00f3_n_x0020_Industria" minOccurs="0"/>
                <xsd:element ref="ns2:Revisi_x00f3_n_x0020_Jur_x00ed_dico" minOccurs="0"/>
                <xsd:element ref="ns1:DocumentSetDescription" minOccurs="0"/>
                <xsd:element ref="ns2:Estado_x0020_del_x0020_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ción" ma:description="Una descripción del conjunto de documentos"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cea7c-54a5-449f-8ad4-145e8723e09c" elementFormDefault="qualified">
    <xsd:import namespace="http://schemas.microsoft.com/office/2006/documentManagement/types"/>
    <xsd:import namespace="http://schemas.microsoft.com/office/infopath/2007/PartnerControls"/>
    <xsd:element name="Revisi_x00f3_n_x0020_SSF" ma:index="8" nillable="true" ma:displayName="Revisión SSF" ma:format="Hyperlink" ma:hidden="true" ma:internalName="Revisi_x00f3_n_x0020_SS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Industria" ma:index="9" nillable="true" ma:displayName="Revisión Industria" ma:format="Hyperlink" ma:hidden="true" ma:internalName="Revisi_x00f3_n_x0020_Industria"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Jur_x00ed_dico" ma:index="10" nillable="true" ma:displayName="Revisión Jurídico" ma:format="Hyperlink" ma:hidden="true" ma:internalName="Revisi_x00f3_n_x0020_Jur_x00ed_dic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stado_x0020_del_x0020_proyecto" ma:index="13" nillable="true" ma:displayName="Estado del proyecto" ma:default="En elaboración" ma:format="Dropdown" ma:hidden="true" ma:internalName="Estado_x0020_del_x0020_proyecto" ma:readOnly="false">
      <xsd:simpleType>
        <xsd:restriction base="dms:Choice">
          <xsd:enumeration value="En elaboración"/>
          <xsd:enumeration value="En revisión"/>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i_x00f3_n_x0020_Industria xmlns="584cea7c-54a5-449f-8ad4-145e8723e09c">
      <Url xsi:nil="true"/>
      <Description xsi:nil="true"/>
    </Revisi_x00f3_n_x0020_Industria>
    <DocumentSetDescription xmlns="http://schemas.microsoft.com/sharepoint/v3" xsi:nil="true"/>
    <Revisi_x00f3_n_x0020_Jur_x00ed_dico xmlns="584cea7c-54a5-449f-8ad4-145e8723e09c">
      <Url xsi:nil="true"/>
      <Description xsi:nil="true"/>
    </Revisi_x00f3_n_x0020_Jur_x00ed_dico>
    <Estado_x0020_del_x0020_proyecto xmlns="584cea7c-54a5-449f-8ad4-145e8723e09c">En elaboración</Estado_x0020_del_x0020_proyecto>
    <Revisi_x00f3_n_x0020_SSF xmlns="584cea7c-54a5-449f-8ad4-145e8723e09c">
      <Url xsi:nil="true"/>
      <Description xsi:nil="true"/>
    </Revisi_x00f3_n_x0020_SSF>
  </documentManagement>
</p:properties>
</file>

<file path=customXml/item3.xml><?xml version="1.0" encoding="utf-8"?>
<?mso-contentType ?>
<customXsn xmlns="http://schemas.microsoft.com/office/2006/metadata/customXsn">
  <xsnLocation>http://sharepointdev.bcr.domain/dnsf/proyecto_norma/Forms/Proyecto de Norma/42b7ab2023a59240customXsn.xsn</xsnLocation>
  <cached>True</cached>
  <openByDefault>True</openByDefault>
  <xsnScope>http://sharepointdev.bcr.domain/dnsf/proyecto_norma</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6D8ED-FBE1-40B5-8408-323D42CE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4cea7c-54a5-449f-8ad4-145e8723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F528C-D386-459A-8647-1C37AEEDBC24}">
  <ds:schemaRefs>
    <ds:schemaRef ds:uri="http://schemas.microsoft.com/office/2006/metadata/properties"/>
    <ds:schemaRef ds:uri="http://schemas.microsoft.com/office/infopath/2007/PartnerControls"/>
    <ds:schemaRef ds:uri="584cea7c-54a5-449f-8ad4-145e8723e09c"/>
    <ds:schemaRef ds:uri="http://schemas.microsoft.com/sharepoint/v3"/>
  </ds:schemaRefs>
</ds:datastoreItem>
</file>

<file path=customXml/itemProps3.xml><?xml version="1.0" encoding="utf-8"?>
<ds:datastoreItem xmlns:ds="http://schemas.openxmlformats.org/officeDocument/2006/customXml" ds:itemID="{88099BA2-C2E8-4EE0-8D35-655BCF962E2A}">
  <ds:schemaRefs>
    <ds:schemaRef ds:uri="http://schemas.microsoft.com/office/2006/metadata/customXsn"/>
  </ds:schemaRefs>
</ds:datastoreItem>
</file>

<file path=customXml/itemProps4.xml><?xml version="1.0" encoding="utf-8"?>
<ds:datastoreItem xmlns:ds="http://schemas.openxmlformats.org/officeDocument/2006/customXml" ds:itemID="{A6E1A220-FE21-4C3E-B1A9-1545A3331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8633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Badiyéh Resbain Sholéh Ramírez Abarca</dc:creator>
  <cp:lastModifiedBy>Carlos Alberto Carpio</cp:lastModifiedBy>
  <cp:revision>2</cp:revision>
  <dcterms:created xsi:type="dcterms:W3CDTF">2022-01-11T22:35:00Z</dcterms:created>
  <dcterms:modified xsi:type="dcterms:W3CDTF">2022-01-11T22:35:00Z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0x0101005A139FDA20C7A64AAD2E7A90AFF2DCF500039D0D54758CFA48973AA818C061169B</vt:lpwstr>
  </property>
</Properties>
</file>