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16B" w:rsidRDefault="009C516B" w:rsidP="004A4BA4">
      <w:pPr>
        <w:widowControl w:val="0"/>
        <w:spacing w:after="0" w:line="240" w:lineRule="auto"/>
        <w:jc w:val="both"/>
        <w:rPr>
          <w:rFonts w:ascii="Arial Narrow" w:eastAsiaTheme="majorEastAsia" w:hAnsi="Arial Narrow" w:cstheme="majorBidi"/>
          <w:iCs/>
          <w:noProof/>
          <w:color w:val="000000" w:themeColor="text1"/>
          <w:sz w:val="24"/>
          <w:szCs w:val="24"/>
          <w:lang w:val="es-ES_tradnl" w:eastAsia="es-MX"/>
        </w:rPr>
      </w:pPr>
      <w:r w:rsidRPr="009C516B">
        <w:rPr>
          <w:rFonts w:ascii="Arial Narrow" w:eastAsiaTheme="majorEastAsia" w:hAnsi="Arial Narrow" w:cstheme="majorBidi"/>
          <w:iCs/>
          <w:noProof/>
          <w:color w:val="000000" w:themeColor="text1"/>
          <w:sz w:val="24"/>
          <w:szCs w:val="24"/>
          <w:lang w:val="es-ES_tradnl" w:eastAsia="es-MX"/>
        </w:rPr>
        <w:t xml:space="preserve">El Consejo Directivo de la Superintendencia del Sistema Financiero, para dar cumplimiento al artículo 208 de la Ley de Bancos, emite las: </w:t>
      </w:r>
    </w:p>
    <w:p w:rsidR="004A4BA4" w:rsidRPr="009C516B" w:rsidRDefault="004A4BA4" w:rsidP="004A4BA4">
      <w:pPr>
        <w:widowControl w:val="0"/>
        <w:spacing w:after="0" w:line="240" w:lineRule="auto"/>
        <w:jc w:val="both"/>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center"/>
        <w:outlineLvl w:val="5"/>
        <w:rPr>
          <w:rFonts w:ascii="Arial Narrow" w:eastAsiaTheme="majorEastAsia" w:hAnsi="Arial Narrow" w:cstheme="majorBidi"/>
          <w:b/>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NORMAS PARA CONTRATOS DE ARRENDAMIENTO DE BIENES INMUEBLES ENTRE BANCOS Y PARTES RELACIONADAS</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Pr="00E874D5" w:rsidRDefault="00B57E6A" w:rsidP="009C516B">
      <w:pPr>
        <w:widowControl w:val="0"/>
        <w:spacing w:after="0" w:line="240" w:lineRule="auto"/>
        <w:jc w:val="center"/>
        <w:outlineLvl w:val="5"/>
        <w:rPr>
          <w:rFonts w:ascii="Arial Narrow" w:eastAsiaTheme="majorEastAsia" w:hAnsi="Arial Narrow" w:cstheme="majorBidi"/>
          <w:b/>
          <w:iCs/>
          <w:noProof/>
          <w:sz w:val="24"/>
          <w:szCs w:val="24"/>
          <w:lang w:val="es-ES_tradnl" w:eastAsia="es-MX"/>
        </w:rPr>
      </w:pPr>
      <w:r w:rsidRPr="00E874D5">
        <w:rPr>
          <w:rFonts w:ascii="Arial Narrow" w:eastAsiaTheme="majorEastAsia" w:hAnsi="Arial Narrow" w:cstheme="majorBidi"/>
          <w:b/>
          <w:iCs/>
          <w:noProof/>
          <w:sz w:val="24"/>
          <w:szCs w:val="24"/>
          <w:lang w:val="es-ES_tradnl" w:eastAsia="es-MX"/>
        </w:rPr>
        <w:t>CAPÍTULO I</w:t>
      </w:r>
    </w:p>
    <w:p w:rsidR="00B57E6A" w:rsidRDefault="00B57E6A" w:rsidP="009C516B">
      <w:pPr>
        <w:widowControl w:val="0"/>
        <w:spacing w:after="0" w:line="240" w:lineRule="auto"/>
        <w:jc w:val="center"/>
        <w:outlineLvl w:val="5"/>
        <w:rPr>
          <w:rFonts w:ascii="Arial Narrow" w:eastAsiaTheme="majorEastAsia" w:hAnsi="Arial Narrow" w:cstheme="majorBidi"/>
          <w:b/>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OBJETO Y SUJETOS</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b/>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Objeto</w:t>
      </w:r>
    </w:p>
    <w:p w:rsidR="00B57E6A" w:rsidRDefault="00B57E6A" w:rsidP="0041332D">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1.-</w:t>
      </w:r>
      <w:r>
        <w:rPr>
          <w:rFonts w:ascii="Arial Narrow" w:eastAsiaTheme="majorEastAsia" w:hAnsi="Arial Narrow" w:cstheme="majorBidi"/>
          <w:iCs/>
          <w:noProof/>
          <w:color w:val="000000" w:themeColor="text1"/>
          <w:sz w:val="24"/>
          <w:szCs w:val="24"/>
          <w:lang w:val="es-ES_tradnl" w:eastAsia="es-MX"/>
        </w:rPr>
        <w:t xml:space="preserve"> El objeto de las presentes Normas es establecer los requisitos y procedimientos que deben cumplir los bancos, al suscribir contratos de arrendamiento de inmuebles con partes relacionadas.</w:t>
      </w:r>
    </w:p>
    <w:p w:rsidR="00B57E6A" w:rsidRDefault="00B57E6A" w:rsidP="0041332D">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41332D">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2.-</w:t>
      </w:r>
      <w:r>
        <w:rPr>
          <w:rFonts w:ascii="Arial Narrow" w:eastAsiaTheme="majorEastAsia" w:hAnsi="Arial Narrow" w:cstheme="majorBidi"/>
          <w:iCs/>
          <w:noProof/>
          <w:color w:val="000000" w:themeColor="text1"/>
          <w:sz w:val="24"/>
          <w:szCs w:val="24"/>
          <w:lang w:val="es-ES_tradnl" w:eastAsia="es-MX"/>
        </w:rPr>
        <w:t xml:space="preserve"> Para efectos de estas Normas son partes relacionadas, las que establecen los artículos 203 y 204 de la Ley de Bancos.</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b/>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Sujetos</w:t>
      </w:r>
    </w:p>
    <w:p w:rsidR="00B57E6A" w:rsidRDefault="00B57E6A" w:rsidP="009C516B">
      <w:pPr>
        <w:widowControl w:val="0"/>
        <w:spacing w:after="12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3.-</w:t>
      </w:r>
      <w:r>
        <w:rPr>
          <w:rFonts w:ascii="Arial Narrow" w:eastAsiaTheme="majorEastAsia" w:hAnsi="Arial Narrow" w:cstheme="majorBidi"/>
          <w:iCs/>
          <w:noProof/>
          <w:color w:val="000000" w:themeColor="text1"/>
          <w:sz w:val="24"/>
          <w:szCs w:val="24"/>
          <w:lang w:val="es-ES_tradnl" w:eastAsia="es-MX"/>
        </w:rPr>
        <w:t xml:space="preserve"> Los sujetos obligados al cumplimiento de las presentes Normas, son los siguientes:</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a)</w:t>
      </w:r>
      <w:r>
        <w:rPr>
          <w:rFonts w:ascii="Arial Narrow" w:eastAsiaTheme="majorEastAsia" w:hAnsi="Arial Narrow" w:cstheme="majorBidi"/>
          <w:iCs/>
          <w:noProof/>
          <w:color w:val="000000" w:themeColor="text1"/>
          <w:sz w:val="24"/>
          <w:szCs w:val="24"/>
          <w:lang w:val="es-ES_tradnl" w:eastAsia="es-MX"/>
        </w:rPr>
        <w:tab/>
        <w:t>Los bancos constituidos en el país; y</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b)</w:t>
      </w:r>
      <w:r>
        <w:rPr>
          <w:rFonts w:ascii="Arial Narrow" w:eastAsiaTheme="majorEastAsia" w:hAnsi="Arial Narrow" w:cstheme="majorBidi"/>
          <w:iCs/>
          <w:noProof/>
          <w:color w:val="000000" w:themeColor="text1"/>
          <w:sz w:val="24"/>
          <w:szCs w:val="24"/>
          <w:lang w:val="es-ES_tradnl" w:eastAsia="es-MX"/>
        </w:rPr>
        <w:tab/>
        <w:t>Las sucursales de bancos extranjeros establecidas en el país.</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Pr="00E874D5" w:rsidRDefault="00B57E6A" w:rsidP="009C516B">
      <w:pPr>
        <w:widowControl w:val="0"/>
        <w:spacing w:after="0" w:line="240" w:lineRule="auto"/>
        <w:jc w:val="center"/>
        <w:outlineLvl w:val="5"/>
        <w:rPr>
          <w:rFonts w:ascii="Arial Narrow" w:eastAsiaTheme="majorEastAsia" w:hAnsi="Arial Narrow" w:cstheme="majorBidi"/>
          <w:b/>
          <w:iCs/>
          <w:noProof/>
          <w:sz w:val="24"/>
          <w:szCs w:val="24"/>
          <w:lang w:val="es-ES_tradnl" w:eastAsia="es-MX"/>
        </w:rPr>
      </w:pPr>
      <w:r w:rsidRPr="00E874D5">
        <w:rPr>
          <w:rFonts w:ascii="Arial Narrow" w:eastAsiaTheme="majorEastAsia" w:hAnsi="Arial Narrow" w:cstheme="majorBidi"/>
          <w:b/>
          <w:iCs/>
          <w:noProof/>
          <w:sz w:val="24"/>
          <w:szCs w:val="24"/>
          <w:lang w:val="es-ES_tradnl" w:eastAsia="es-MX"/>
        </w:rPr>
        <w:t>CAP</w:t>
      </w:r>
      <w:r w:rsidR="0041332D" w:rsidRPr="00E874D5">
        <w:rPr>
          <w:rFonts w:ascii="Arial Narrow" w:eastAsiaTheme="majorEastAsia" w:hAnsi="Arial Narrow" w:cstheme="majorBidi"/>
          <w:b/>
          <w:iCs/>
          <w:noProof/>
          <w:sz w:val="24"/>
          <w:szCs w:val="24"/>
          <w:lang w:val="es-ES_tradnl" w:eastAsia="es-MX"/>
        </w:rPr>
        <w:t>Í</w:t>
      </w:r>
      <w:r w:rsidRPr="00E874D5">
        <w:rPr>
          <w:rFonts w:ascii="Arial Narrow" w:eastAsiaTheme="majorEastAsia" w:hAnsi="Arial Narrow" w:cstheme="majorBidi"/>
          <w:b/>
          <w:iCs/>
          <w:noProof/>
          <w:sz w:val="24"/>
          <w:szCs w:val="24"/>
          <w:lang w:val="es-ES_tradnl" w:eastAsia="es-MX"/>
        </w:rPr>
        <w:t>TULO II</w:t>
      </w:r>
    </w:p>
    <w:p w:rsidR="00B57E6A" w:rsidRDefault="00B57E6A" w:rsidP="009C516B">
      <w:pPr>
        <w:widowControl w:val="0"/>
        <w:spacing w:after="0" w:line="240" w:lineRule="auto"/>
        <w:jc w:val="center"/>
        <w:outlineLvl w:val="5"/>
        <w:rPr>
          <w:rFonts w:ascii="Arial Narrow" w:eastAsiaTheme="majorEastAsia" w:hAnsi="Arial Narrow" w:cstheme="majorBidi"/>
          <w:b/>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REQUISITOS Y PROCEDIMIENTOS</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4.–</w:t>
      </w:r>
      <w:r>
        <w:rPr>
          <w:rFonts w:ascii="Arial Narrow" w:eastAsiaTheme="majorEastAsia" w:hAnsi="Arial Narrow" w:cstheme="majorBidi"/>
          <w:iCs/>
          <w:noProof/>
          <w:color w:val="000000" w:themeColor="text1"/>
          <w:sz w:val="24"/>
          <w:szCs w:val="24"/>
          <w:lang w:val="es-ES_tradnl" w:eastAsia="es-MX"/>
        </w:rPr>
        <w:t xml:space="preserve"> Si una entidad obligada al cumplimiento de las presentes Normas deseare suscribir un contrato de arrendamiento con algunas de sus partes relacionadas, deberá obtener la previa autorización de la Superintendencia del Sistema Financiero, si no lo objetare.</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12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Para ello, la entidad deberá presentar a la indicada Superintendencia una solicitud por escrito, previo a la celebración del contrato, indicando:</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a)</w:t>
      </w:r>
      <w:r>
        <w:rPr>
          <w:rFonts w:ascii="Arial Narrow" w:eastAsiaTheme="majorEastAsia" w:hAnsi="Arial Narrow" w:cstheme="majorBidi"/>
          <w:iCs/>
          <w:noProof/>
          <w:color w:val="000000" w:themeColor="text1"/>
          <w:sz w:val="24"/>
          <w:szCs w:val="24"/>
          <w:lang w:val="es-ES_tradnl" w:eastAsia="es-MX"/>
        </w:rPr>
        <w:tab/>
        <w:t>El objeto y justificación del contrato;</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b)</w:t>
      </w:r>
      <w:r>
        <w:rPr>
          <w:rFonts w:ascii="Arial Narrow" w:eastAsiaTheme="majorEastAsia" w:hAnsi="Arial Narrow" w:cstheme="majorBidi"/>
          <w:iCs/>
          <w:noProof/>
          <w:color w:val="000000" w:themeColor="text1"/>
          <w:sz w:val="24"/>
          <w:szCs w:val="24"/>
          <w:lang w:val="es-ES_tradnl" w:eastAsia="es-MX"/>
        </w:rPr>
        <w:tab/>
        <w:t>El acuerdo de la junta directiva, asamblea de accionistas u órgano competente para decidir la contratación;</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c)</w:t>
      </w:r>
      <w:r>
        <w:rPr>
          <w:rFonts w:ascii="Arial Narrow" w:eastAsiaTheme="majorEastAsia" w:hAnsi="Arial Narrow" w:cstheme="majorBidi"/>
          <w:iCs/>
          <w:noProof/>
          <w:color w:val="000000" w:themeColor="text1"/>
          <w:sz w:val="24"/>
          <w:szCs w:val="24"/>
          <w:lang w:val="es-ES_tradnl" w:eastAsia="es-MX"/>
        </w:rPr>
        <w:tab/>
        <w:t>Generales del arrendante y clase de vinculación con el banco; y</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d)</w:t>
      </w:r>
      <w:r>
        <w:rPr>
          <w:rFonts w:ascii="Arial Narrow" w:eastAsiaTheme="majorEastAsia" w:hAnsi="Arial Narrow" w:cstheme="majorBidi"/>
          <w:iCs/>
          <w:noProof/>
          <w:color w:val="000000" w:themeColor="text1"/>
          <w:sz w:val="24"/>
          <w:szCs w:val="24"/>
          <w:lang w:val="es-ES_tradnl" w:eastAsia="es-MX"/>
        </w:rPr>
        <w:tab/>
        <w:t>Presupuesto de las inversiones a realizar en adecuaciones y remodelaciones.</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La referida Superintendencia deberá emitir el acuerdo respectivo dentro de los quince días siguientes al recibo de la solicitud, con toda la información necesaria, que le presente la entidad interesada.</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12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5.-</w:t>
      </w:r>
      <w:r>
        <w:rPr>
          <w:rFonts w:ascii="Arial Narrow" w:eastAsiaTheme="majorEastAsia" w:hAnsi="Arial Narrow" w:cstheme="majorBidi"/>
          <w:iCs/>
          <w:noProof/>
          <w:color w:val="000000" w:themeColor="text1"/>
          <w:sz w:val="24"/>
          <w:szCs w:val="24"/>
          <w:lang w:val="es-ES_tradnl" w:eastAsia="es-MX"/>
        </w:rPr>
        <w:t xml:space="preserve"> La Superintendencia del Sistema Financiero objetará los contratos de arrendamiento de </w:t>
      </w:r>
      <w:r>
        <w:rPr>
          <w:rFonts w:ascii="Arial Narrow" w:eastAsiaTheme="majorEastAsia" w:hAnsi="Arial Narrow" w:cstheme="majorBidi"/>
          <w:iCs/>
          <w:noProof/>
          <w:color w:val="000000" w:themeColor="text1"/>
          <w:sz w:val="24"/>
          <w:szCs w:val="24"/>
          <w:lang w:val="es-ES_tradnl" w:eastAsia="es-MX"/>
        </w:rPr>
        <w:lastRenderedPageBreak/>
        <w:t>inmuebles, a celebrarse entre una entidad obligada al cumplimiento de las presentes Normas con alguna de sus partes relacionadas, en los casos siguientes:</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a)</w:t>
      </w:r>
      <w:r>
        <w:rPr>
          <w:rFonts w:ascii="Arial Narrow" w:eastAsiaTheme="majorEastAsia" w:hAnsi="Arial Narrow" w:cstheme="majorBidi"/>
          <w:iCs/>
          <w:noProof/>
          <w:color w:val="000000" w:themeColor="text1"/>
          <w:sz w:val="24"/>
          <w:szCs w:val="24"/>
          <w:lang w:val="es-ES_tradnl" w:eastAsia="es-MX"/>
        </w:rPr>
        <w:tab/>
        <w:t>Cuando los términos sean más favorables para el arrendante que los suscritos con terceros en operaciones similares, dentro del sistema bancario;</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b)</w:t>
      </w:r>
      <w:r>
        <w:rPr>
          <w:rFonts w:ascii="Arial Narrow" w:eastAsiaTheme="majorEastAsia" w:hAnsi="Arial Narrow" w:cstheme="majorBidi"/>
          <w:iCs/>
          <w:noProof/>
          <w:color w:val="000000" w:themeColor="text1"/>
          <w:sz w:val="24"/>
          <w:szCs w:val="24"/>
          <w:lang w:val="es-ES_tradnl" w:eastAsia="es-MX"/>
        </w:rPr>
        <w:tab/>
        <w:t>Cuando del análisis financiero de los términos del contrato se concluya que perjudicará el patrimonio del banco; y</w:t>
      </w:r>
    </w:p>
    <w:p w:rsidR="00B57E6A" w:rsidRDefault="00B57E6A" w:rsidP="009C516B">
      <w:pPr>
        <w:widowControl w:val="0"/>
        <w:spacing w:after="0" w:line="240" w:lineRule="auto"/>
        <w:ind w:left="425" w:hanging="425"/>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iCs/>
          <w:noProof/>
          <w:color w:val="000000" w:themeColor="text1"/>
          <w:sz w:val="24"/>
          <w:szCs w:val="24"/>
          <w:lang w:val="es-ES_tradnl" w:eastAsia="es-MX"/>
        </w:rPr>
        <w:t>c)</w:t>
      </w:r>
      <w:r>
        <w:rPr>
          <w:rFonts w:ascii="Arial Narrow" w:eastAsiaTheme="majorEastAsia" w:hAnsi="Arial Narrow" w:cstheme="majorBidi"/>
          <w:iCs/>
          <w:noProof/>
          <w:color w:val="000000" w:themeColor="text1"/>
          <w:sz w:val="24"/>
          <w:szCs w:val="24"/>
          <w:lang w:val="es-ES_tradnl" w:eastAsia="es-MX"/>
        </w:rPr>
        <w:tab/>
        <w:t>Cuando se determine que el contrato se ha hecho con la intención de favorecer al arrendante.</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bookmarkStart w:id="0" w:name="_GoBack"/>
      <w:bookmarkEnd w:id="0"/>
    </w:p>
    <w:p w:rsidR="00B57E6A" w:rsidRDefault="00B57E6A" w:rsidP="009C516B">
      <w:pPr>
        <w:widowControl w:val="0"/>
        <w:spacing w:after="0" w:line="240" w:lineRule="auto"/>
        <w:jc w:val="center"/>
        <w:outlineLvl w:val="5"/>
        <w:rPr>
          <w:rFonts w:ascii="Arial Narrow" w:eastAsiaTheme="majorEastAsia" w:hAnsi="Arial Narrow" w:cstheme="majorBidi"/>
          <w:b/>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OTRAS DISPOSICIONES, DEROGATORIAS Y VIGENCIA</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6.-</w:t>
      </w:r>
      <w:r>
        <w:rPr>
          <w:rFonts w:ascii="Arial Narrow" w:eastAsiaTheme="majorEastAsia" w:hAnsi="Arial Narrow" w:cstheme="majorBidi"/>
          <w:iCs/>
          <w:noProof/>
          <w:color w:val="000000" w:themeColor="text1"/>
          <w:sz w:val="24"/>
          <w:szCs w:val="24"/>
          <w:lang w:val="es-ES_tradnl" w:eastAsia="es-MX"/>
        </w:rPr>
        <w:t xml:space="preserve"> Las presentes Normas dejan sin efecto las “Normas para Contratos de Arrendamiento de Bienes Inmuebles entre Bancos y Partes Relacionadas (NPB4-14)".</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7.-</w:t>
      </w:r>
      <w:r>
        <w:rPr>
          <w:rFonts w:ascii="Arial Narrow" w:eastAsiaTheme="majorEastAsia" w:hAnsi="Arial Narrow" w:cstheme="majorBidi"/>
          <w:iCs/>
          <w:noProof/>
          <w:color w:val="000000" w:themeColor="text1"/>
          <w:sz w:val="24"/>
          <w:szCs w:val="24"/>
          <w:lang w:val="es-ES_tradnl" w:eastAsia="es-MX"/>
        </w:rPr>
        <w:t xml:space="preserve"> Los procedimientos administrativos que estuvieren pendientes a la vigencia de las presentes Normas, se continuaran tramitando con base a las disposiciones con que fueron iniciados.</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8.-</w:t>
      </w:r>
      <w:r>
        <w:rPr>
          <w:rFonts w:ascii="Arial Narrow" w:eastAsiaTheme="majorEastAsia" w:hAnsi="Arial Narrow" w:cstheme="majorBidi"/>
          <w:iCs/>
          <w:noProof/>
          <w:color w:val="000000" w:themeColor="text1"/>
          <w:sz w:val="24"/>
          <w:szCs w:val="24"/>
          <w:lang w:val="es-ES_tradnl" w:eastAsia="es-MX"/>
        </w:rPr>
        <w:t xml:space="preserve"> Las financieras actualmente existentes en el país se sujetarán también al cumplimiento de las presentes Normas. </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9.-</w:t>
      </w:r>
      <w:r>
        <w:rPr>
          <w:rFonts w:ascii="Arial Narrow" w:eastAsiaTheme="majorEastAsia" w:hAnsi="Arial Narrow" w:cstheme="majorBidi"/>
          <w:iCs/>
          <w:noProof/>
          <w:color w:val="000000" w:themeColor="text1"/>
          <w:sz w:val="24"/>
          <w:szCs w:val="24"/>
          <w:lang w:val="es-ES_tradnl" w:eastAsia="es-MX"/>
        </w:rPr>
        <w:t xml:space="preserve"> Lo no contemplado en estas Normas será resuelto por el Consejo Directivo de la Superintendencia del Sistema Financiero</w:t>
      </w:r>
      <w:r w:rsidR="00C72012">
        <w:rPr>
          <w:rFonts w:ascii="Arial Narrow" w:eastAsiaTheme="majorEastAsia" w:hAnsi="Arial Narrow" w:cstheme="majorBidi"/>
          <w:iCs/>
          <w:noProof/>
          <w:color w:val="000000" w:themeColor="text1"/>
          <w:sz w:val="24"/>
          <w:szCs w:val="24"/>
          <w:lang w:val="es-ES_tradnl" w:eastAsia="es-MX"/>
        </w:rPr>
        <w:t>.</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r>
        <w:rPr>
          <w:rFonts w:ascii="Arial Narrow" w:eastAsiaTheme="majorEastAsia" w:hAnsi="Arial Narrow" w:cstheme="majorBidi"/>
          <w:b/>
          <w:iCs/>
          <w:noProof/>
          <w:color w:val="000000" w:themeColor="text1"/>
          <w:sz w:val="24"/>
          <w:szCs w:val="24"/>
          <w:lang w:val="es-ES_tradnl" w:eastAsia="es-MX"/>
        </w:rPr>
        <w:t>Art. 10.-</w:t>
      </w:r>
      <w:r>
        <w:rPr>
          <w:rFonts w:ascii="Arial Narrow" w:eastAsiaTheme="majorEastAsia" w:hAnsi="Arial Narrow" w:cstheme="majorBidi"/>
          <w:iCs/>
          <w:noProof/>
          <w:color w:val="000000" w:themeColor="text1"/>
          <w:sz w:val="24"/>
          <w:szCs w:val="24"/>
          <w:lang w:val="es-ES_tradnl" w:eastAsia="es-MX"/>
        </w:rPr>
        <w:t xml:space="preserve"> Las presentes Normas entrarán en vigencia a partir del día primero de junio del año dos mil uno.</w:t>
      </w:r>
    </w:p>
    <w:p w:rsidR="00B57E6A" w:rsidRDefault="00B57E6A" w:rsidP="009C516B">
      <w:pPr>
        <w:widowControl w:val="0"/>
        <w:spacing w:after="0" w:line="240" w:lineRule="auto"/>
        <w:jc w:val="both"/>
        <w:outlineLvl w:val="5"/>
        <w:rPr>
          <w:rFonts w:ascii="Arial Narrow" w:eastAsiaTheme="majorEastAsia" w:hAnsi="Arial Narrow" w:cstheme="majorBidi"/>
          <w:iCs/>
          <w:noProof/>
          <w:color w:val="000000" w:themeColor="text1"/>
          <w:sz w:val="24"/>
          <w:szCs w:val="24"/>
          <w:lang w:val="es-ES_tradnl" w:eastAsia="es-MX"/>
        </w:rPr>
      </w:pPr>
    </w:p>
    <w:p w:rsidR="00B57E6A" w:rsidRPr="00B57E6A" w:rsidRDefault="00B57E6A" w:rsidP="009C516B">
      <w:pPr>
        <w:widowControl w:val="0"/>
      </w:pPr>
    </w:p>
    <w:sectPr w:rsidR="00B57E6A" w:rsidRPr="00B57E6A" w:rsidSect="00807AF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76" w:rsidRDefault="00296876" w:rsidP="009C24F4">
      <w:pPr>
        <w:spacing w:after="0" w:line="240" w:lineRule="auto"/>
      </w:pPr>
      <w:r>
        <w:separator/>
      </w:r>
    </w:p>
  </w:endnote>
  <w:endnote w:type="continuationSeparator" w:id="0">
    <w:p w:rsidR="00296876" w:rsidRDefault="00296876" w:rsidP="009C2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09" w:type="dxa"/>
      <w:tblInd w:w="-231" w:type="dxa"/>
      <w:tblBorders>
        <w:top w:val="triple" w:sz="4" w:space="0" w:color="A6A6A6" w:themeColor="background1" w:themeShade="A6"/>
      </w:tblBorders>
      <w:tblLook w:val="04A0"/>
    </w:tblPr>
    <w:tblGrid>
      <w:gridCol w:w="946"/>
      <w:gridCol w:w="6521"/>
      <w:gridCol w:w="1842"/>
    </w:tblGrid>
    <w:tr w:rsidR="009C24F4" w:rsidTr="00F1105A">
      <w:trPr>
        <w:trHeight w:val="822"/>
      </w:trPr>
      <w:tc>
        <w:tcPr>
          <w:tcW w:w="946" w:type="dxa"/>
          <w:tcBorders>
            <w:top w:val="nil"/>
            <w:left w:val="nil"/>
            <w:bottom w:val="nil"/>
            <w:right w:val="nil"/>
          </w:tcBorders>
          <w:vAlign w:val="bottom"/>
        </w:tcPr>
        <w:p w:rsidR="009C24F4" w:rsidRDefault="009C24F4" w:rsidP="00DD59D3">
          <w:pPr>
            <w:pStyle w:val="Piedepgina"/>
            <w:ind w:firstLine="34"/>
            <w:jc w:val="center"/>
            <w:rPr>
              <w:rFonts w:ascii="Arial Narrow" w:hAnsi="Arial Narrow"/>
              <w:sz w:val="20"/>
              <w:szCs w:val="20"/>
            </w:rPr>
          </w:pPr>
        </w:p>
        <w:p w:rsidR="009C24F4" w:rsidRDefault="009C24F4" w:rsidP="00DD59D3">
          <w:pPr>
            <w:pStyle w:val="Piedepgina"/>
            <w:ind w:firstLine="34"/>
            <w:jc w:val="center"/>
            <w:rPr>
              <w:rFonts w:ascii="Arial Narrow" w:hAnsi="Arial Narrow"/>
              <w:sz w:val="20"/>
              <w:szCs w:val="20"/>
            </w:rPr>
          </w:pPr>
        </w:p>
        <w:p w:rsidR="009C24F4" w:rsidRDefault="009C24F4" w:rsidP="00DD59D3">
          <w:pPr>
            <w:pStyle w:val="Piedepgina"/>
            <w:ind w:firstLine="34"/>
            <w:rPr>
              <w:rFonts w:ascii="Arial Narrow" w:eastAsia="Times New Roman" w:hAnsi="Arial Narrow"/>
              <w:sz w:val="20"/>
              <w:szCs w:val="20"/>
              <w:lang w:val="es-ES" w:eastAsia="es-ES"/>
            </w:rPr>
          </w:pPr>
        </w:p>
      </w:tc>
      <w:tc>
        <w:tcPr>
          <w:tcW w:w="6521" w:type="dxa"/>
          <w:tcBorders>
            <w:top w:val="triple" w:sz="4" w:space="0" w:color="A6A6A6" w:themeColor="background1" w:themeShade="A6"/>
            <w:left w:val="nil"/>
            <w:bottom w:val="nil"/>
            <w:right w:val="nil"/>
          </w:tcBorders>
          <w:vAlign w:val="center"/>
          <w:hideMark/>
        </w:tcPr>
        <w:p w:rsidR="009C24F4" w:rsidRPr="004A4BA4" w:rsidRDefault="009C24F4" w:rsidP="00DD59D3">
          <w:pPr>
            <w:pStyle w:val="Piedepgina"/>
            <w:jc w:val="center"/>
            <w:rPr>
              <w:rFonts w:ascii="Arial Narrow" w:hAnsi="Arial Narrow" w:cs="Arial"/>
              <w:color w:val="808080" w:themeColor="background1" w:themeShade="80"/>
              <w:sz w:val="20"/>
              <w:szCs w:val="20"/>
              <w:lang w:val="es-MX"/>
            </w:rPr>
          </w:pPr>
          <w:r w:rsidRPr="004A4BA4">
            <w:rPr>
              <w:rFonts w:ascii="Arial Narrow" w:hAnsi="Arial Narrow" w:cs="Arial"/>
              <w:color w:val="808080" w:themeColor="background1" w:themeShade="80"/>
              <w:sz w:val="20"/>
              <w:szCs w:val="20"/>
              <w:lang w:val="es-MX"/>
            </w:rPr>
            <w:t>Alameda Juan Pablo II, entre 15 y 17 Av. Norte, San Salvador, El Salvador.</w:t>
          </w:r>
        </w:p>
        <w:p w:rsidR="009C24F4" w:rsidRPr="004A4BA4" w:rsidRDefault="009C24F4" w:rsidP="00DD59D3">
          <w:pPr>
            <w:pStyle w:val="Piedepgina"/>
            <w:jc w:val="center"/>
            <w:rPr>
              <w:rFonts w:ascii="Arial Narrow" w:hAnsi="Arial Narrow" w:cs="Arial"/>
              <w:color w:val="808080" w:themeColor="background1" w:themeShade="80"/>
              <w:sz w:val="20"/>
              <w:szCs w:val="20"/>
              <w:lang w:val="es-ES"/>
            </w:rPr>
          </w:pPr>
          <w:r w:rsidRPr="004A4BA4">
            <w:rPr>
              <w:rFonts w:ascii="Arial Narrow" w:hAnsi="Arial Narrow" w:cs="Arial"/>
              <w:color w:val="808080" w:themeColor="background1" w:themeShade="80"/>
              <w:sz w:val="20"/>
              <w:szCs w:val="20"/>
            </w:rPr>
            <w:t>Tel. (503) 2281-8000</w:t>
          </w:r>
        </w:p>
        <w:p w:rsidR="009C24F4" w:rsidRPr="004A4BA4" w:rsidRDefault="009C24F4" w:rsidP="00DD59D3">
          <w:pPr>
            <w:pStyle w:val="Piedepgina"/>
            <w:jc w:val="center"/>
            <w:rPr>
              <w:rFonts w:ascii="Arial Narrow" w:eastAsia="Times New Roman" w:hAnsi="Arial Narrow" w:cs="Arial"/>
              <w:color w:val="808080" w:themeColor="background1" w:themeShade="80"/>
              <w:sz w:val="20"/>
              <w:szCs w:val="20"/>
              <w:lang w:val="es-ES" w:eastAsia="es-ES"/>
            </w:rPr>
          </w:pPr>
          <w:r w:rsidRPr="004A4BA4">
            <w:rPr>
              <w:rFonts w:ascii="Arial Narrow" w:hAnsi="Arial Narrow" w:cs="Arial"/>
              <w:color w:val="808080" w:themeColor="background1" w:themeShade="80"/>
              <w:sz w:val="20"/>
              <w:szCs w:val="20"/>
            </w:rPr>
            <w:t>www.bcr.gob.sv</w:t>
          </w:r>
        </w:p>
      </w:tc>
      <w:tc>
        <w:tcPr>
          <w:tcW w:w="1842" w:type="dxa"/>
          <w:tcBorders>
            <w:top w:val="triple" w:sz="4" w:space="0" w:color="A6A6A6" w:themeColor="background1" w:themeShade="A6"/>
            <w:left w:val="nil"/>
            <w:bottom w:val="nil"/>
            <w:right w:val="nil"/>
          </w:tcBorders>
          <w:vAlign w:val="center"/>
          <w:hideMark/>
        </w:tcPr>
        <w:p w:rsidR="009C24F4" w:rsidRPr="004A4BA4" w:rsidRDefault="00891227" w:rsidP="00DD59D3">
          <w:pPr>
            <w:pStyle w:val="Piedepgina"/>
            <w:jc w:val="center"/>
            <w:rPr>
              <w:rFonts w:ascii="Arial Narrow" w:eastAsia="Times New Roman" w:hAnsi="Arial Narrow" w:cs="Arial"/>
              <w:color w:val="808080" w:themeColor="background1" w:themeShade="80"/>
              <w:sz w:val="20"/>
              <w:szCs w:val="20"/>
              <w:lang w:val="es-ES" w:eastAsia="es-ES"/>
            </w:rPr>
          </w:pPr>
          <w:sdt>
            <w:sdtPr>
              <w:rPr>
                <w:rFonts w:ascii="Arial Narrow" w:hAnsi="Arial Narrow" w:cs="Arial"/>
                <w:color w:val="808080" w:themeColor="background1" w:themeShade="80"/>
                <w:sz w:val="20"/>
                <w:szCs w:val="20"/>
              </w:rPr>
              <w:id w:val="-2051442318"/>
              <w:docPartObj>
                <w:docPartGallery w:val="Page Numbers (Bottom of Page)"/>
                <w:docPartUnique/>
              </w:docPartObj>
            </w:sdtPr>
            <w:sdtContent>
              <w:sdt>
                <w:sdtPr>
                  <w:rPr>
                    <w:rFonts w:ascii="Arial Narrow" w:hAnsi="Arial Narrow" w:cs="Arial"/>
                    <w:color w:val="808080" w:themeColor="background1" w:themeShade="80"/>
                    <w:sz w:val="20"/>
                    <w:szCs w:val="20"/>
                  </w:rPr>
                  <w:id w:val="1542401350"/>
                  <w:docPartObj>
                    <w:docPartGallery w:val="Page Numbers (Top of Page)"/>
                    <w:docPartUnique/>
                  </w:docPartObj>
                </w:sdtPr>
                <w:sdtContent>
                  <w:r w:rsidR="009C24F4" w:rsidRPr="004A4BA4">
                    <w:rPr>
                      <w:rFonts w:ascii="Arial Narrow" w:hAnsi="Arial Narrow" w:cs="Arial"/>
                      <w:color w:val="808080" w:themeColor="background1" w:themeShade="80"/>
                      <w:sz w:val="20"/>
                      <w:szCs w:val="20"/>
                    </w:rPr>
                    <w:t xml:space="preserve">Página </w:t>
                  </w:r>
                  <w:r w:rsidRPr="004A4BA4">
                    <w:rPr>
                      <w:rFonts w:ascii="Arial Narrow" w:hAnsi="Arial Narrow" w:cs="Arial"/>
                      <w:color w:val="808080" w:themeColor="background1" w:themeShade="80"/>
                      <w:sz w:val="20"/>
                      <w:szCs w:val="20"/>
                    </w:rPr>
                    <w:fldChar w:fldCharType="begin"/>
                  </w:r>
                  <w:r w:rsidR="009C24F4" w:rsidRPr="004A4BA4">
                    <w:rPr>
                      <w:rFonts w:ascii="Arial Narrow" w:hAnsi="Arial Narrow" w:cs="Arial"/>
                      <w:color w:val="808080" w:themeColor="background1" w:themeShade="80"/>
                      <w:sz w:val="20"/>
                      <w:szCs w:val="20"/>
                    </w:rPr>
                    <w:instrText>PAGE</w:instrText>
                  </w:r>
                  <w:r w:rsidRPr="004A4BA4">
                    <w:rPr>
                      <w:rFonts w:ascii="Arial Narrow" w:hAnsi="Arial Narrow" w:cs="Arial"/>
                      <w:color w:val="808080" w:themeColor="background1" w:themeShade="80"/>
                      <w:sz w:val="20"/>
                      <w:szCs w:val="20"/>
                    </w:rPr>
                    <w:fldChar w:fldCharType="separate"/>
                  </w:r>
                  <w:r w:rsidR="00C66DF1">
                    <w:rPr>
                      <w:rFonts w:ascii="Arial Narrow" w:hAnsi="Arial Narrow" w:cs="Arial"/>
                      <w:noProof/>
                      <w:color w:val="808080" w:themeColor="background1" w:themeShade="80"/>
                      <w:sz w:val="20"/>
                      <w:szCs w:val="20"/>
                    </w:rPr>
                    <w:t>1</w:t>
                  </w:r>
                  <w:r w:rsidRPr="004A4BA4">
                    <w:rPr>
                      <w:rFonts w:ascii="Arial Narrow" w:hAnsi="Arial Narrow" w:cs="Arial"/>
                      <w:color w:val="808080" w:themeColor="background1" w:themeShade="80"/>
                      <w:sz w:val="20"/>
                      <w:szCs w:val="20"/>
                    </w:rPr>
                    <w:fldChar w:fldCharType="end"/>
                  </w:r>
                  <w:r w:rsidR="009C24F4" w:rsidRPr="004A4BA4">
                    <w:rPr>
                      <w:rFonts w:ascii="Arial Narrow" w:hAnsi="Arial Narrow" w:cs="Arial"/>
                      <w:color w:val="808080" w:themeColor="background1" w:themeShade="80"/>
                      <w:sz w:val="20"/>
                      <w:szCs w:val="20"/>
                    </w:rPr>
                    <w:t xml:space="preserve"> de </w:t>
                  </w:r>
                  <w:r w:rsidRPr="004A4BA4">
                    <w:rPr>
                      <w:rFonts w:ascii="Arial Narrow" w:hAnsi="Arial Narrow" w:cs="Arial"/>
                      <w:color w:val="808080" w:themeColor="background1" w:themeShade="80"/>
                      <w:sz w:val="20"/>
                      <w:szCs w:val="20"/>
                    </w:rPr>
                    <w:fldChar w:fldCharType="begin"/>
                  </w:r>
                  <w:r w:rsidR="009C24F4" w:rsidRPr="004A4BA4">
                    <w:rPr>
                      <w:rFonts w:ascii="Arial Narrow" w:hAnsi="Arial Narrow" w:cs="Arial"/>
                      <w:color w:val="808080" w:themeColor="background1" w:themeShade="80"/>
                      <w:sz w:val="20"/>
                      <w:szCs w:val="20"/>
                    </w:rPr>
                    <w:instrText>NUMPAGES</w:instrText>
                  </w:r>
                  <w:r w:rsidRPr="004A4BA4">
                    <w:rPr>
                      <w:rFonts w:ascii="Arial Narrow" w:hAnsi="Arial Narrow" w:cs="Arial"/>
                      <w:color w:val="808080" w:themeColor="background1" w:themeShade="80"/>
                      <w:sz w:val="20"/>
                      <w:szCs w:val="20"/>
                    </w:rPr>
                    <w:fldChar w:fldCharType="separate"/>
                  </w:r>
                  <w:r w:rsidR="00C66DF1">
                    <w:rPr>
                      <w:rFonts w:ascii="Arial Narrow" w:hAnsi="Arial Narrow" w:cs="Arial"/>
                      <w:noProof/>
                      <w:color w:val="808080" w:themeColor="background1" w:themeShade="80"/>
                      <w:sz w:val="20"/>
                      <w:szCs w:val="20"/>
                    </w:rPr>
                    <w:t>2</w:t>
                  </w:r>
                  <w:r w:rsidRPr="004A4BA4">
                    <w:rPr>
                      <w:rFonts w:ascii="Arial Narrow" w:hAnsi="Arial Narrow" w:cs="Arial"/>
                      <w:color w:val="808080" w:themeColor="background1" w:themeShade="80"/>
                      <w:sz w:val="20"/>
                      <w:szCs w:val="20"/>
                    </w:rPr>
                    <w:fldChar w:fldCharType="end"/>
                  </w:r>
                </w:sdtContent>
              </w:sdt>
            </w:sdtContent>
          </w:sdt>
        </w:p>
      </w:tc>
    </w:tr>
  </w:tbl>
  <w:p w:rsidR="009C24F4" w:rsidRDefault="009C24F4" w:rsidP="00F110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76" w:rsidRDefault="00296876" w:rsidP="009C24F4">
      <w:pPr>
        <w:spacing w:after="0" w:line="240" w:lineRule="auto"/>
      </w:pPr>
      <w:r>
        <w:separator/>
      </w:r>
    </w:p>
  </w:footnote>
  <w:footnote w:type="continuationSeparator" w:id="0">
    <w:p w:rsidR="00296876" w:rsidRDefault="00296876" w:rsidP="009C24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988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6208"/>
      <w:gridCol w:w="1559"/>
    </w:tblGrid>
    <w:tr w:rsidR="009849E6" w:rsidRPr="005B4E82" w:rsidTr="00F1105A">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849E6" w:rsidRPr="004A4BA4" w:rsidRDefault="009849E6" w:rsidP="004A4BA4">
          <w:pPr>
            <w:widowControl w:val="0"/>
            <w:tabs>
              <w:tab w:val="center" w:pos="4419"/>
              <w:tab w:val="right" w:pos="8838"/>
            </w:tabs>
            <w:spacing w:line="276" w:lineRule="auto"/>
            <w:jc w:val="center"/>
            <w:rPr>
              <w:rFonts w:ascii="Arial Narrow" w:hAnsi="Arial Narrow" w:cs="Arial"/>
              <w:color w:val="808080" w:themeColor="background1" w:themeShade="80"/>
            </w:rPr>
          </w:pPr>
          <w:r w:rsidRPr="004A4BA4">
            <w:rPr>
              <w:rFonts w:ascii="Arial Narrow" w:hAnsi="Arial Narrow" w:cs="Arial"/>
              <w:color w:val="808080" w:themeColor="background1" w:themeShade="80"/>
            </w:rPr>
            <w:t>CDSSF-22/2001</w:t>
          </w:r>
        </w:p>
      </w:tc>
      <w:tc>
        <w:tcPr>
          <w:tcW w:w="6208" w:type="dxa"/>
          <w:vMerge w:val="restart"/>
          <w:tcBorders>
            <w:top w:val="triple" w:sz="4" w:space="0" w:color="A6A6A6" w:themeColor="background1" w:themeShade="A6"/>
            <w:left w:val="triple" w:sz="4" w:space="0" w:color="A6A6A6" w:themeColor="background1" w:themeShade="A6"/>
            <w:right w:val="triple" w:sz="4" w:space="0" w:color="BFBFBF" w:themeColor="background1" w:themeShade="BF"/>
          </w:tcBorders>
          <w:vAlign w:val="center"/>
        </w:tcPr>
        <w:p w:rsidR="009849E6" w:rsidRPr="004A4BA4" w:rsidRDefault="009849E6" w:rsidP="004A4BA4">
          <w:pPr>
            <w:widowControl w:val="0"/>
            <w:tabs>
              <w:tab w:val="center" w:pos="4419"/>
              <w:tab w:val="right" w:pos="8838"/>
            </w:tabs>
            <w:spacing w:line="276" w:lineRule="auto"/>
            <w:jc w:val="center"/>
            <w:rPr>
              <w:rFonts w:ascii="Arial Narrow" w:hAnsi="Arial Narrow" w:cs="Arial"/>
              <w:color w:val="808080" w:themeColor="background1" w:themeShade="80"/>
            </w:rPr>
          </w:pPr>
          <w:r w:rsidRPr="004A4BA4">
            <w:rPr>
              <w:rFonts w:ascii="Arial Narrow" w:hAnsi="Arial Narrow" w:cs="Arial"/>
              <w:color w:val="808080" w:themeColor="background1" w:themeShade="80"/>
            </w:rPr>
            <w:t>NPB4-31</w:t>
          </w:r>
        </w:p>
        <w:p w:rsidR="009849E6" w:rsidRPr="005B4E82" w:rsidRDefault="009849E6" w:rsidP="009C516B">
          <w:pPr>
            <w:widowControl w:val="0"/>
            <w:tabs>
              <w:tab w:val="center" w:pos="4419"/>
              <w:tab w:val="right" w:pos="8838"/>
            </w:tabs>
            <w:jc w:val="center"/>
            <w:rPr>
              <w:rFonts w:ascii="Arial Narrow" w:hAnsi="Arial Narrow" w:cs="Arial"/>
              <w:sz w:val="24"/>
              <w:szCs w:val="24"/>
            </w:rPr>
          </w:pPr>
          <w:r w:rsidRPr="004A4BA4">
            <w:rPr>
              <w:rFonts w:ascii="Arial Narrow" w:hAnsi="Arial Narrow" w:cs="Arial"/>
              <w:color w:val="808080" w:themeColor="background1" w:themeShade="80"/>
            </w:rPr>
            <w:t>NORMAS PARA CONTRATOS DE ARRENDAMIENTO DE BIENES INMUEBLES ENTRE BANCOS Y PARTES RELACIONADAS</w:t>
          </w:r>
        </w:p>
      </w:tc>
      <w:tc>
        <w:tcPr>
          <w:tcW w:w="1559" w:type="dxa"/>
          <w:vMerge w:val="restart"/>
          <w:tcBorders>
            <w:top w:val="triple" w:sz="4" w:space="0" w:color="A6A6A6" w:themeColor="background1" w:themeShade="A6"/>
            <w:left w:val="triple" w:sz="4" w:space="0" w:color="BFBFBF" w:themeColor="background1" w:themeShade="BF"/>
            <w:right w:val="triple" w:sz="4" w:space="0" w:color="A6A6A6" w:themeColor="background1" w:themeShade="A6"/>
          </w:tcBorders>
          <w:vAlign w:val="center"/>
        </w:tcPr>
        <w:p w:rsidR="009849E6" w:rsidRPr="005B4E82" w:rsidRDefault="009849E6" w:rsidP="009C516B">
          <w:pPr>
            <w:widowControl w:val="0"/>
            <w:tabs>
              <w:tab w:val="center" w:pos="4419"/>
              <w:tab w:val="right" w:pos="8838"/>
            </w:tabs>
            <w:jc w:val="center"/>
            <w:rPr>
              <w:rFonts w:ascii="Arial Narrow" w:hAnsi="Arial Narrow" w:cs="Arial"/>
              <w:sz w:val="24"/>
              <w:szCs w:val="24"/>
            </w:rPr>
          </w:pPr>
        </w:p>
      </w:tc>
    </w:tr>
    <w:tr w:rsidR="009849E6" w:rsidRPr="005B4E82" w:rsidTr="00F1105A">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849E6" w:rsidRPr="004A4BA4" w:rsidRDefault="009849E6" w:rsidP="004A4BA4">
          <w:pPr>
            <w:widowControl w:val="0"/>
            <w:tabs>
              <w:tab w:val="center" w:pos="4419"/>
              <w:tab w:val="right" w:pos="8838"/>
            </w:tabs>
            <w:spacing w:line="276" w:lineRule="auto"/>
            <w:jc w:val="center"/>
            <w:rPr>
              <w:rFonts w:ascii="Arial Narrow" w:hAnsi="Arial Narrow" w:cs="Arial"/>
              <w:color w:val="808080" w:themeColor="background1" w:themeShade="80"/>
            </w:rPr>
          </w:pPr>
          <w:r w:rsidRPr="004A4BA4">
            <w:rPr>
              <w:rFonts w:ascii="Arial Narrow" w:hAnsi="Arial Narrow" w:cs="Arial"/>
              <w:color w:val="808080" w:themeColor="background1" w:themeShade="80"/>
            </w:rPr>
            <w:t>Aprobación: 10/05/2001</w:t>
          </w:r>
        </w:p>
      </w:tc>
      <w:tc>
        <w:tcPr>
          <w:tcW w:w="6208" w:type="dxa"/>
          <w:vMerge/>
          <w:tcBorders>
            <w:left w:val="triple" w:sz="4" w:space="0" w:color="A6A6A6" w:themeColor="background1" w:themeShade="A6"/>
            <w:right w:val="triple" w:sz="4" w:space="0" w:color="BFBFBF" w:themeColor="background1" w:themeShade="BF"/>
          </w:tcBorders>
          <w:vAlign w:val="center"/>
          <w:hideMark/>
        </w:tcPr>
        <w:p w:rsidR="009849E6" w:rsidRPr="005B4E82" w:rsidRDefault="009849E6" w:rsidP="004C6415">
          <w:pPr>
            <w:rPr>
              <w:rFonts w:ascii="Arial Narrow" w:hAnsi="Arial Narrow" w:cs="Arial"/>
              <w:sz w:val="24"/>
              <w:szCs w:val="24"/>
            </w:rPr>
          </w:pPr>
        </w:p>
      </w:tc>
      <w:tc>
        <w:tcPr>
          <w:tcW w:w="1559" w:type="dxa"/>
          <w:vMerge/>
          <w:tcBorders>
            <w:left w:val="triple" w:sz="4" w:space="0" w:color="BFBFBF" w:themeColor="background1" w:themeShade="BF"/>
            <w:right w:val="triple" w:sz="4" w:space="0" w:color="A6A6A6" w:themeColor="background1" w:themeShade="A6"/>
          </w:tcBorders>
          <w:vAlign w:val="center"/>
        </w:tcPr>
        <w:p w:rsidR="009849E6" w:rsidRPr="005B4E82" w:rsidRDefault="009849E6" w:rsidP="004C6415">
          <w:pPr>
            <w:rPr>
              <w:rFonts w:ascii="Arial Narrow" w:hAnsi="Arial Narrow" w:cs="Arial"/>
              <w:sz w:val="24"/>
              <w:szCs w:val="24"/>
            </w:rPr>
          </w:pPr>
        </w:p>
      </w:tc>
    </w:tr>
    <w:tr w:rsidR="009849E6" w:rsidRPr="005B4E82" w:rsidTr="00F1105A">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849E6" w:rsidRPr="004A4BA4" w:rsidRDefault="009849E6" w:rsidP="004A4BA4">
          <w:pPr>
            <w:widowControl w:val="0"/>
            <w:tabs>
              <w:tab w:val="center" w:pos="4419"/>
              <w:tab w:val="right" w:pos="8838"/>
            </w:tabs>
            <w:spacing w:line="276" w:lineRule="auto"/>
            <w:jc w:val="center"/>
            <w:rPr>
              <w:rFonts w:ascii="Arial Narrow" w:hAnsi="Arial Narrow" w:cs="Arial"/>
              <w:color w:val="808080" w:themeColor="background1" w:themeShade="80"/>
            </w:rPr>
          </w:pPr>
          <w:r w:rsidRPr="004A4BA4">
            <w:rPr>
              <w:rFonts w:ascii="Arial Narrow" w:hAnsi="Arial Narrow" w:cs="Arial"/>
              <w:color w:val="808080" w:themeColor="background1" w:themeShade="80"/>
            </w:rPr>
            <w:t>Vigencia: 01/06/2001</w:t>
          </w:r>
        </w:p>
      </w:tc>
      <w:tc>
        <w:tcPr>
          <w:tcW w:w="6208" w:type="dxa"/>
          <w:vMerge/>
          <w:tcBorders>
            <w:left w:val="triple" w:sz="4" w:space="0" w:color="A6A6A6" w:themeColor="background1" w:themeShade="A6"/>
            <w:bottom w:val="triple" w:sz="4" w:space="0" w:color="A6A6A6" w:themeColor="background1" w:themeShade="A6"/>
            <w:right w:val="triple" w:sz="4" w:space="0" w:color="BFBFBF" w:themeColor="background1" w:themeShade="BF"/>
          </w:tcBorders>
          <w:vAlign w:val="center"/>
          <w:hideMark/>
        </w:tcPr>
        <w:p w:rsidR="009849E6" w:rsidRPr="005B4E82" w:rsidRDefault="009849E6" w:rsidP="004C6415">
          <w:pPr>
            <w:rPr>
              <w:rFonts w:ascii="Arial Narrow" w:hAnsi="Arial Narrow" w:cs="Arial"/>
              <w:sz w:val="24"/>
              <w:szCs w:val="24"/>
            </w:rPr>
          </w:pPr>
        </w:p>
      </w:tc>
      <w:tc>
        <w:tcPr>
          <w:tcW w:w="1559" w:type="dxa"/>
          <w:vMerge/>
          <w:tcBorders>
            <w:left w:val="triple" w:sz="4" w:space="0" w:color="BFBFBF" w:themeColor="background1" w:themeShade="BF"/>
            <w:bottom w:val="triple" w:sz="4" w:space="0" w:color="A6A6A6" w:themeColor="background1" w:themeShade="A6"/>
            <w:right w:val="triple" w:sz="4" w:space="0" w:color="A6A6A6" w:themeColor="background1" w:themeShade="A6"/>
          </w:tcBorders>
          <w:vAlign w:val="center"/>
        </w:tcPr>
        <w:p w:rsidR="009849E6" w:rsidRPr="005B4E82" w:rsidRDefault="009849E6" w:rsidP="004C6415">
          <w:pPr>
            <w:rPr>
              <w:rFonts w:ascii="Arial Narrow" w:hAnsi="Arial Narrow" w:cs="Arial"/>
              <w:sz w:val="24"/>
              <w:szCs w:val="24"/>
            </w:rPr>
          </w:pPr>
        </w:p>
      </w:tc>
    </w:tr>
  </w:tbl>
  <w:p w:rsidR="009C24F4" w:rsidRDefault="009C24F4">
    <w:pPr>
      <w:pStyle w:val="Encabezado"/>
    </w:pPr>
  </w:p>
  <w:p w:rsidR="009C516B" w:rsidRDefault="009C516B">
    <w:pPr>
      <w:pStyle w:val="Encabezado"/>
    </w:pPr>
  </w:p>
  <w:p w:rsidR="00B57E6A" w:rsidRDefault="00B57E6A">
    <w:pPr>
      <w:pStyle w:val="Encabezado"/>
    </w:pPr>
  </w:p>
  <w:p w:rsidR="00B57E6A" w:rsidRDefault="00B57E6A">
    <w:pPr>
      <w:pStyle w:val="Encabezado"/>
    </w:pPr>
  </w:p>
  <w:p w:rsidR="00B57E6A" w:rsidRDefault="00B57E6A">
    <w:pPr>
      <w:pStyle w:val="Encabezado"/>
    </w:pPr>
  </w:p>
  <w:p w:rsidR="00B57E6A" w:rsidRDefault="00B57E6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1">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4F5CCB"/>
    <w:multiLevelType w:val="singleLevel"/>
    <w:tmpl w:val="09543FFA"/>
    <w:lvl w:ilvl="0">
      <w:start w:val="1"/>
      <w:numFmt w:val="lowerLetter"/>
      <w:lvlText w:val="%1)"/>
      <w:lvlJc w:val="left"/>
      <w:pPr>
        <w:tabs>
          <w:tab w:val="num" w:pos="705"/>
        </w:tabs>
        <w:ind w:left="705" w:hanging="705"/>
      </w:pPr>
      <w:rPr>
        <w:rFonts w:hint="default"/>
      </w:rPr>
    </w:lvl>
  </w:abstractNum>
  <w:abstractNum w:abstractNumId="5">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6">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5067B"/>
    <w:multiLevelType w:val="hybridMultilevel"/>
    <w:tmpl w:val="B4C2F9C2"/>
    <w:lvl w:ilvl="0" w:tplc="33ACAD40">
      <w:start w:val="1"/>
      <w:numFmt w:val="lowerRoman"/>
      <w:lvlText w:val="%1)"/>
      <w:lvlJc w:val="left"/>
      <w:pPr>
        <w:tabs>
          <w:tab w:val="num" w:pos="2505"/>
        </w:tabs>
        <w:ind w:left="2505" w:hanging="705"/>
      </w:pPr>
      <w:rPr>
        <w:rFonts w:ascii="Times New Roman" w:eastAsia="Times New Roman" w:hAnsi="Times New Roman" w:cs="Times New Roman"/>
      </w:rPr>
    </w:lvl>
    <w:lvl w:ilvl="1" w:tplc="080A001B">
      <w:start w:val="1"/>
      <w:numFmt w:val="lowerRoman"/>
      <w:lvlText w:val="%2."/>
      <w:lvlJc w:val="right"/>
      <w:pPr>
        <w:tabs>
          <w:tab w:val="num" w:pos="1980"/>
        </w:tabs>
        <w:ind w:left="1980" w:hanging="18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9">
    <w:nsid w:val="3F014EAF"/>
    <w:multiLevelType w:val="singleLevel"/>
    <w:tmpl w:val="B7A487FE"/>
    <w:lvl w:ilvl="0">
      <w:start w:val="1"/>
      <w:numFmt w:val="lowerLetter"/>
      <w:lvlText w:val="%1)"/>
      <w:lvlJc w:val="left"/>
      <w:pPr>
        <w:tabs>
          <w:tab w:val="num" w:pos="720"/>
        </w:tabs>
        <w:ind w:left="720" w:hanging="720"/>
      </w:pPr>
      <w:rPr>
        <w:u w:val="none"/>
      </w:rPr>
    </w:lvl>
  </w:abstractNum>
  <w:abstractNum w:abstractNumId="1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872304"/>
    <w:multiLevelType w:val="hybridMultilevel"/>
    <w:tmpl w:val="1E029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3E6D22"/>
    <w:multiLevelType w:val="hybridMultilevel"/>
    <w:tmpl w:val="FE5C991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4"/>
  </w:num>
  <w:num w:numId="2">
    <w:abstractNumId w:val="11"/>
  </w:num>
  <w:num w:numId="3">
    <w:abstractNumId w:val="1"/>
  </w:num>
  <w:num w:numId="4">
    <w:abstractNumId w:val="12"/>
  </w:num>
  <w:num w:numId="5">
    <w:abstractNumId w:val="10"/>
  </w:num>
  <w:num w:numId="6">
    <w:abstractNumId w:val="6"/>
  </w:num>
  <w:num w:numId="7">
    <w:abstractNumId w:val="13"/>
  </w:num>
  <w:num w:numId="8">
    <w:abstractNumId w:val="15"/>
  </w:num>
  <w:num w:numId="9">
    <w:abstractNumId w:val="18"/>
  </w:num>
  <w:num w:numId="10">
    <w:abstractNumId w:val="3"/>
  </w:num>
  <w:num w:numId="11">
    <w:abstractNumId w:val="5"/>
  </w:num>
  <w:num w:numId="12">
    <w:abstractNumId w:val="0"/>
  </w:num>
  <w:num w:numId="13">
    <w:abstractNumId w:val="9"/>
  </w:num>
  <w:num w:numId="14">
    <w:abstractNumId w:val="2"/>
  </w:num>
  <w:num w:numId="15">
    <w:abstractNumId w:val="17"/>
  </w:num>
  <w:num w:numId="16">
    <w:abstractNumId w:val="7"/>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9C24F4"/>
    <w:rsid w:val="00006D61"/>
    <w:rsid w:val="000B73A8"/>
    <w:rsid w:val="000D0668"/>
    <w:rsid w:val="000F3439"/>
    <w:rsid w:val="0012780F"/>
    <w:rsid w:val="0016721E"/>
    <w:rsid w:val="001B34BF"/>
    <w:rsid w:val="00211D03"/>
    <w:rsid w:val="00296876"/>
    <w:rsid w:val="00340BB6"/>
    <w:rsid w:val="003A50F9"/>
    <w:rsid w:val="003B626D"/>
    <w:rsid w:val="003E566D"/>
    <w:rsid w:val="003F4F4C"/>
    <w:rsid w:val="00407A9F"/>
    <w:rsid w:val="0041332D"/>
    <w:rsid w:val="00441D3D"/>
    <w:rsid w:val="00492D79"/>
    <w:rsid w:val="004A4BA4"/>
    <w:rsid w:val="004D064C"/>
    <w:rsid w:val="00530E93"/>
    <w:rsid w:val="00612866"/>
    <w:rsid w:val="006D32E4"/>
    <w:rsid w:val="00807AF8"/>
    <w:rsid w:val="008263D9"/>
    <w:rsid w:val="008510E3"/>
    <w:rsid w:val="00857068"/>
    <w:rsid w:val="00891227"/>
    <w:rsid w:val="0096114B"/>
    <w:rsid w:val="009849E6"/>
    <w:rsid w:val="009C24F4"/>
    <w:rsid w:val="009C516B"/>
    <w:rsid w:val="009E1151"/>
    <w:rsid w:val="009E1459"/>
    <w:rsid w:val="00A570B9"/>
    <w:rsid w:val="00AE6E9C"/>
    <w:rsid w:val="00B57E6A"/>
    <w:rsid w:val="00B73F4C"/>
    <w:rsid w:val="00B85DDE"/>
    <w:rsid w:val="00C05D67"/>
    <w:rsid w:val="00C128F7"/>
    <w:rsid w:val="00C45602"/>
    <w:rsid w:val="00C66DF1"/>
    <w:rsid w:val="00C72012"/>
    <w:rsid w:val="00C97CA5"/>
    <w:rsid w:val="00CB22DF"/>
    <w:rsid w:val="00D663DF"/>
    <w:rsid w:val="00D75AD4"/>
    <w:rsid w:val="00DD02CE"/>
    <w:rsid w:val="00E874D5"/>
    <w:rsid w:val="00EB5F24"/>
    <w:rsid w:val="00F1105A"/>
    <w:rsid w:val="00F24687"/>
    <w:rsid w:val="00FA2EBD"/>
    <w:rsid w:val="00FC715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F9"/>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857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8">
    <w:name w:val="heading 8"/>
    <w:basedOn w:val="Normal"/>
    <w:next w:val="Normal"/>
    <w:link w:val="Ttulo8Car"/>
    <w:semiHidden/>
    <w:unhideWhenUsed/>
    <w:qFormat/>
    <w:rsid w:val="00D75AD4"/>
    <w:pPr>
      <w:keepNext/>
      <w:keepLines/>
      <w:spacing w:before="200" w:after="0" w:line="240" w:lineRule="auto"/>
      <w:outlineLvl w:val="7"/>
    </w:pPr>
    <w:rPr>
      <w:rFonts w:ascii="Cambria" w:eastAsia="Times New Roman" w:hAnsi="Cambria" w:cs="Times New Roman"/>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Epgrafe"/>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Epgrafe">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nhideWhenUsed/>
    <w:rsid w:val="003F4F4C"/>
    <w:pPr>
      <w:spacing w:after="120"/>
      <w:ind w:left="283"/>
    </w:pPr>
  </w:style>
  <w:style w:type="character" w:customStyle="1" w:styleId="SangradetextonormalCar">
    <w:name w:val="Sangría de texto normal Car"/>
    <w:basedOn w:val="Fuentedeprrafopredeter"/>
    <w:link w:val="Sangradetextonormal"/>
    <w:rsid w:val="003F4F4C"/>
    <w:rPr>
      <w:lang w:val="es-SV"/>
    </w:rPr>
  </w:style>
  <w:style w:type="paragraph" w:styleId="Sangra3detindependiente">
    <w:name w:val="Body Text Indent 3"/>
    <w:basedOn w:val="Normal"/>
    <w:link w:val="Sangra3detindependienteCar"/>
    <w:uiPriority w:val="99"/>
    <w:semiHidden/>
    <w:unhideWhenUsed/>
    <w:rsid w:val="0085706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57068"/>
    <w:rPr>
      <w:sz w:val="16"/>
      <w:szCs w:val="16"/>
      <w:lang w:val="es-SV"/>
    </w:rPr>
  </w:style>
  <w:style w:type="character" w:customStyle="1" w:styleId="Ttulo2Car">
    <w:name w:val="Título 2 Car"/>
    <w:basedOn w:val="Fuentedeprrafopredeter"/>
    <w:link w:val="Ttulo2"/>
    <w:rsid w:val="00857068"/>
    <w:rPr>
      <w:rFonts w:asciiTheme="majorHAnsi" w:eastAsiaTheme="majorEastAsia" w:hAnsiTheme="majorHAnsi" w:cstheme="majorBidi"/>
      <w:b/>
      <w:bCs/>
      <w:color w:val="4F81BD" w:themeColor="accent1"/>
      <w:sz w:val="26"/>
      <w:szCs w:val="26"/>
      <w:lang w:val="es-SV"/>
    </w:rPr>
  </w:style>
  <w:style w:type="paragraph" w:styleId="Sangra2detindependiente">
    <w:name w:val="Body Text Indent 2"/>
    <w:basedOn w:val="Normal"/>
    <w:link w:val="Sangra2detindependienteCar"/>
    <w:unhideWhenUsed/>
    <w:rsid w:val="00857068"/>
    <w:pPr>
      <w:spacing w:after="120" w:line="480" w:lineRule="auto"/>
      <w:ind w:left="283"/>
    </w:pPr>
  </w:style>
  <w:style w:type="character" w:customStyle="1" w:styleId="Sangra2detindependienteCar">
    <w:name w:val="Sangría 2 de t. independiente Car"/>
    <w:basedOn w:val="Fuentedeprrafopredeter"/>
    <w:link w:val="Sangra2detindependiente"/>
    <w:rsid w:val="00857068"/>
    <w:rPr>
      <w:lang w:val="es-SV"/>
    </w:rPr>
  </w:style>
  <w:style w:type="character" w:customStyle="1" w:styleId="Ttulo8Car">
    <w:name w:val="Título 8 Car"/>
    <w:basedOn w:val="Fuentedeprrafopredeter"/>
    <w:link w:val="Ttulo8"/>
    <w:semiHidden/>
    <w:rsid w:val="00D75AD4"/>
    <w:rPr>
      <w:rFonts w:ascii="Cambria" w:eastAsia="Times New Roman" w:hAnsi="Cambria" w:cs="Times New Roman"/>
      <w:color w:val="404040"/>
      <w:sz w:val="20"/>
      <w:szCs w:val="20"/>
      <w:lang w:val="es-SV" w:eastAsia="es-ES"/>
    </w:rPr>
  </w:style>
  <w:style w:type="paragraph" w:styleId="Textoindependiente3">
    <w:name w:val="Body Text 3"/>
    <w:basedOn w:val="Normal"/>
    <w:link w:val="Textoindependiente3Car"/>
    <w:unhideWhenUsed/>
    <w:rsid w:val="003A50F9"/>
    <w:pPr>
      <w:spacing w:after="120"/>
    </w:pPr>
    <w:rPr>
      <w:sz w:val="16"/>
      <w:szCs w:val="16"/>
    </w:rPr>
  </w:style>
  <w:style w:type="character" w:customStyle="1" w:styleId="Textoindependiente3Car">
    <w:name w:val="Texto independiente 3 Car"/>
    <w:basedOn w:val="Fuentedeprrafopredeter"/>
    <w:link w:val="Textoindependiente3"/>
    <w:rsid w:val="003A50F9"/>
    <w:rPr>
      <w:sz w:val="16"/>
      <w:szCs w:val="16"/>
      <w:lang w:val="es-SV"/>
    </w:rPr>
  </w:style>
  <w:style w:type="paragraph" w:styleId="Textonotapie">
    <w:name w:val="footnote text"/>
    <w:basedOn w:val="Normal"/>
    <w:link w:val="TextonotapieCar"/>
    <w:uiPriority w:val="99"/>
    <w:semiHidden/>
    <w:unhideWhenUsed/>
    <w:rsid w:val="001278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780F"/>
    <w:rPr>
      <w:sz w:val="20"/>
      <w:szCs w:val="20"/>
      <w:lang w:val="es-SV"/>
    </w:rPr>
  </w:style>
  <w:style w:type="character" w:styleId="Refdenotaalpie">
    <w:name w:val="footnote reference"/>
    <w:basedOn w:val="Fuentedeprrafopredeter"/>
    <w:uiPriority w:val="99"/>
    <w:semiHidden/>
    <w:unhideWhenUsed/>
    <w:rsid w:val="0012780F"/>
    <w:rPr>
      <w:vertAlign w:val="superscript"/>
    </w:rPr>
  </w:style>
  <w:style w:type="character" w:styleId="Refdecomentario">
    <w:name w:val="annotation reference"/>
    <w:basedOn w:val="Fuentedeprrafopredeter"/>
    <w:uiPriority w:val="99"/>
    <w:semiHidden/>
    <w:unhideWhenUsed/>
    <w:rsid w:val="001B34BF"/>
    <w:rPr>
      <w:sz w:val="16"/>
      <w:szCs w:val="16"/>
    </w:rPr>
  </w:style>
  <w:style w:type="paragraph" w:styleId="Textocomentario">
    <w:name w:val="annotation text"/>
    <w:basedOn w:val="Normal"/>
    <w:link w:val="TextocomentarioCar"/>
    <w:uiPriority w:val="99"/>
    <w:semiHidden/>
    <w:unhideWhenUsed/>
    <w:rsid w:val="001B34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34BF"/>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1B34BF"/>
    <w:rPr>
      <w:b/>
      <w:bCs/>
    </w:rPr>
  </w:style>
  <w:style w:type="character" w:customStyle="1" w:styleId="AsuntodelcomentarioCar">
    <w:name w:val="Asunto del comentario Car"/>
    <w:basedOn w:val="TextocomentarioCar"/>
    <w:link w:val="Asuntodelcomentario"/>
    <w:uiPriority w:val="99"/>
    <w:semiHidden/>
    <w:rsid w:val="001B34BF"/>
    <w:rPr>
      <w:b/>
      <w:bCs/>
      <w:sz w:val="20"/>
      <w:szCs w:val="20"/>
      <w:lang w:val="es-SV"/>
    </w:rPr>
  </w:style>
</w:styles>
</file>

<file path=word/webSettings.xml><?xml version="1.0" encoding="utf-8"?>
<w:webSettings xmlns:r="http://schemas.openxmlformats.org/officeDocument/2006/relationships" xmlns:w="http://schemas.openxmlformats.org/wordprocessingml/2006/main">
  <w:divs>
    <w:div w:id="295263115">
      <w:bodyDiv w:val="1"/>
      <w:marLeft w:val="0"/>
      <w:marRight w:val="0"/>
      <w:marTop w:val="0"/>
      <w:marBottom w:val="0"/>
      <w:divBdr>
        <w:top w:val="none" w:sz="0" w:space="0" w:color="auto"/>
        <w:left w:val="none" w:sz="0" w:space="0" w:color="auto"/>
        <w:bottom w:val="none" w:sz="0" w:space="0" w:color="auto"/>
        <w:right w:val="none" w:sz="0" w:space="0" w:color="auto"/>
      </w:divBdr>
    </w:div>
    <w:div w:id="449008814">
      <w:bodyDiv w:val="1"/>
      <w:marLeft w:val="0"/>
      <w:marRight w:val="0"/>
      <w:marTop w:val="0"/>
      <w:marBottom w:val="0"/>
      <w:divBdr>
        <w:top w:val="none" w:sz="0" w:space="0" w:color="auto"/>
        <w:left w:val="none" w:sz="0" w:space="0" w:color="auto"/>
        <w:bottom w:val="none" w:sz="0" w:space="0" w:color="auto"/>
        <w:right w:val="none" w:sz="0" w:space="0" w:color="auto"/>
      </w:divBdr>
    </w:div>
    <w:div w:id="749427266">
      <w:bodyDiv w:val="1"/>
      <w:marLeft w:val="0"/>
      <w:marRight w:val="0"/>
      <w:marTop w:val="0"/>
      <w:marBottom w:val="0"/>
      <w:divBdr>
        <w:top w:val="none" w:sz="0" w:space="0" w:color="auto"/>
        <w:left w:val="none" w:sz="0" w:space="0" w:color="auto"/>
        <w:bottom w:val="none" w:sz="0" w:space="0" w:color="auto"/>
        <w:right w:val="none" w:sz="0" w:space="0" w:color="auto"/>
      </w:divBdr>
    </w:div>
    <w:div w:id="870000103">
      <w:bodyDiv w:val="1"/>
      <w:marLeft w:val="0"/>
      <w:marRight w:val="0"/>
      <w:marTop w:val="0"/>
      <w:marBottom w:val="0"/>
      <w:divBdr>
        <w:top w:val="none" w:sz="0" w:space="0" w:color="auto"/>
        <w:left w:val="none" w:sz="0" w:space="0" w:color="auto"/>
        <w:bottom w:val="none" w:sz="0" w:space="0" w:color="auto"/>
        <w:right w:val="none" w:sz="0" w:space="0" w:color="auto"/>
      </w:divBdr>
    </w:div>
    <w:div w:id="1279871268">
      <w:bodyDiv w:val="1"/>
      <w:marLeft w:val="0"/>
      <w:marRight w:val="0"/>
      <w:marTop w:val="0"/>
      <w:marBottom w:val="0"/>
      <w:divBdr>
        <w:top w:val="none" w:sz="0" w:space="0" w:color="auto"/>
        <w:left w:val="none" w:sz="0" w:space="0" w:color="auto"/>
        <w:bottom w:val="none" w:sz="0" w:space="0" w:color="auto"/>
        <w:right w:val="none" w:sz="0" w:space="0" w:color="auto"/>
      </w:divBdr>
    </w:div>
    <w:div w:id="1391227880">
      <w:bodyDiv w:val="1"/>
      <w:marLeft w:val="0"/>
      <w:marRight w:val="0"/>
      <w:marTop w:val="0"/>
      <w:marBottom w:val="0"/>
      <w:divBdr>
        <w:top w:val="none" w:sz="0" w:space="0" w:color="auto"/>
        <w:left w:val="none" w:sz="0" w:space="0" w:color="auto"/>
        <w:bottom w:val="none" w:sz="0" w:space="0" w:color="auto"/>
        <w:right w:val="none" w:sz="0" w:space="0" w:color="auto"/>
      </w:divBdr>
    </w:div>
    <w:div w:id="1697727155">
      <w:bodyDiv w:val="1"/>
      <w:marLeft w:val="0"/>
      <w:marRight w:val="0"/>
      <w:marTop w:val="0"/>
      <w:marBottom w:val="0"/>
      <w:divBdr>
        <w:top w:val="none" w:sz="0" w:space="0" w:color="auto"/>
        <w:left w:val="none" w:sz="0" w:space="0" w:color="auto"/>
        <w:bottom w:val="none" w:sz="0" w:space="0" w:color="auto"/>
        <w:right w:val="none" w:sz="0" w:space="0" w:color="auto"/>
      </w:divBdr>
    </w:div>
    <w:div w:id="17039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098C26528B7A4EB024B5453D2A86E0" ma:contentTypeVersion="20" ma:contentTypeDescription="Crear nuevo documento." ma:contentTypeScope="" ma:versionID="e42b063adf528872bd4ed8b2c630085e">
  <xsd:schema xmlns:xsd="http://www.w3.org/2001/XMLSchema" xmlns:xs="http://www.w3.org/2001/XMLSchema" xmlns:p="http://schemas.microsoft.com/office/2006/metadata/properties" xmlns:ns1="http://schemas.microsoft.com/sharepoint/v3" xmlns:ns2="584cea7c-54a5-449f-8ad4-145e8723e09c" targetNamespace="http://schemas.microsoft.com/office/2006/metadata/properties" ma:root="true" ma:fieldsID="b55c8641253e43bf8ccee96b8d4f5389" ns1:_="" ns2:_="">
    <xsd:import namespace="http://schemas.microsoft.com/sharepoint/v3"/>
    <xsd:import namespace="584cea7c-54a5-449f-8ad4-145e8723e09c"/>
    <xsd:element name="properties">
      <xsd:complexType>
        <xsd:sequence>
          <xsd:element name="documentManagement">
            <xsd:complexType>
              <xsd:all>
                <xsd:element ref="ns2:Revisi_x00f3_n_x0020_SSF" minOccurs="0"/>
                <xsd:element ref="ns2:Revisi_x00f3_n_x0020_Industria" minOccurs="0"/>
                <xsd:element ref="ns2:Revisi_x00f3_n_x0020_Jur_x00ed_dico" minOccurs="0"/>
                <xsd:element ref="ns1:DocumentSetDescription" minOccurs="0"/>
                <xsd:element ref="ns2:Estado_x0020_del_x0020_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ción" ma:description="Una descripción del conjunto de documentos"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cea7c-54a5-449f-8ad4-145e8723e09c" elementFormDefault="qualified">
    <xsd:import namespace="http://schemas.microsoft.com/office/2006/documentManagement/types"/>
    <xsd:import namespace="http://schemas.microsoft.com/office/infopath/2007/PartnerControls"/>
    <xsd:element name="Revisi_x00f3_n_x0020_SSF" ma:index="8" nillable="true" ma:displayName="Revisión SSF" ma:format="Hyperlink" ma:hidden="true" ma:internalName="Revisi_x00f3_n_x0020_SS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Industria" ma:index="9" nillable="true" ma:displayName="Revisión Industria" ma:format="Hyperlink" ma:hidden="true" ma:internalName="Revisi_x00f3_n_x0020_Industria"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Jur_x00ed_dico" ma:index="10" nillable="true" ma:displayName="Revisión Jurídico" ma:format="Hyperlink" ma:hidden="true" ma:internalName="Revisi_x00f3_n_x0020_Jur_x00ed_dic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stado_x0020_del_x0020_proyecto" ma:index="12" nillable="true" ma:displayName="Estado del proyecto" ma:default="En elaboración" ma:format="Dropdown" ma:hidden="true" ma:internalName="Estado_x0020_del_x0020_proyecto" ma:readOnly="false">
      <xsd:simpleType>
        <xsd:restriction base="dms:Choice">
          <xsd:enumeration value="En elaboración"/>
          <xsd:enumeration value="En revisión"/>
          <xsd:enumeration value="Complet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si_x00f3_n_x0020_Industria xmlns="584cea7c-54a5-449f-8ad4-145e8723e09c">
      <Url xsi:nil="true"/>
      <Description xsi:nil="true"/>
    </Revisi_x00f3_n_x0020_Industria>
    <DocumentSetDescription xmlns="http://schemas.microsoft.com/sharepoint/v3" xsi:nil="true"/>
    <Revisi_x00f3_n_x0020_Jur_x00ed_dico xmlns="584cea7c-54a5-449f-8ad4-145e8723e09c">
      <Url xsi:nil="true"/>
      <Description xsi:nil="true"/>
    </Revisi_x00f3_n_x0020_Jur_x00ed_dico>
    <Estado_x0020_del_x0020_proyecto xmlns="584cea7c-54a5-449f-8ad4-145e8723e09c">En elaboración</Estado_x0020_del_x0020_proyecto>
    <Revisi_x00f3_n_x0020_SSF xmlns="584cea7c-54a5-449f-8ad4-145e8723e09c">
      <Url xsi:nil="true"/>
      <Description xsi:nil="true"/>
    </Revisi_x00f3_n_x0020_SS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48C61-37D4-43BF-B070-18F4EB570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4cea7c-54a5-449f-8ad4-145e8723e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584cea7c-54a5-449f-8ad4-145e8723e09c"/>
    <ds:schemaRef ds:uri="http://schemas.microsoft.com/sharepoint/v3"/>
  </ds:schemaRefs>
</ds:datastoreItem>
</file>

<file path=customXml/itemProps3.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4.xml><?xml version="1.0" encoding="utf-8"?>
<ds:datastoreItem xmlns:ds="http://schemas.openxmlformats.org/officeDocument/2006/customXml" ds:itemID="{02EB3384-33A0-413C-BA20-6AB2526C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dnwendy</dc:creator>
  <cp:lastModifiedBy>cacarpio</cp:lastModifiedBy>
  <cp:revision>2</cp:revision>
  <dcterms:created xsi:type="dcterms:W3CDTF">2021-07-20T20:52:00Z</dcterms:created>
  <dcterms:modified xsi:type="dcterms:W3CDTF">2021-07-20T20:52:00Z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0x010100E4098C26528B7A4EB024B5453D2A86E0</vt:lpwstr>
  </property>
</Properties>
</file>