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F7F" w:rsidRPr="006A7AA3" w:rsidRDefault="009E6F7F" w:rsidP="009E6F7F">
      <w:pPr>
        <w:pStyle w:val="Textoindependiente"/>
        <w:rPr>
          <w:rFonts w:ascii="Museo Sans 300" w:hAnsi="Museo Sans 300"/>
          <w:sz w:val="22"/>
          <w:szCs w:val="22"/>
        </w:rPr>
      </w:pPr>
      <w:bookmarkStart w:id="0" w:name="_GoBack"/>
      <w:bookmarkEnd w:id="0"/>
      <w:r w:rsidRPr="006A7AA3">
        <w:rPr>
          <w:rFonts w:ascii="Museo Sans 300" w:hAnsi="Museo Sans 300"/>
          <w:sz w:val="22"/>
          <w:szCs w:val="22"/>
        </w:rPr>
        <w:t>El Consejo Directivo de la Superintendencia del Sistema Financiero, en uso de la potestad que le confiere el literal c) del artículo 10 de la Ley Orgánica de la Superintendencia del Sistema Financiero y para dar cumplimiento a los artículos 63, inciso final del artículo 66 y artículo 197 de la Ley de Bancos, al literal a) del artículo 24 de la Ley de Sociedades de Seguros y a los artículos 41 y 155 de la Ley de Bancos Cooperativos y Sociedades de Ahorro y Crédito, acuerda emitir las:</w:t>
      </w:r>
    </w:p>
    <w:p w:rsidR="00890039" w:rsidRPr="006A7AA3" w:rsidRDefault="00890039" w:rsidP="0029004F">
      <w:pPr>
        <w:jc w:val="center"/>
        <w:rPr>
          <w:rFonts w:ascii="Museo Sans 300" w:hAnsi="Museo Sans 300"/>
          <w:b/>
          <w:sz w:val="22"/>
          <w:szCs w:val="22"/>
          <w:lang w:val="es-GT"/>
        </w:rPr>
      </w:pPr>
    </w:p>
    <w:p w:rsidR="00993790" w:rsidRPr="006A7AA3" w:rsidRDefault="00993790" w:rsidP="009E6F7F">
      <w:pPr>
        <w:spacing w:before="120"/>
        <w:jc w:val="center"/>
        <w:rPr>
          <w:rFonts w:ascii="Museo Sans 300" w:hAnsi="Museo Sans 300"/>
          <w:b/>
          <w:sz w:val="22"/>
          <w:szCs w:val="22"/>
        </w:rPr>
      </w:pPr>
      <w:r w:rsidRPr="006A7AA3">
        <w:rPr>
          <w:rFonts w:ascii="Museo Sans 300" w:hAnsi="Museo Sans 300"/>
          <w:b/>
          <w:sz w:val="22"/>
          <w:szCs w:val="22"/>
        </w:rPr>
        <w:t>NORMAS PARA LA GESTIÓN DEL RIESGO CREDITICIO Y DE CONCENTRACIÓN DE CRÉDITO</w:t>
      </w:r>
    </w:p>
    <w:p w:rsidR="00993790" w:rsidRPr="006A7AA3" w:rsidRDefault="00993790" w:rsidP="00993790">
      <w:pPr>
        <w:rPr>
          <w:rFonts w:ascii="Museo Sans 300" w:hAnsi="Museo Sans 300"/>
          <w:sz w:val="22"/>
          <w:szCs w:val="22"/>
        </w:rPr>
      </w:pPr>
    </w:p>
    <w:p w:rsidR="00993790" w:rsidRPr="006A7AA3" w:rsidRDefault="00993790" w:rsidP="00993790">
      <w:pPr>
        <w:pStyle w:val="Ttulo1"/>
        <w:jc w:val="center"/>
        <w:rPr>
          <w:rFonts w:ascii="Museo Sans 300" w:hAnsi="Museo Sans 300"/>
          <w:sz w:val="22"/>
          <w:szCs w:val="22"/>
        </w:rPr>
      </w:pPr>
      <w:bookmarkStart w:id="1" w:name="_Toc97029173"/>
      <w:bookmarkStart w:id="2" w:name="_Toc97030838"/>
      <w:bookmarkStart w:id="3" w:name="_Toc97031139"/>
      <w:bookmarkStart w:id="4" w:name="_Toc97031387"/>
      <w:bookmarkStart w:id="5" w:name="_Toc97032416"/>
      <w:r w:rsidRPr="006A7AA3">
        <w:rPr>
          <w:rFonts w:ascii="Museo Sans 300" w:hAnsi="Museo Sans 300"/>
          <w:sz w:val="22"/>
          <w:szCs w:val="22"/>
        </w:rPr>
        <w:t>CAPÍTULO I</w:t>
      </w:r>
      <w:bookmarkEnd w:id="1"/>
      <w:bookmarkEnd w:id="2"/>
      <w:bookmarkEnd w:id="3"/>
      <w:bookmarkEnd w:id="4"/>
      <w:bookmarkEnd w:id="5"/>
    </w:p>
    <w:p w:rsidR="00993790" w:rsidRPr="006A7AA3" w:rsidRDefault="00993790" w:rsidP="00993790">
      <w:pPr>
        <w:pStyle w:val="Ttulo1"/>
        <w:jc w:val="center"/>
        <w:rPr>
          <w:rFonts w:ascii="Museo Sans 300" w:hAnsi="Museo Sans 300"/>
          <w:bCs/>
          <w:sz w:val="22"/>
          <w:szCs w:val="22"/>
        </w:rPr>
      </w:pPr>
      <w:bookmarkStart w:id="6" w:name="_Toc97029174"/>
      <w:bookmarkStart w:id="7" w:name="_Toc97030839"/>
      <w:bookmarkStart w:id="8" w:name="_Toc97031140"/>
      <w:bookmarkStart w:id="9" w:name="_Toc97031388"/>
      <w:bookmarkStart w:id="10" w:name="_Toc97032417"/>
      <w:r w:rsidRPr="006A7AA3">
        <w:rPr>
          <w:rFonts w:ascii="Museo Sans 300" w:hAnsi="Museo Sans 300"/>
          <w:bCs/>
          <w:sz w:val="22"/>
          <w:szCs w:val="22"/>
        </w:rPr>
        <w:t>OBJETO Y SUJETOS OBLIGADOS</w:t>
      </w:r>
      <w:bookmarkEnd w:id="6"/>
      <w:bookmarkEnd w:id="7"/>
      <w:bookmarkEnd w:id="8"/>
      <w:bookmarkEnd w:id="9"/>
      <w:bookmarkEnd w:id="10"/>
    </w:p>
    <w:p w:rsidR="00993790" w:rsidRPr="006A7AA3" w:rsidRDefault="00993790" w:rsidP="00993790">
      <w:pPr>
        <w:tabs>
          <w:tab w:val="left" w:pos="6371"/>
        </w:tabs>
        <w:jc w:val="both"/>
        <w:rPr>
          <w:rFonts w:ascii="Museo Sans 300" w:hAnsi="Museo Sans 300"/>
          <w:b/>
          <w:sz w:val="22"/>
          <w:szCs w:val="22"/>
        </w:rPr>
      </w:pPr>
    </w:p>
    <w:p w:rsidR="00993790" w:rsidRPr="006A7AA3" w:rsidRDefault="00A35670" w:rsidP="00993790">
      <w:pPr>
        <w:tabs>
          <w:tab w:val="left" w:pos="6371"/>
        </w:tabs>
        <w:jc w:val="both"/>
        <w:rPr>
          <w:rFonts w:ascii="Museo Sans 300" w:hAnsi="Museo Sans 300"/>
          <w:b/>
          <w:sz w:val="22"/>
          <w:szCs w:val="22"/>
        </w:rPr>
      </w:pPr>
      <w:r w:rsidRPr="006A7AA3">
        <w:rPr>
          <w:rFonts w:ascii="Museo Sans 300" w:hAnsi="Museo Sans 300"/>
          <w:b/>
          <w:sz w:val="22"/>
          <w:szCs w:val="22"/>
        </w:rPr>
        <w:t>Objeto</w:t>
      </w:r>
    </w:p>
    <w:p w:rsidR="00993790" w:rsidRPr="006A7AA3" w:rsidRDefault="00993790" w:rsidP="00993790">
      <w:pPr>
        <w:jc w:val="both"/>
        <w:rPr>
          <w:rFonts w:ascii="Museo Sans 300" w:hAnsi="Museo Sans 300"/>
          <w:sz w:val="22"/>
          <w:szCs w:val="22"/>
        </w:rPr>
      </w:pPr>
      <w:r w:rsidRPr="006A7AA3">
        <w:rPr>
          <w:rFonts w:ascii="Museo Sans 300" w:hAnsi="Museo Sans 300"/>
          <w:b/>
          <w:sz w:val="22"/>
          <w:szCs w:val="22"/>
        </w:rPr>
        <w:t>Art. 1.-</w:t>
      </w:r>
      <w:r w:rsidRPr="006A7AA3">
        <w:rPr>
          <w:rFonts w:ascii="Museo Sans 300" w:hAnsi="Museo Sans 300"/>
          <w:sz w:val="22"/>
          <w:szCs w:val="22"/>
        </w:rPr>
        <w:t xml:space="preserve"> El objeto de las presentes Normas es proporcionar lineamientos para la adecuada gestión del riesgo de crédito y criterios para la adopción de políticas y procedimientos relacionados con el desarrollo de metodologías para su identificación y medición, así como para el establecimiento de límites y mecanismos de monitoreo, control y mitigación de los niveles de exposición a este riesgo, acordes con la naturaleza, escala de actividades y perfil de riesgo de las entidades.</w:t>
      </w:r>
    </w:p>
    <w:p w:rsidR="00993790" w:rsidRPr="006A7AA3" w:rsidRDefault="00993790" w:rsidP="00993790">
      <w:pPr>
        <w:jc w:val="both"/>
        <w:rPr>
          <w:rFonts w:ascii="Museo Sans 300" w:hAnsi="Museo Sans 300"/>
          <w:sz w:val="22"/>
          <w:szCs w:val="22"/>
        </w:rPr>
      </w:pPr>
    </w:p>
    <w:p w:rsidR="00993790" w:rsidRPr="006A7AA3" w:rsidRDefault="00993790" w:rsidP="00993790">
      <w:pPr>
        <w:jc w:val="both"/>
        <w:rPr>
          <w:rFonts w:ascii="Museo Sans 300" w:hAnsi="Museo Sans 300"/>
          <w:sz w:val="22"/>
          <w:szCs w:val="22"/>
        </w:rPr>
      </w:pPr>
      <w:r w:rsidRPr="006A7AA3">
        <w:rPr>
          <w:rFonts w:ascii="Museo Sans 300" w:hAnsi="Museo Sans 300"/>
          <w:sz w:val="22"/>
          <w:szCs w:val="22"/>
        </w:rPr>
        <w:t>Se entiende por riesgo de crédito, la posibilidad de pérdida debido al incumplimiento de las obligaciones contractuales asumidas por una contraparte, entendida esta última como un prestatario o un emisor de deuda.</w:t>
      </w:r>
    </w:p>
    <w:p w:rsidR="00993790" w:rsidRPr="006A7AA3" w:rsidRDefault="00993790" w:rsidP="00993790">
      <w:pPr>
        <w:ind w:firstLine="708"/>
        <w:jc w:val="both"/>
        <w:rPr>
          <w:rFonts w:ascii="Museo Sans 300" w:hAnsi="Museo Sans 300"/>
          <w:sz w:val="22"/>
          <w:szCs w:val="22"/>
        </w:rPr>
      </w:pPr>
    </w:p>
    <w:p w:rsidR="00993790" w:rsidRPr="006A7AA3" w:rsidRDefault="00993790" w:rsidP="00993790">
      <w:pPr>
        <w:jc w:val="both"/>
        <w:rPr>
          <w:rFonts w:ascii="Museo Sans 300" w:hAnsi="Museo Sans 300"/>
          <w:sz w:val="22"/>
          <w:szCs w:val="22"/>
        </w:rPr>
      </w:pPr>
      <w:r w:rsidRPr="006A7AA3">
        <w:rPr>
          <w:rFonts w:ascii="Museo Sans 300" w:hAnsi="Museo Sans 300"/>
          <w:sz w:val="22"/>
          <w:szCs w:val="22"/>
        </w:rPr>
        <w:t xml:space="preserve">Constituyen créditos, los préstamos concedidos, los documentos descontados, los bonos y otros títulos de deuda adquiridos, las fianzas, los avales y garantías otorgadas y cualquier forma de financiamiento directo o indirecto u otra operación que represente una obligación para la entidad. </w:t>
      </w:r>
    </w:p>
    <w:p w:rsidR="00993790" w:rsidRPr="006A7AA3" w:rsidRDefault="00993790" w:rsidP="00993790">
      <w:pPr>
        <w:ind w:firstLine="708"/>
        <w:jc w:val="both"/>
        <w:rPr>
          <w:rFonts w:ascii="Museo Sans 300" w:hAnsi="Museo Sans 300"/>
          <w:sz w:val="22"/>
          <w:szCs w:val="22"/>
        </w:rPr>
      </w:pPr>
    </w:p>
    <w:p w:rsidR="00993790" w:rsidRPr="006A7AA3" w:rsidRDefault="00993790" w:rsidP="00993790">
      <w:pPr>
        <w:jc w:val="both"/>
        <w:rPr>
          <w:rFonts w:ascii="Museo Sans 300" w:hAnsi="Museo Sans 300"/>
          <w:b/>
          <w:sz w:val="22"/>
          <w:szCs w:val="22"/>
        </w:rPr>
      </w:pPr>
      <w:r w:rsidRPr="006A7AA3">
        <w:rPr>
          <w:rFonts w:ascii="Museo Sans 300" w:hAnsi="Museo Sans 300"/>
          <w:sz w:val="22"/>
          <w:szCs w:val="22"/>
        </w:rPr>
        <w:t>Estas Normas complementan a las disposiciones establecidas en las Normas</w:t>
      </w:r>
      <w:r w:rsidRPr="006A7AA3">
        <w:rPr>
          <w:rFonts w:ascii="Museo Sans 300" w:hAnsi="Museo Sans 300"/>
          <w:b/>
          <w:sz w:val="22"/>
          <w:szCs w:val="22"/>
        </w:rPr>
        <w:t xml:space="preserve"> </w:t>
      </w:r>
      <w:r w:rsidRPr="006A7AA3">
        <w:rPr>
          <w:rFonts w:ascii="Museo Sans 300" w:hAnsi="Museo Sans 300"/>
          <w:sz w:val="22"/>
          <w:szCs w:val="22"/>
        </w:rPr>
        <w:t xml:space="preserve">para la Gestión Integral de Riesgos de las Entidades Financieras (NPB4-47), las Normas de Gobierno Corporativo para las Entidades Financieras (NPB4-48) y las Normas para Clasificar los Activos de Riesgo Crediticio y Constituir las Reservas de Saneamiento (NCB-022). </w:t>
      </w:r>
    </w:p>
    <w:p w:rsidR="00993790" w:rsidRPr="006A7AA3" w:rsidRDefault="00993790" w:rsidP="00993790">
      <w:pPr>
        <w:jc w:val="both"/>
        <w:rPr>
          <w:rFonts w:ascii="Museo Sans 300" w:hAnsi="Museo Sans 300"/>
          <w:sz w:val="22"/>
          <w:szCs w:val="22"/>
        </w:rPr>
      </w:pPr>
    </w:p>
    <w:p w:rsidR="00993790" w:rsidRPr="006A7AA3" w:rsidRDefault="00993790" w:rsidP="00993790">
      <w:pPr>
        <w:jc w:val="both"/>
        <w:rPr>
          <w:rFonts w:ascii="Museo Sans 300" w:hAnsi="Museo Sans 300"/>
          <w:b/>
          <w:sz w:val="22"/>
          <w:szCs w:val="22"/>
        </w:rPr>
      </w:pPr>
      <w:r w:rsidRPr="006A7AA3">
        <w:rPr>
          <w:rFonts w:ascii="Museo Sans 300" w:hAnsi="Museo Sans 300"/>
          <w:b/>
          <w:sz w:val="22"/>
          <w:szCs w:val="22"/>
        </w:rPr>
        <w:t>Sujetos</w:t>
      </w:r>
    </w:p>
    <w:p w:rsidR="00993790" w:rsidRPr="006A7AA3" w:rsidRDefault="00993790" w:rsidP="00993790">
      <w:pPr>
        <w:spacing w:after="120"/>
        <w:jc w:val="both"/>
        <w:rPr>
          <w:rFonts w:ascii="Museo Sans 300" w:hAnsi="Museo Sans 300"/>
          <w:sz w:val="22"/>
          <w:szCs w:val="22"/>
        </w:rPr>
      </w:pPr>
      <w:r w:rsidRPr="006A7AA3">
        <w:rPr>
          <w:rFonts w:ascii="Museo Sans 300" w:hAnsi="Museo Sans 300"/>
          <w:b/>
          <w:sz w:val="22"/>
          <w:szCs w:val="22"/>
        </w:rPr>
        <w:t>Art.2.-</w:t>
      </w:r>
      <w:r w:rsidRPr="006A7AA3">
        <w:rPr>
          <w:rFonts w:ascii="Museo Sans 300" w:hAnsi="Museo Sans 300"/>
          <w:sz w:val="22"/>
          <w:szCs w:val="22"/>
        </w:rPr>
        <w:t xml:space="preserve"> Los sujetos obligados al cumplimiento de las presentes Normas son los que tienen dentro de sus activos y contingencias operaciones de crédito e inversiones y que por Ley están bajo la supervisión de la Superintendencia del Sistema Financiero, tales como:</w:t>
      </w:r>
    </w:p>
    <w:p w:rsidR="00993790" w:rsidRPr="006A7AA3" w:rsidRDefault="00993790" w:rsidP="009E6F7F">
      <w:pPr>
        <w:numPr>
          <w:ilvl w:val="0"/>
          <w:numId w:val="48"/>
        </w:numPr>
        <w:tabs>
          <w:tab w:val="clear" w:pos="720"/>
        </w:tabs>
        <w:ind w:left="425" w:hanging="425"/>
        <w:jc w:val="both"/>
        <w:rPr>
          <w:rFonts w:ascii="Museo Sans 300" w:hAnsi="Museo Sans 300"/>
          <w:sz w:val="22"/>
          <w:szCs w:val="22"/>
        </w:rPr>
      </w:pPr>
      <w:r w:rsidRPr="006A7AA3">
        <w:rPr>
          <w:rFonts w:ascii="Museo Sans 300" w:hAnsi="Museo Sans 300"/>
          <w:sz w:val="22"/>
          <w:szCs w:val="22"/>
        </w:rPr>
        <w:t>Los bancos constituidos en El Salvador, sus oficinas en el extranjero y sus subsidiarias; (1)</w:t>
      </w:r>
    </w:p>
    <w:p w:rsidR="00993790" w:rsidRPr="006A7AA3" w:rsidRDefault="00993790" w:rsidP="009E6F7F">
      <w:pPr>
        <w:numPr>
          <w:ilvl w:val="0"/>
          <w:numId w:val="48"/>
        </w:numPr>
        <w:tabs>
          <w:tab w:val="clear" w:pos="720"/>
        </w:tabs>
        <w:ind w:left="425" w:hanging="425"/>
        <w:jc w:val="both"/>
        <w:rPr>
          <w:rFonts w:ascii="Museo Sans 300" w:hAnsi="Museo Sans 300"/>
          <w:sz w:val="22"/>
          <w:szCs w:val="22"/>
        </w:rPr>
      </w:pPr>
      <w:r w:rsidRPr="006A7AA3">
        <w:rPr>
          <w:rFonts w:ascii="Museo Sans 300" w:hAnsi="Museo Sans 300"/>
          <w:sz w:val="22"/>
          <w:szCs w:val="22"/>
        </w:rPr>
        <w:lastRenderedPageBreak/>
        <w:t>Las sucursales y oficinas de bancos extranjeros establecidos en el país, en lo pertinente; (1)</w:t>
      </w:r>
    </w:p>
    <w:p w:rsidR="00993790" w:rsidRPr="006A7AA3" w:rsidRDefault="00993790" w:rsidP="009E6F7F">
      <w:pPr>
        <w:numPr>
          <w:ilvl w:val="0"/>
          <w:numId w:val="48"/>
        </w:numPr>
        <w:tabs>
          <w:tab w:val="clear" w:pos="720"/>
        </w:tabs>
        <w:ind w:left="425" w:hanging="425"/>
        <w:jc w:val="both"/>
        <w:rPr>
          <w:rFonts w:ascii="Museo Sans 300" w:hAnsi="Museo Sans 300"/>
          <w:sz w:val="22"/>
          <w:szCs w:val="22"/>
        </w:rPr>
      </w:pPr>
      <w:r w:rsidRPr="006A7AA3">
        <w:rPr>
          <w:rFonts w:ascii="Museo Sans 300" w:hAnsi="Museo Sans 300"/>
          <w:sz w:val="22"/>
          <w:szCs w:val="22"/>
        </w:rPr>
        <w:t>Las sociedades de seguros, sus sucursales en el extranjero; (1)</w:t>
      </w:r>
    </w:p>
    <w:p w:rsidR="00993790" w:rsidRPr="006A7AA3" w:rsidRDefault="00993790" w:rsidP="009E6F7F">
      <w:pPr>
        <w:numPr>
          <w:ilvl w:val="0"/>
          <w:numId w:val="48"/>
        </w:numPr>
        <w:tabs>
          <w:tab w:val="clear" w:pos="720"/>
        </w:tabs>
        <w:ind w:left="425" w:hanging="425"/>
        <w:jc w:val="both"/>
        <w:rPr>
          <w:rFonts w:ascii="Museo Sans 300" w:hAnsi="Museo Sans 300"/>
          <w:sz w:val="22"/>
          <w:szCs w:val="22"/>
        </w:rPr>
      </w:pPr>
      <w:r w:rsidRPr="006A7AA3">
        <w:rPr>
          <w:rFonts w:ascii="Museo Sans 300" w:hAnsi="Museo Sans 300"/>
          <w:sz w:val="22"/>
          <w:szCs w:val="22"/>
        </w:rPr>
        <w:t>Las sucursales de sociedades de seguros extranjeras establecidas en el país, en lo pertinente; (1)</w:t>
      </w:r>
    </w:p>
    <w:p w:rsidR="00993790" w:rsidRPr="006A7AA3" w:rsidRDefault="00993790" w:rsidP="009E6F7F">
      <w:pPr>
        <w:numPr>
          <w:ilvl w:val="0"/>
          <w:numId w:val="48"/>
        </w:numPr>
        <w:tabs>
          <w:tab w:val="clear" w:pos="720"/>
        </w:tabs>
        <w:ind w:left="425" w:hanging="425"/>
        <w:jc w:val="both"/>
        <w:rPr>
          <w:rFonts w:ascii="Museo Sans 300" w:hAnsi="Museo Sans 300"/>
          <w:sz w:val="22"/>
          <w:szCs w:val="22"/>
        </w:rPr>
      </w:pPr>
      <w:r w:rsidRPr="006A7AA3">
        <w:rPr>
          <w:rFonts w:ascii="Museo Sans 300" w:hAnsi="Museo Sans 300"/>
          <w:sz w:val="22"/>
          <w:szCs w:val="22"/>
        </w:rPr>
        <w:t>Los bancos cooperativos, las sociedades de ahorro y crédito y las federaciones reguladas por la Ley de Bancos Cooperativos y Sociedades de Ahorro y Crédito; (1)</w:t>
      </w:r>
    </w:p>
    <w:p w:rsidR="00993790" w:rsidRPr="006A7AA3" w:rsidRDefault="00993790" w:rsidP="009E6F7F">
      <w:pPr>
        <w:numPr>
          <w:ilvl w:val="0"/>
          <w:numId w:val="48"/>
        </w:numPr>
        <w:tabs>
          <w:tab w:val="clear" w:pos="720"/>
        </w:tabs>
        <w:ind w:left="425" w:hanging="425"/>
        <w:jc w:val="both"/>
        <w:rPr>
          <w:rFonts w:ascii="Museo Sans 300" w:hAnsi="Museo Sans 300"/>
          <w:sz w:val="22"/>
          <w:szCs w:val="22"/>
        </w:rPr>
      </w:pPr>
      <w:r w:rsidRPr="006A7AA3">
        <w:rPr>
          <w:rFonts w:ascii="Museo Sans 300" w:hAnsi="Museo Sans 300"/>
          <w:sz w:val="22"/>
          <w:szCs w:val="22"/>
        </w:rPr>
        <w:t>El Banco Hipotecario de El Salvador, S.A.; (1)</w:t>
      </w:r>
    </w:p>
    <w:p w:rsidR="00993790" w:rsidRPr="006A7AA3" w:rsidRDefault="00993790" w:rsidP="009E6F7F">
      <w:pPr>
        <w:numPr>
          <w:ilvl w:val="0"/>
          <w:numId w:val="48"/>
        </w:numPr>
        <w:tabs>
          <w:tab w:val="clear" w:pos="720"/>
        </w:tabs>
        <w:ind w:left="425" w:hanging="425"/>
        <w:jc w:val="both"/>
        <w:rPr>
          <w:rFonts w:ascii="Museo Sans 300" w:hAnsi="Museo Sans 300"/>
          <w:sz w:val="22"/>
          <w:szCs w:val="22"/>
        </w:rPr>
      </w:pPr>
      <w:r w:rsidRPr="006A7AA3">
        <w:rPr>
          <w:rFonts w:ascii="Museo Sans 300" w:hAnsi="Museo Sans 300"/>
          <w:sz w:val="22"/>
          <w:szCs w:val="22"/>
        </w:rPr>
        <w:t>El Fondo Social para la Vivienda, el Fondo Nacional de Vivienda Popular y el Fondo Solidario para la Familia Microempresaria, en lo que no contradiga a sus leyes de creación ni a lo dispuesto por la Corte de Cuentas; (1)</w:t>
      </w:r>
    </w:p>
    <w:p w:rsidR="00993790" w:rsidRPr="006A7AA3" w:rsidRDefault="00993790" w:rsidP="009E6F7F">
      <w:pPr>
        <w:numPr>
          <w:ilvl w:val="0"/>
          <w:numId w:val="48"/>
        </w:numPr>
        <w:tabs>
          <w:tab w:val="clear" w:pos="720"/>
        </w:tabs>
        <w:ind w:left="425" w:hanging="425"/>
        <w:jc w:val="both"/>
        <w:rPr>
          <w:rFonts w:ascii="Museo Sans 300" w:hAnsi="Museo Sans 300"/>
          <w:sz w:val="22"/>
          <w:szCs w:val="22"/>
        </w:rPr>
      </w:pPr>
      <w:r w:rsidRPr="006A7AA3">
        <w:rPr>
          <w:rFonts w:ascii="Museo Sans 300" w:hAnsi="Museo Sans 300"/>
          <w:sz w:val="22"/>
          <w:szCs w:val="22"/>
        </w:rPr>
        <w:t>El Banco de Fomento Agropecuario, en lo que no contradiga a su ley de creación ni a lo dispuesto por la Corte de Cuentas; (1)</w:t>
      </w:r>
    </w:p>
    <w:p w:rsidR="00993790" w:rsidRPr="006A7AA3" w:rsidRDefault="00B0396A" w:rsidP="009E6F7F">
      <w:pPr>
        <w:numPr>
          <w:ilvl w:val="0"/>
          <w:numId w:val="48"/>
        </w:numPr>
        <w:tabs>
          <w:tab w:val="clear" w:pos="720"/>
        </w:tabs>
        <w:ind w:left="425" w:hanging="425"/>
        <w:jc w:val="both"/>
        <w:rPr>
          <w:rFonts w:ascii="Museo Sans 300" w:hAnsi="Museo Sans 300"/>
          <w:sz w:val="22"/>
          <w:szCs w:val="22"/>
        </w:rPr>
      </w:pPr>
      <w:r w:rsidRPr="006A7AA3">
        <w:rPr>
          <w:rFonts w:ascii="Museo Sans 300" w:hAnsi="Museo Sans 300"/>
          <w:sz w:val="22"/>
          <w:szCs w:val="22"/>
        </w:rPr>
        <w:t>DEROGADO</w:t>
      </w:r>
      <w:r w:rsidR="00993790" w:rsidRPr="006A7AA3">
        <w:rPr>
          <w:rFonts w:ascii="Museo Sans 300" w:hAnsi="Museo Sans 300"/>
          <w:sz w:val="22"/>
          <w:szCs w:val="22"/>
        </w:rPr>
        <w:t>; (1)</w:t>
      </w:r>
      <w:r w:rsidRPr="006A7AA3">
        <w:rPr>
          <w:rFonts w:ascii="Museo Sans 300" w:hAnsi="Museo Sans 300"/>
          <w:sz w:val="22"/>
          <w:szCs w:val="22"/>
        </w:rPr>
        <w:t xml:space="preserve"> (2)</w:t>
      </w:r>
    </w:p>
    <w:p w:rsidR="00993790" w:rsidRPr="006A7AA3" w:rsidRDefault="00993790" w:rsidP="009E6F7F">
      <w:pPr>
        <w:numPr>
          <w:ilvl w:val="0"/>
          <w:numId w:val="48"/>
        </w:numPr>
        <w:tabs>
          <w:tab w:val="clear" w:pos="720"/>
        </w:tabs>
        <w:ind w:left="425" w:hanging="425"/>
        <w:jc w:val="both"/>
        <w:rPr>
          <w:rFonts w:ascii="Museo Sans 300" w:hAnsi="Museo Sans 300"/>
          <w:sz w:val="22"/>
          <w:szCs w:val="22"/>
        </w:rPr>
      </w:pPr>
      <w:r w:rsidRPr="006A7AA3">
        <w:rPr>
          <w:rFonts w:ascii="Museo Sans 300" w:hAnsi="Museo Sans 300"/>
          <w:sz w:val="22"/>
          <w:szCs w:val="22"/>
        </w:rPr>
        <w:t xml:space="preserve">Las </w:t>
      </w:r>
      <w:r w:rsidR="00890039" w:rsidRPr="006A7AA3">
        <w:rPr>
          <w:rFonts w:ascii="Museo Sans 300" w:hAnsi="Museo Sans 300"/>
          <w:sz w:val="22"/>
          <w:szCs w:val="22"/>
        </w:rPr>
        <w:t>s</w:t>
      </w:r>
      <w:r w:rsidRPr="006A7AA3">
        <w:rPr>
          <w:rFonts w:ascii="Museo Sans 300" w:hAnsi="Museo Sans 300"/>
          <w:sz w:val="22"/>
          <w:szCs w:val="22"/>
        </w:rPr>
        <w:t xml:space="preserve">ociedades de garantía recíproca y sus </w:t>
      </w:r>
      <w:proofErr w:type="spellStart"/>
      <w:r w:rsidRPr="006A7AA3">
        <w:rPr>
          <w:rFonts w:ascii="Museo Sans 300" w:hAnsi="Museo Sans 300"/>
          <w:sz w:val="22"/>
          <w:szCs w:val="22"/>
        </w:rPr>
        <w:t>reafianzadoras</w:t>
      </w:r>
      <w:proofErr w:type="spellEnd"/>
      <w:r w:rsidRPr="006A7AA3">
        <w:rPr>
          <w:rFonts w:ascii="Museo Sans 300" w:hAnsi="Museo Sans 300"/>
          <w:sz w:val="22"/>
          <w:szCs w:val="22"/>
        </w:rPr>
        <w:t xml:space="preserve"> locales; (1)</w:t>
      </w:r>
    </w:p>
    <w:p w:rsidR="00993790" w:rsidRPr="006A7AA3" w:rsidRDefault="00993790" w:rsidP="009E6F7F">
      <w:pPr>
        <w:numPr>
          <w:ilvl w:val="0"/>
          <w:numId w:val="48"/>
        </w:numPr>
        <w:tabs>
          <w:tab w:val="clear" w:pos="720"/>
        </w:tabs>
        <w:ind w:left="425" w:hanging="425"/>
        <w:jc w:val="both"/>
        <w:rPr>
          <w:rFonts w:ascii="Museo Sans 300" w:hAnsi="Museo Sans 300"/>
          <w:sz w:val="22"/>
          <w:szCs w:val="22"/>
        </w:rPr>
      </w:pPr>
      <w:r w:rsidRPr="006A7AA3">
        <w:rPr>
          <w:rFonts w:ascii="Museo Sans 300" w:hAnsi="Museo Sans 300"/>
          <w:sz w:val="22"/>
          <w:szCs w:val="22"/>
        </w:rPr>
        <w:t>El Instituto de Previsión Social de la Fuerza Armada; y, (1)</w:t>
      </w:r>
    </w:p>
    <w:p w:rsidR="00993790" w:rsidRPr="006A7AA3" w:rsidRDefault="00993790" w:rsidP="009E6F7F">
      <w:pPr>
        <w:numPr>
          <w:ilvl w:val="0"/>
          <w:numId w:val="48"/>
        </w:numPr>
        <w:tabs>
          <w:tab w:val="clear" w:pos="720"/>
        </w:tabs>
        <w:ind w:left="425" w:hanging="425"/>
        <w:jc w:val="both"/>
        <w:rPr>
          <w:rFonts w:ascii="Museo Sans 300" w:hAnsi="Museo Sans 300"/>
          <w:sz w:val="22"/>
          <w:szCs w:val="22"/>
        </w:rPr>
      </w:pPr>
      <w:r w:rsidRPr="006A7AA3">
        <w:rPr>
          <w:rFonts w:ascii="Museo Sans 300" w:hAnsi="Museo Sans 300"/>
          <w:sz w:val="22"/>
          <w:szCs w:val="22"/>
        </w:rPr>
        <w:t>Los emisores de tarjetas de crédito. (1)</w:t>
      </w:r>
    </w:p>
    <w:p w:rsidR="00993790" w:rsidRPr="006A7AA3" w:rsidRDefault="00993790" w:rsidP="00993790">
      <w:pPr>
        <w:jc w:val="both"/>
        <w:rPr>
          <w:rFonts w:ascii="Museo Sans 300" w:hAnsi="Museo Sans 300"/>
          <w:strike/>
          <w:sz w:val="22"/>
          <w:szCs w:val="22"/>
          <w:lang w:val="es-SV"/>
        </w:rPr>
      </w:pPr>
    </w:p>
    <w:p w:rsidR="00993790" w:rsidRPr="006A7AA3" w:rsidRDefault="00993790" w:rsidP="00A35670">
      <w:pPr>
        <w:jc w:val="both"/>
        <w:rPr>
          <w:rFonts w:ascii="Museo Sans 300" w:hAnsi="Museo Sans 300"/>
          <w:sz w:val="22"/>
          <w:szCs w:val="22"/>
        </w:rPr>
      </w:pPr>
      <w:r w:rsidRPr="006A7AA3">
        <w:rPr>
          <w:rFonts w:ascii="Museo Sans 300" w:hAnsi="Museo Sans 300"/>
          <w:sz w:val="22"/>
          <w:szCs w:val="22"/>
        </w:rPr>
        <w:t>En las presentes Normas, los vocablos genéricos “entidad o entidades”, “Superintendencia” y “Junta Directiva”, designan respectivamente a los sujetos obligados al cumplimiento de estas Normas, a la Superintendencia del Sistema Financiero y a la Junta Directiva o Consejo de Administración de los sujetos obligados, en los casos que corresponda.</w:t>
      </w:r>
    </w:p>
    <w:p w:rsidR="00993790" w:rsidRPr="006A7AA3" w:rsidRDefault="00993790" w:rsidP="00993790">
      <w:pPr>
        <w:pStyle w:val="Textoindependiente"/>
        <w:rPr>
          <w:rFonts w:ascii="Museo Sans 300" w:hAnsi="Museo Sans 300"/>
          <w:sz w:val="22"/>
          <w:szCs w:val="22"/>
        </w:rPr>
      </w:pPr>
    </w:p>
    <w:p w:rsidR="00993790" w:rsidRPr="006A7AA3" w:rsidRDefault="00993790" w:rsidP="00993790">
      <w:pPr>
        <w:jc w:val="center"/>
        <w:rPr>
          <w:rFonts w:ascii="Museo Sans 300" w:hAnsi="Museo Sans 300"/>
          <w:b/>
          <w:sz w:val="22"/>
          <w:szCs w:val="22"/>
        </w:rPr>
      </w:pPr>
      <w:r w:rsidRPr="006A7AA3">
        <w:rPr>
          <w:rFonts w:ascii="Museo Sans 300" w:hAnsi="Museo Sans 300"/>
          <w:b/>
          <w:sz w:val="22"/>
          <w:szCs w:val="22"/>
        </w:rPr>
        <w:t>CAPÍTULO II</w:t>
      </w:r>
    </w:p>
    <w:p w:rsidR="00993790" w:rsidRPr="006A7AA3" w:rsidRDefault="00993790" w:rsidP="00993790">
      <w:pPr>
        <w:jc w:val="center"/>
        <w:rPr>
          <w:rFonts w:ascii="Museo Sans 300" w:hAnsi="Museo Sans 300"/>
          <w:b/>
          <w:sz w:val="22"/>
          <w:szCs w:val="22"/>
        </w:rPr>
      </w:pPr>
      <w:r w:rsidRPr="006A7AA3">
        <w:rPr>
          <w:rFonts w:ascii="Museo Sans 300" w:hAnsi="Museo Sans 300"/>
          <w:b/>
          <w:sz w:val="22"/>
          <w:szCs w:val="22"/>
        </w:rPr>
        <w:t>GESTIÓN DEL RIESGO DE CRÉDITO</w:t>
      </w:r>
    </w:p>
    <w:p w:rsidR="00993790" w:rsidRPr="006A7AA3" w:rsidRDefault="00993790" w:rsidP="00993790">
      <w:pPr>
        <w:jc w:val="both"/>
        <w:rPr>
          <w:rFonts w:ascii="Museo Sans 300" w:hAnsi="Museo Sans 300"/>
          <w:sz w:val="22"/>
          <w:szCs w:val="22"/>
        </w:rPr>
      </w:pPr>
    </w:p>
    <w:p w:rsidR="00993790" w:rsidRPr="006A7AA3" w:rsidRDefault="00993790" w:rsidP="00993790">
      <w:pPr>
        <w:jc w:val="both"/>
        <w:rPr>
          <w:rFonts w:ascii="Museo Sans 300" w:hAnsi="Museo Sans 300"/>
          <w:b/>
          <w:strike/>
          <w:sz w:val="22"/>
          <w:szCs w:val="22"/>
        </w:rPr>
      </w:pPr>
      <w:r w:rsidRPr="006A7AA3">
        <w:rPr>
          <w:rFonts w:ascii="Museo Sans 300" w:hAnsi="Museo Sans 300"/>
          <w:b/>
          <w:sz w:val="22"/>
          <w:szCs w:val="22"/>
        </w:rPr>
        <w:t>Sistema de organización</w:t>
      </w:r>
    </w:p>
    <w:p w:rsidR="00993790" w:rsidRPr="006A7AA3" w:rsidRDefault="00993790" w:rsidP="00993790">
      <w:pPr>
        <w:jc w:val="both"/>
        <w:rPr>
          <w:rFonts w:ascii="Museo Sans 300" w:hAnsi="Museo Sans 300"/>
          <w:sz w:val="22"/>
          <w:szCs w:val="22"/>
        </w:rPr>
      </w:pPr>
      <w:r w:rsidRPr="006A7AA3">
        <w:rPr>
          <w:rFonts w:ascii="Museo Sans 300" w:hAnsi="Museo Sans 300"/>
          <w:b/>
          <w:sz w:val="22"/>
          <w:szCs w:val="22"/>
        </w:rPr>
        <w:t>Art. 3.-</w:t>
      </w:r>
      <w:r w:rsidRPr="006A7AA3">
        <w:rPr>
          <w:rFonts w:ascii="Museo Sans 300" w:hAnsi="Museo Sans 300"/>
          <w:sz w:val="22"/>
          <w:szCs w:val="22"/>
        </w:rPr>
        <w:t xml:space="preserve"> Las entidades deben establecer una estructura organizacional o funcional adecuada a su modelo de negocios y apropiadamente segregada, que delimite claramente sus funciones y responsabilidades, así como los niveles de dependencia e interrelación que les corresponden a cada una de las áreas involucradas en la gestión del riesgo crediticio.</w:t>
      </w:r>
    </w:p>
    <w:p w:rsidR="00993790" w:rsidRPr="006A7AA3" w:rsidRDefault="00993790" w:rsidP="00993790">
      <w:pPr>
        <w:jc w:val="both"/>
        <w:rPr>
          <w:rFonts w:ascii="Museo Sans 300" w:hAnsi="Museo Sans 300"/>
          <w:sz w:val="22"/>
          <w:szCs w:val="22"/>
        </w:rPr>
      </w:pPr>
    </w:p>
    <w:p w:rsidR="00993790" w:rsidRPr="006A7AA3" w:rsidRDefault="00993790" w:rsidP="00993790">
      <w:pPr>
        <w:jc w:val="both"/>
        <w:rPr>
          <w:rFonts w:ascii="Museo Sans 300" w:hAnsi="Museo Sans 300"/>
          <w:sz w:val="22"/>
          <w:szCs w:val="22"/>
        </w:rPr>
      </w:pPr>
      <w:r w:rsidRPr="006A7AA3">
        <w:rPr>
          <w:rFonts w:ascii="Museo Sans 300" w:hAnsi="Museo Sans 300"/>
          <w:sz w:val="22"/>
          <w:szCs w:val="22"/>
        </w:rPr>
        <w:t>Todos estos aspectos deben estar contemplados en el manual respectivo, aprobado por la Junta Directiva de la entidad.</w:t>
      </w:r>
    </w:p>
    <w:p w:rsidR="00993790" w:rsidRPr="006A7AA3" w:rsidRDefault="00993790" w:rsidP="00993790">
      <w:pPr>
        <w:jc w:val="both"/>
        <w:rPr>
          <w:rFonts w:ascii="Museo Sans 300" w:hAnsi="Museo Sans 300"/>
          <w:sz w:val="22"/>
          <w:szCs w:val="22"/>
        </w:rPr>
      </w:pPr>
    </w:p>
    <w:p w:rsidR="00993790" w:rsidRPr="006A7AA3" w:rsidRDefault="00993790" w:rsidP="00993790">
      <w:pPr>
        <w:pStyle w:val="Textoindependiente"/>
        <w:rPr>
          <w:rFonts w:ascii="Museo Sans 300" w:hAnsi="Museo Sans 300"/>
          <w:sz w:val="22"/>
          <w:szCs w:val="22"/>
        </w:rPr>
      </w:pPr>
      <w:r w:rsidRPr="006A7AA3">
        <w:rPr>
          <w:rFonts w:ascii="Museo Sans 300" w:hAnsi="Museo Sans 300"/>
          <w:b/>
          <w:sz w:val="22"/>
          <w:szCs w:val="22"/>
        </w:rPr>
        <w:t>Junta Directiva</w:t>
      </w:r>
      <w:r w:rsidRPr="006A7AA3">
        <w:rPr>
          <w:rFonts w:ascii="Museo Sans 300" w:hAnsi="Museo Sans 300"/>
          <w:sz w:val="22"/>
          <w:szCs w:val="22"/>
        </w:rPr>
        <w:t xml:space="preserve"> </w:t>
      </w:r>
    </w:p>
    <w:p w:rsidR="00993790" w:rsidRPr="006A7AA3" w:rsidRDefault="00993790" w:rsidP="00A35670">
      <w:pPr>
        <w:pStyle w:val="Textoindependiente"/>
        <w:spacing w:after="120"/>
        <w:rPr>
          <w:rFonts w:ascii="Museo Sans 300" w:hAnsi="Museo Sans 300"/>
          <w:sz w:val="22"/>
          <w:szCs w:val="22"/>
        </w:rPr>
      </w:pPr>
      <w:r w:rsidRPr="006A7AA3">
        <w:rPr>
          <w:rFonts w:ascii="Museo Sans 300" w:hAnsi="Museo Sans 300"/>
          <w:b/>
          <w:sz w:val="22"/>
          <w:szCs w:val="22"/>
        </w:rPr>
        <w:t xml:space="preserve">Art. 4.- </w:t>
      </w:r>
      <w:r w:rsidRPr="006A7AA3">
        <w:rPr>
          <w:rFonts w:ascii="Museo Sans 300" w:hAnsi="Museo Sans 300"/>
          <w:sz w:val="22"/>
          <w:szCs w:val="22"/>
        </w:rPr>
        <w:t>La Junta Directiva de la entidad es el órgano directamente responsable de la gestión del riesgo de crédito, por lo que deberá:</w:t>
      </w:r>
    </w:p>
    <w:p w:rsidR="00993790" w:rsidRPr="006A7AA3" w:rsidRDefault="00993790" w:rsidP="00993790">
      <w:pPr>
        <w:numPr>
          <w:ilvl w:val="0"/>
          <w:numId w:val="49"/>
        </w:numPr>
        <w:tabs>
          <w:tab w:val="clear" w:pos="720"/>
        </w:tabs>
        <w:ind w:left="425" w:hanging="425"/>
        <w:jc w:val="both"/>
        <w:rPr>
          <w:rFonts w:ascii="Museo Sans 300" w:hAnsi="Museo Sans 300"/>
          <w:sz w:val="22"/>
          <w:szCs w:val="22"/>
        </w:rPr>
      </w:pPr>
      <w:r w:rsidRPr="006A7AA3">
        <w:rPr>
          <w:rFonts w:ascii="Museo Sans 300" w:hAnsi="Museo Sans 300"/>
          <w:sz w:val="22"/>
          <w:szCs w:val="22"/>
        </w:rPr>
        <w:t>Aprobar las estrategias, políticas y manuales para la gestión del riesgo de crédito y asegurarse que la Alta Gerencia los implemente efectivamente;</w:t>
      </w:r>
    </w:p>
    <w:p w:rsidR="00993790" w:rsidRPr="006A7AA3" w:rsidRDefault="00993790" w:rsidP="00993790">
      <w:pPr>
        <w:numPr>
          <w:ilvl w:val="0"/>
          <w:numId w:val="49"/>
        </w:numPr>
        <w:tabs>
          <w:tab w:val="clear" w:pos="720"/>
        </w:tabs>
        <w:ind w:left="425" w:hanging="425"/>
        <w:jc w:val="both"/>
        <w:rPr>
          <w:rFonts w:ascii="Museo Sans 300" w:hAnsi="Museo Sans 300"/>
          <w:sz w:val="22"/>
          <w:szCs w:val="22"/>
        </w:rPr>
      </w:pPr>
      <w:r w:rsidRPr="006A7AA3">
        <w:rPr>
          <w:rFonts w:ascii="Museo Sans 300" w:hAnsi="Museo Sans 300"/>
          <w:sz w:val="22"/>
          <w:szCs w:val="22"/>
        </w:rPr>
        <w:lastRenderedPageBreak/>
        <w:t>Asignar y aprobar los recursos necesarios para implementar y mantener en funcionamiento la gestión del riesgo de crédito en forma efectiva y eficiente; y</w:t>
      </w:r>
    </w:p>
    <w:p w:rsidR="00712CB5" w:rsidRPr="006A7AA3" w:rsidRDefault="00993790" w:rsidP="00993790">
      <w:pPr>
        <w:numPr>
          <w:ilvl w:val="0"/>
          <w:numId w:val="49"/>
        </w:numPr>
        <w:tabs>
          <w:tab w:val="clear" w:pos="720"/>
        </w:tabs>
        <w:ind w:left="425" w:hanging="425"/>
        <w:jc w:val="both"/>
        <w:rPr>
          <w:rFonts w:ascii="Museo Sans 300" w:hAnsi="Museo Sans 300"/>
          <w:sz w:val="22"/>
          <w:szCs w:val="22"/>
        </w:rPr>
      </w:pPr>
      <w:r w:rsidRPr="006A7AA3">
        <w:rPr>
          <w:rFonts w:ascii="Museo Sans 300" w:hAnsi="Museo Sans 300"/>
          <w:sz w:val="22"/>
          <w:szCs w:val="22"/>
        </w:rPr>
        <w:t>Asegurarse que se realicen auditorías internas por personal independiente del área encargada del riesgo de crédito.</w:t>
      </w:r>
    </w:p>
    <w:p w:rsidR="00993790" w:rsidRPr="006A7AA3" w:rsidRDefault="00993790" w:rsidP="006E6438">
      <w:pPr>
        <w:jc w:val="both"/>
        <w:rPr>
          <w:rFonts w:ascii="Museo Sans 300" w:hAnsi="Museo Sans 300"/>
          <w:sz w:val="22"/>
          <w:szCs w:val="22"/>
        </w:rPr>
      </w:pPr>
      <w:r w:rsidRPr="006A7AA3">
        <w:rPr>
          <w:rFonts w:ascii="Museo Sans 300" w:hAnsi="Museo Sans 300"/>
          <w:sz w:val="22"/>
          <w:szCs w:val="22"/>
        </w:rPr>
        <w:t xml:space="preserve"> </w:t>
      </w:r>
    </w:p>
    <w:p w:rsidR="00993790" w:rsidRPr="006A7AA3" w:rsidRDefault="00993790" w:rsidP="00993790">
      <w:pPr>
        <w:pStyle w:val="Textoindependiente"/>
        <w:rPr>
          <w:rFonts w:ascii="Museo Sans 300" w:hAnsi="Museo Sans 300"/>
          <w:sz w:val="22"/>
          <w:szCs w:val="22"/>
        </w:rPr>
      </w:pPr>
      <w:r w:rsidRPr="006A7AA3">
        <w:rPr>
          <w:rFonts w:ascii="Museo Sans 300" w:hAnsi="Museo Sans 300"/>
          <w:b/>
          <w:sz w:val="22"/>
          <w:szCs w:val="22"/>
        </w:rPr>
        <w:t>Alta Gerencia</w:t>
      </w:r>
    </w:p>
    <w:p w:rsidR="00993790" w:rsidRPr="006A7AA3" w:rsidRDefault="00993790" w:rsidP="00A35670">
      <w:pPr>
        <w:pStyle w:val="Textoindependiente"/>
        <w:rPr>
          <w:rFonts w:ascii="Museo Sans 300" w:hAnsi="Museo Sans 300"/>
          <w:b/>
          <w:sz w:val="22"/>
          <w:szCs w:val="22"/>
        </w:rPr>
      </w:pPr>
      <w:r w:rsidRPr="006A7AA3">
        <w:rPr>
          <w:rFonts w:ascii="Museo Sans 300" w:hAnsi="Museo Sans 300"/>
          <w:b/>
          <w:sz w:val="22"/>
          <w:szCs w:val="22"/>
        </w:rPr>
        <w:t>Art. 5.-</w:t>
      </w:r>
      <w:r w:rsidRPr="006A7AA3">
        <w:rPr>
          <w:rFonts w:ascii="Museo Sans 300" w:hAnsi="Museo Sans 300"/>
          <w:sz w:val="22"/>
          <w:szCs w:val="22"/>
        </w:rPr>
        <w:t xml:space="preserve"> La Alta Gerencia es la responsable de la implementación de la gestión del riesgo de crédito, de las estrategias, políticas y manuales autorizados por la Junta Directiva. </w:t>
      </w:r>
    </w:p>
    <w:p w:rsidR="00993790" w:rsidRPr="006A7AA3" w:rsidRDefault="00993790" w:rsidP="00993790">
      <w:pPr>
        <w:pStyle w:val="Textoindependiente"/>
        <w:rPr>
          <w:rFonts w:ascii="Museo Sans 300" w:hAnsi="Museo Sans 300"/>
          <w:b/>
          <w:sz w:val="22"/>
          <w:szCs w:val="22"/>
        </w:rPr>
      </w:pPr>
    </w:p>
    <w:p w:rsidR="00993790" w:rsidRPr="006A7AA3" w:rsidRDefault="00993790" w:rsidP="00993790">
      <w:pPr>
        <w:pStyle w:val="Textoindependiente"/>
        <w:rPr>
          <w:rFonts w:ascii="Museo Sans 300" w:hAnsi="Museo Sans 300"/>
          <w:b/>
          <w:sz w:val="22"/>
          <w:szCs w:val="22"/>
        </w:rPr>
      </w:pPr>
      <w:r w:rsidRPr="006A7AA3">
        <w:rPr>
          <w:rFonts w:ascii="Museo Sans 300" w:hAnsi="Museo Sans 300"/>
          <w:b/>
          <w:sz w:val="22"/>
          <w:szCs w:val="22"/>
        </w:rPr>
        <w:t xml:space="preserve">Etapas del proceso de gestión </w:t>
      </w:r>
    </w:p>
    <w:p w:rsidR="00993790" w:rsidRPr="006A7AA3" w:rsidRDefault="00993790" w:rsidP="00993790">
      <w:pPr>
        <w:pStyle w:val="Textoindependiente"/>
        <w:rPr>
          <w:rFonts w:ascii="Museo Sans 300" w:hAnsi="Museo Sans 300"/>
          <w:sz w:val="22"/>
          <w:szCs w:val="22"/>
        </w:rPr>
      </w:pPr>
      <w:r w:rsidRPr="006A7AA3">
        <w:rPr>
          <w:rFonts w:ascii="Museo Sans 300" w:hAnsi="Museo Sans 300"/>
          <w:b/>
          <w:sz w:val="22"/>
          <w:szCs w:val="22"/>
        </w:rPr>
        <w:t>Art. 6.-</w:t>
      </w:r>
      <w:r w:rsidRPr="006A7AA3">
        <w:rPr>
          <w:rFonts w:ascii="Museo Sans 300" w:hAnsi="Museo Sans 300"/>
          <w:sz w:val="22"/>
          <w:szCs w:val="22"/>
        </w:rPr>
        <w:t xml:space="preserve"> Para la gestión del riesgo de crédito, las entidades deben contar con un proceso </w:t>
      </w:r>
      <w:r w:rsidR="00855E5F" w:rsidRPr="006A7AA3">
        <w:rPr>
          <w:rFonts w:ascii="Museo Sans 300" w:hAnsi="Museo Sans 300"/>
          <w:sz w:val="22"/>
          <w:szCs w:val="22"/>
        </w:rPr>
        <w:t>continuo</w:t>
      </w:r>
      <w:r w:rsidRPr="006A7AA3">
        <w:rPr>
          <w:rFonts w:ascii="Museo Sans 300" w:hAnsi="Museo Sans 300"/>
          <w:sz w:val="22"/>
          <w:szCs w:val="22"/>
        </w:rPr>
        <w:t xml:space="preserve"> y documentado para determinar los activos crediticios expuestos al riesgo de crédito; así como identificar, medir, controlar y mitigar, monitorear y comunicar el referido riesgo. </w:t>
      </w:r>
    </w:p>
    <w:p w:rsidR="00993790" w:rsidRPr="006A7AA3" w:rsidRDefault="00993790" w:rsidP="00993790">
      <w:pPr>
        <w:jc w:val="both"/>
        <w:rPr>
          <w:rFonts w:ascii="Museo Sans 300" w:hAnsi="Museo Sans 300"/>
          <w:sz w:val="22"/>
          <w:szCs w:val="22"/>
        </w:rPr>
      </w:pPr>
    </w:p>
    <w:p w:rsidR="00993790" w:rsidRPr="006A7AA3" w:rsidRDefault="00993790" w:rsidP="00993790">
      <w:pPr>
        <w:jc w:val="both"/>
        <w:rPr>
          <w:rFonts w:ascii="Museo Sans 300" w:hAnsi="Museo Sans 300"/>
          <w:b/>
          <w:sz w:val="22"/>
          <w:szCs w:val="22"/>
        </w:rPr>
      </w:pPr>
      <w:r w:rsidRPr="006A7AA3">
        <w:rPr>
          <w:rFonts w:ascii="Museo Sans 300" w:hAnsi="Museo Sans 300"/>
          <w:b/>
          <w:sz w:val="22"/>
          <w:szCs w:val="22"/>
        </w:rPr>
        <w:t xml:space="preserve">Identificación </w:t>
      </w:r>
    </w:p>
    <w:p w:rsidR="00993790" w:rsidRPr="006A7AA3" w:rsidRDefault="00993790" w:rsidP="006E6438">
      <w:pPr>
        <w:tabs>
          <w:tab w:val="left" w:pos="851"/>
        </w:tabs>
        <w:jc w:val="both"/>
        <w:rPr>
          <w:rFonts w:ascii="Museo Sans 300" w:hAnsi="Museo Sans 300"/>
          <w:b/>
          <w:sz w:val="22"/>
          <w:szCs w:val="22"/>
        </w:rPr>
      </w:pPr>
      <w:r w:rsidRPr="006A7AA3">
        <w:rPr>
          <w:rFonts w:ascii="Museo Sans 300" w:hAnsi="Museo Sans 300"/>
          <w:b/>
          <w:sz w:val="22"/>
          <w:szCs w:val="22"/>
        </w:rPr>
        <w:t>Art. 7.-</w:t>
      </w:r>
      <w:r w:rsidRPr="006A7AA3">
        <w:rPr>
          <w:rFonts w:ascii="Museo Sans 300" w:hAnsi="Museo Sans 300"/>
          <w:sz w:val="22"/>
          <w:szCs w:val="22"/>
        </w:rPr>
        <w:t xml:space="preserve"> Las entidades deben establecer un proceso de identificación consistente en el reconocimiento de los factores que pueden originar un incremento en el riesgo de crédito. </w:t>
      </w:r>
    </w:p>
    <w:p w:rsidR="00993790" w:rsidRPr="006A7AA3" w:rsidRDefault="00993790" w:rsidP="00993790">
      <w:pPr>
        <w:jc w:val="both"/>
        <w:rPr>
          <w:rFonts w:ascii="Museo Sans 300" w:hAnsi="Museo Sans 300"/>
          <w:b/>
          <w:sz w:val="22"/>
          <w:szCs w:val="22"/>
        </w:rPr>
      </w:pPr>
    </w:p>
    <w:p w:rsidR="00993790" w:rsidRPr="006A7AA3" w:rsidRDefault="00993790" w:rsidP="00993790">
      <w:pPr>
        <w:jc w:val="both"/>
        <w:rPr>
          <w:rFonts w:ascii="Museo Sans 300" w:hAnsi="Museo Sans 300"/>
          <w:b/>
          <w:sz w:val="22"/>
          <w:szCs w:val="22"/>
        </w:rPr>
      </w:pPr>
      <w:r w:rsidRPr="006A7AA3">
        <w:rPr>
          <w:rFonts w:ascii="Museo Sans 300" w:hAnsi="Museo Sans 300"/>
          <w:b/>
          <w:sz w:val="22"/>
          <w:szCs w:val="22"/>
        </w:rPr>
        <w:t xml:space="preserve">Medición </w:t>
      </w:r>
    </w:p>
    <w:p w:rsidR="00993790" w:rsidRPr="006A7AA3" w:rsidRDefault="00993790" w:rsidP="00993790">
      <w:pPr>
        <w:jc w:val="both"/>
        <w:rPr>
          <w:rFonts w:ascii="Museo Sans 300" w:hAnsi="Museo Sans 300"/>
          <w:sz w:val="22"/>
          <w:szCs w:val="22"/>
        </w:rPr>
      </w:pPr>
      <w:r w:rsidRPr="006A7AA3">
        <w:rPr>
          <w:rFonts w:ascii="Museo Sans 300" w:hAnsi="Museo Sans 300"/>
          <w:b/>
          <w:sz w:val="22"/>
          <w:szCs w:val="22"/>
        </w:rPr>
        <w:t>Art. 8.-</w:t>
      </w:r>
      <w:r w:rsidRPr="006A7AA3">
        <w:rPr>
          <w:rFonts w:ascii="Museo Sans 300" w:hAnsi="Museo Sans 300"/>
          <w:sz w:val="22"/>
          <w:szCs w:val="22"/>
        </w:rPr>
        <w:t xml:space="preserve"> Las entidades deben estimar las pérdidas esperadas derivadas de la actividad crediticia, considerando los criterios de frecuencia y severidad de los incumplimientos. </w:t>
      </w:r>
    </w:p>
    <w:p w:rsidR="00993790" w:rsidRPr="006A7AA3" w:rsidRDefault="00993790" w:rsidP="00993790">
      <w:pPr>
        <w:jc w:val="both"/>
        <w:rPr>
          <w:rFonts w:ascii="Museo Sans 300" w:hAnsi="Museo Sans 300"/>
          <w:sz w:val="22"/>
          <w:szCs w:val="22"/>
        </w:rPr>
      </w:pPr>
    </w:p>
    <w:p w:rsidR="00993790" w:rsidRPr="006A7AA3" w:rsidRDefault="00993790" w:rsidP="00993790">
      <w:pPr>
        <w:jc w:val="both"/>
        <w:rPr>
          <w:rFonts w:ascii="Museo Sans 300" w:hAnsi="Museo Sans 300"/>
          <w:b/>
          <w:sz w:val="22"/>
          <w:szCs w:val="22"/>
        </w:rPr>
      </w:pPr>
      <w:r w:rsidRPr="006A7AA3">
        <w:rPr>
          <w:rFonts w:ascii="Museo Sans 300" w:hAnsi="Museo Sans 300"/>
          <w:b/>
          <w:sz w:val="22"/>
          <w:szCs w:val="22"/>
        </w:rPr>
        <w:t xml:space="preserve">Control y mitigación </w:t>
      </w:r>
    </w:p>
    <w:p w:rsidR="00993790" w:rsidRPr="006A7AA3" w:rsidRDefault="00993790" w:rsidP="00993790">
      <w:pPr>
        <w:jc w:val="both"/>
        <w:rPr>
          <w:rFonts w:ascii="Museo Sans 300" w:hAnsi="Museo Sans 300"/>
          <w:sz w:val="22"/>
          <w:szCs w:val="22"/>
        </w:rPr>
      </w:pPr>
      <w:r w:rsidRPr="006A7AA3">
        <w:rPr>
          <w:rFonts w:ascii="Museo Sans 300" w:hAnsi="Museo Sans 300"/>
          <w:b/>
          <w:sz w:val="22"/>
          <w:szCs w:val="22"/>
        </w:rPr>
        <w:t xml:space="preserve">Art. 9.- </w:t>
      </w:r>
      <w:r w:rsidRPr="006A7AA3">
        <w:rPr>
          <w:rFonts w:ascii="Museo Sans 300" w:hAnsi="Museo Sans 300"/>
          <w:sz w:val="22"/>
          <w:szCs w:val="22"/>
        </w:rPr>
        <w:t>Las entidades deben implementar controles para la gestión del riesgo de crédito y evaluar su adecuado funcionamiento. Incluye esta fase, la aplicación de medidas dirigidas a mitigar el efecto que sobre la situación financiera de la entidad podría producir la materialización de este riesgo.</w:t>
      </w:r>
    </w:p>
    <w:p w:rsidR="00993790" w:rsidRPr="006A7AA3" w:rsidRDefault="00993790" w:rsidP="00993790">
      <w:pPr>
        <w:jc w:val="both"/>
        <w:rPr>
          <w:rFonts w:ascii="Museo Sans 300" w:hAnsi="Museo Sans 300"/>
          <w:sz w:val="22"/>
          <w:szCs w:val="22"/>
        </w:rPr>
      </w:pPr>
    </w:p>
    <w:p w:rsidR="00993790" w:rsidRPr="006A7AA3" w:rsidRDefault="00993790" w:rsidP="00A35670">
      <w:pPr>
        <w:jc w:val="both"/>
        <w:rPr>
          <w:rFonts w:ascii="Museo Sans 300" w:hAnsi="Museo Sans 300"/>
          <w:sz w:val="22"/>
          <w:szCs w:val="22"/>
        </w:rPr>
      </w:pPr>
      <w:r w:rsidRPr="006A7AA3">
        <w:rPr>
          <w:rFonts w:ascii="Museo Sans 300" w:hAnsi="Museo Sans 300"/>
          <w:sz w:val="22"/>
          <w:szCs w:val="22"/>
        </w:rPr>
        <w:t>De igual manera, el área de Auditoría Interna debe incluir en sus planes de trabajo la verificación del cumplimiento de las políticas relacionadas con el riesgo de crédito, ya sea desde el punto de vista comercial o de gestión del riesgo propiamente dicho.</w:t>
      </w:r>
    </w:p>
    <w:p w:rsidR="00993790" w:rsidRPr="006A7AA3" w:rsidRDefault="00993790" w:rsidP="00993790">
      <w:pPr>
        <w:jc w:val="both"/>
        <w:rPr>
          <w:rFonts w:ascii="Museo Sans 300" w:hAnsi="Museo Sans 300"/>
          <w:sz w:val="22"/>
          <w:szCs w:val="22"/>
        </w:rPr>
      </w:pPr>
    </w:p>
    <w:p w:rsidR="00993790" w:rsidRPr="006A7AA3" w:rsidRDefault="00993790" w:rsidP="00993790">
      <w:pPr>
        <w:jc w:val="both"/>
        <w:rPr>
          <w:rFonts w:ascii="Museo Sans 300" w:hAnsi="Museo Sans 300"/>
          <w:b/>
          <w:sz w:val="22"/>
          <w:szCs w:val="22"/>
        </w:rPr>
      </w:pPr>
      <w:r w:rsidRPr="006A7AA3">
        <w:rPr>
          <w:rFonts w:ascii="Museo Sans 300" w:hAnsi="Museo Sans 300"/>
          <w:b/>
          <w:sz w:val="22"/>
          <w:szCs w:val="22"/>
        </w:rPr>
        <w:t>Monitoreo y comunicación</w:t>
      </w:r>
    </w:p>
    <w:p w:rsidR="00993790" w:rsidRPr="006A7AA3" w:rsidRDefault="00993790" w:rsidP="00993790">
      <w:pPr>
        <w:jc w:val="both"/>
        <w:rPr>
          <w:rFonts w:ascii="Museo Sans 300" w:hAnsi="Museo Sans 300"/>
          <w:sz w:val="22"/>
          <w:szCs w:val="22"/>
        </w:rPr>
      </w:pPr>
      <w:r w:rsidRPr="006A7AA3">
        <w:rPr>
          <w:rFonts w:ascii="Museo Sans 300" w:hAnsi="Museo Sans 300"/>
          <w:b/>
          <w:sz w:val="22"/>
          <w:szCs w:val="22"/>
        </w:rPr>
        <w:t>Art. 10.-</w:t>
      </w:r>
      <w:r w:rsidRPr="006A7AA3">
        <w:rPr>
          <w:rFonts w:ascii="Museo Sans 300" w:hAnsi="Museo Sans 300"/>
          <w:sz w:val="22"/>
          <w:szCs w:val="22"/>
        </w:rPr>
        <w:t xml:space="preserve"> La entidad debe establecer mecanismos para el contin</w:t>
      </w:r>
      <w:r w:rsidR="00D353C0" w:rsidRPr="006A7AA3">
        <w:rPr>
          <w:rFonts w:ascii="Museo Sans 300" w:hAnsi="Museo Sans 300"/>
          <w:sz w:val="22"/>
          <w:szCs w:val="22"/>
        </w:rPr>
        <w:t>u</w:t>
      </w:r>
      <w:r w:rsidRPr="006A7AA3">
        <w:rPr>
          <w:rFonts w:ascii="Museo Sans 300" w:hAnsi="Museo Sans 300"/>
          <w:sz w:val="22"/>
          <w:szCs w:val="22"/>
        </w:rPr>
        <w:t>o monitoreo de este riesgo, incluyendo procesos que ayuden a ajustar oportunamente con base a los cambios del entorno económico, las políticas, procesos y procedimientos para gestionar el riesgo de crédito. La actividad de monitoreo es responsabilidad de la Alta Gerencia, del Comité de Riesgos y de la Unidad de Riesgos, así como de otras instancias involucradas en el proceso, las cuales contar</w:t>
      </w:r>
      <w:r w:rsidR="00D353C0" w:rsidRPr="006A7AA3">
        <w:rPr>
          <w:rFonts w:ascii="Museo Sans 300" w:hAnsi="Museo Sans 300"/>
          <w:sz w:val="22"/>
          <w:szCs w:val="22"/>
        </w:rPr>
        <w:t>á</w:t>
      </w:r>
      <w:r w:rsidRPr="006A7AA3">
        <w:rPr>
          <w:rFonts w:ascii="Museo Sans 300" w:hAnsi="Museo Sans 300"/>
          <w:sz w:val="22"/>
          <w:szCs w:val="22"/>
        </w:rPr>
        <w:t>n con la información suficiente y oportuna para apoyar la toma de decisiones.</w:t>
      </w:r>
    </w:p>
    <w:p w:rsidR="00855E5F" w:rsidRPr="006A7AA3" w:rsidRDefault="00855E5F" w:rsidP="00993790">
      <w:pPr>
        <w:jc w:val="center"/>
        <w:rPr>
          <w:rFonts w:ascii="Museo Sans 300" w:hAnsi="Museo Sans 300"/>
          <w:b/>
          <w:sz w:val="22"/>
          <w:szCs w:val="22"/>
        </w:rPr>
      </w:pPr>
    </w:p>
    <w:p w:rsidR="00993790" w:rsidRPr="006A7AA3" w:rsidRDefault="00993790" w:rsidP="00993790">
      <w:pPr>
        <w:jc w:val="center"/>
        <w:rPr>
          <w:rFonts w:ascii="Museo Sans 300" w:hAnsi="Museo Sans 300"/>
          <w:sz w:val="22"/>
          <w:szCs w:val="22"/>
        </w:rPr>
      </w:pPr>
      <w:r w:rsidRPr="006A7AA3">
        <w:rPr>
          <w:rFonts w:ascii="Museo Sans 300" w:hAnsi="Museo Sans 300"/>
          <w:b/>
          <w:sz w:val="22"/>
          <w:szCs w:val="22"/>
        </w:rPr>
        <w:lastRenderedPageBreak/>
        <w:t>CAPÍTULO III</w:t>
      </w:r>
    </w:p>
    <w:p w:rsidR="00993790" w:rsidRPr="006A7AA3" w:rsidRDefault="00993790" w:rsidP="00993790">
      <w:pPr>
        <w:jc w:val="center"/>
        <w:rPr>
          <w:rFonts w:ascii="Museo Sans 300" w:hAnsi="Museo Sans 300"/>
          <w:b/>
          <w:sz w:val="22"/>
          <w:szCs w:val="22"/>
        </w:rPr>
      </w:pPr>
      <w:r w:rsidRPr="006A7AA3">
        <w:rPr>
          <w:rFonts w:ascii="Museo Sans 300" w:hAnsi="Museo Sans 300"/>
          <w:b/>
          <w:sz w:val="22"/>
          <w:szCs w:val="22"/>
        </w:rPr>
        <w:t>POLÍTICAS DE GESTIÓN DEL RIESGO DE CRÉDITO</w:t>
      </w:r>
    </w:p>
    <w:p w:rsidR="00855E5F" w:rsidRPr="006A7AA3" w:rsidRDefault="00855E5F" w:rsidP="00993790">
      <w:pPr>
        <w:jc w:val="both"/>
        <w:rPr>
          <w:rFonts w:ascii="Museo Sans 300" w:hAnsi="Museo Sans 300"/>
          <w:b/>
          <w:sz w:val="22"/>
          <w:szCs w:val="22"/>
        </w:rPr>
      </w:pPr>
    </w:p>
    <w:p w:rsidR="00993790" w:rsidRPr="006A7AA3" w:rsidRDefault="00993790" w:rsidP="00993790">
      <w:pPr>
        <w:jc w:val="both"/>
        <w:rPr>
          <w:rFonts w:ascii="Museo Sans 300" w:hAnsi="Museo Sans 300"/>
          <w:b/>
          <w:sz w:val="22"/>
          <w:szCs w:val="22"/>
        </w:rPr>
      </w:pPr>
      <w:r w:rsidRPr="006A7AA3">
        <w:rPr>
          <w:rFonts w:ascii="Museo Sans 300" w:hAnsi="Museo Sans 300"/>
          <w:b/>
          <w:sz w:val="22"/>
          <w:szCs w:val="22"/>
        </w:rPr>
        <w:t>Políticas de gestión de riesgo</w:t>
      </w:r>
    </w:p>
    <w:p w:rsidR="00993790" w:rsidRPr="006A7AA3" w:rsidRDefault="00993790" w:rsidP="00A35670">
      <w:pPr>
        <w:pStyle w:val="Prrafodelista"/>
        <w:ind w:left="0"/>
        <w:jc w:val="both"/>
        <w:rPr>
          <w:rFonts w:ascii="Museo Sans 300" w:hAnsi="Museo Sans 300"/>
          <w:color w:val="000000" w:themeColor="text1"/>
          <w:sz w:val="22"/>
          <w:szCs w:val="22"/>
        </w:rPr>
      </w:pPr>
      <w:r w:rsidRPr="006A7AA3">
        <w:rPr>
          <w:rFonts w:ascii="Museo Sans 300" w:hAnsi="Museo Sans 300"/>
          <w:b/>
          <w:sz w:val="22"/>
          <w:szCs w:val="22"/>
        </w:rPr>
        <w:t>Art. 11.-</w:t>
      </w:r>
      <w:r w:rsidRPr="006A7AA3">
        <w:rPr>
          <w:rFonts w:ascii="Museo Sans 300" w:hAnsi="Museo Sans 300"/>
          <w:sz w:val="22"/>
          <w:szCs w:val="22"/>
        </w:rPr>
        <w:t xml:space="preserve"> Las entidades deben contar con políticas explícitas para la gestión del riesgo de crédito, las cuales deben estar aprobadas por la Junta Directiva y ser adecuadas a las características de sus productos y de su mercado objetivo. Dichas políticas deben al menos orientarse a establecer niveles de tolerancia de exposición al riesgo de crédito, así como realizar una correcta </w:t>
      </w:r>
      <w:r w:rsidRPr="006A7AA3">
        <w:rPr>
          <w:rFonts w:ascii="Museo Sans 300" w:hAnsi="Museo Sans 300"/>
          <w:color w:val="000000" w:themeColor="text1"/>
          <w:sz w:val="22"/>
          <w:szCs w:val="22"/>
        </w:rPr>
        <w:t>valuación de los activos en función de la probabilidad de recuperación de la cartera.</w:t>
      </w:r>
    </w:p>
    <w:p w:rsidR="00993790" w:rsidRPr="006A7AA3" w:rsidRDefault="00993790" w:rsidP="00993790">
      <w:pPr>
        <w:pStyle w:val="Prrafodelista"/>
        <w:ind w:left="1068"/>
        <w:jc w:val="both"/>
        <w:rPr>
          <w:rFonts w:ascii="Museo Sans 300" w:hAnsi="Museo Sans 300" w:cs="Arial"/>
          <w:color w:val="000000" w:themeColor="text1"/>
          <w:sz w:val="22"/>
          <w:szCs w:val="22"/>
          <w:lang w:val="es-SV"/>
        </w:rPr>
      </w:pPr>
      <w:r w:rsidRPr="006A7AA3">
        <w:rPr>
          <w:rFonts w:ascii="Museo Sans 300" w:hAnsi="Museo Sans 300"/>
          <w:color w:val="000000" w:themeColor="text1"/>
          <w:sz w:val="22"/>
          <w:szCs w:val="22"/>
        </w:rPr>
        <w:t xml:space="preserve"> </w:t>
      </w:r>
    </w:p>
    <w:p w:rsidR="00993790" w:rsidRPr="006A7AA3" w:rsidRDefault="00993790" w:rsidP="00A35670">
      <w:pPr>
        <w:jc w:val="both"/>
        <w:rPr>
          <w:rFonts w:ascii="Museo Sans 300" w:hAnsi="Museo Sans 300"/>
          <w:sz w:val="22"/>
          <w:szCs w:val="22"/>
        </w:rPr>
      </w:pPr>
      <w:r w:rsidRPr="006A7AA3">
        <w:rPr>
          <w:rFonts w:ascii="Museo Sans 300" w:hAnsi="Museo Sans 300"/>
          <w:sz w:val="22"/>
          <w:szCs w:val="22"/>
        </w:rPr>
        <w:t>Los aspectos relacionados específicamente con la gestión del riesgo de crédito deben estar debidamente documentados e identificados.</w:t>
      </w:r>
    </w:p>
    <w:p w:rsidR="00993790" w:rsidRPr="006A7AA3" w:rsidRDefault="00993790" w:rsidP="00993790">
      <w:pPr>
        <w:jc w:val="both"/>
        <w:rPr>
          <w:rFonts w:ascii="Museo Sans 300" w:hAnsi="Museo Sans 300"/>
          <w:sz w:val="22"/>
          <w:szCs w:val="22"/>
        </w:rPr>
      </w:pPr>
    </w:p>
    <w:p w:rsidR="00993790" w:rsidRPr="006A7AA3" w:rsidRDefault="00993790" w:rsidP="00A35670">
      <w:pPr>
        <w:jc w:val="both"/>
        <w:rPr>
          <w:rFonts w:ascii="Museo Sans 300" w:hAnsi="Museo Sans 300"/>
          <w:i/>
          <w:sz w:val="22"/>
          <w:szCs w:val="22"/>
        </w:rPr>
      </w:pPr>
      <w:r w:rsidRPr="006A7AA3">
        <w:rPr>
          <w:rFonts w:ascii="Museo Sans 300" w:hAnsi="Museo Sans 300"/>
          <w:sz w:val="22"/>
          <w:szCs w:val="22"/>
        </w:rPr>
        <w:t>Las políticas de las entidades deben contener los aspectos del otorgamiento de crédito, seguimiento, cobranza, recuperación y tratamiento de excepciones a las políticas. Las mismas deben ser comprendidas consistentemente por los involucrados en la gestión del crédito por lo que deben divulgarse ampliamente.</w:t>
      </w:r>
    </w:p>
    <w:p w:rsidR="00993790" w:rsidRPr="006A7AA3" w:rsidRDefault="00993790" w:rsidP="00993790">
      <w:pPr>
        <w:jc w:val="both"/>
        <w:rPr>
          <w:rFonts w:ascii="Museo Sans 300" w:hAnsi="Museo Sans 300"/>
          <w:b/>
          <w:sz w:val="22"/>
          <w:szCs w:val="22"/>
        </w:rPr>
      </w:pPr>
    </w:p>
    <w:p w:rsidR="00993790" w:rsidRPr="006A7AA3" w:rsidRDefault="00993790" w:rsidP="00993790">
      <w:pPr>
        <w:jc w:val="both"/>
        <w:rPr>
          <w:rFonts w:ascii="Museo Sans 300" w:hAnsi="Museo Sans 300"/>
          <w:b/>
          <w:sz w:val="22"/>
          <w:szCs w:val="22"/>
        </w:rPr>
      </w:pPr>
      <w:r w:rsidRPr="006A7AA3">
        <w:rPr>
          <w:rFonts w:ascii="Museo Sans 300" w:hAnsi="Museo Sans 300"/>
          <w:b/>
          <w:sz w:val="22"/>
          <w:szCs w:val="22"/>
        </w:rPr>
        <w:t>Manuales de procedimientos</w:t>
      </w:r>
    </w:p>
    <w:p w:rsidR="00993790" w:rsidRPr="006A7AA3" w:rsidRDefault="00993790" w:rsidP="00A35670">
      <w:pPr>
        <w:jc w:val="both"/>
        <w:rPr>
          <w:rFonts w:ascii="Museo Sans 300" w:hAnsi="Museo Sans 300"/>
          <w:sz w:val="22"/>
          <w:szCs w:val="22"/>
        </w:rPr>
      </w:pPr>
      <w:r w:rsidRPr="006A7AA3">
        <w:rPr>
          <w:rFonts w:ascii="Museo Sans 300" w:hAnsi="Museo Sans 300"/>
          <w:b/>
          <w:sz w:val="22"/>
          <w:szCs w:val="22"/>
        </w:rPr>
        <w:t>Art. 12.-</w:t>
      </w:r>
      <w:r w:rsidRPr="006A7AA3">
        <w:rPr>
          <w:rFonts w:ascii="Museo Sans 300" w:hAnsi="Museo Sans 300"/>
          <w:sz w:val="22"/>
          <w:szCs w:val="22"/>
        </w:rPr>
        <w:t xml:space="preserve"> Las entidades con base a sus políticas deben establecer los procesos y procedimientos adecuados para el otorgamiento, seguimiento, cobranza y recuperación del crédito, incluyendo además, las etapas del proceso de gestión del riesgo crediticio. Lo anterior debe quedar documentado en el manual respectivo aprobado por la Junta Directiva.</w:t>
      </w:r>
    </w:p>
    <w:p w:rsidR="00993790" w:rsidRPr="006A7AA3" w:rsidRDefault="00993790" w:rsidP="00993790">
      <w:pPr>
        <w:ind w:firstLine="708"/>
        <w:jc w:val="both"/>
        <w:rPr>
          <w:rFonts w:ascii="Museo Sans 300" w:hAnsi="Museo Sans 300"/>
          <w:sz w:val="22"/>
          <w:szCs w:val="22"/>
        </w:rPr>
      </w:pPr>
    </w:p>
    <w:p w:rsidR="00993790" w:rsidRPr="006A7AA3" w:rsidRDefault="00993790" w:rsidP="00993790">
      <w:pPr>
        <w:pStyle w:val="Ttulo1"/>
        <w:jc w:val="center"/>
        <w:rPr>
          <w:rFonts w:ascii="Museo Sans 300" w:hAnsi="Museo Sans 300"/>
          <w:sz w:val="22"/>
          <w:szCs w:val="22"/>
        </w:rPr>
      </w:pPr>
      <w:r w:rsidRPr="006A7AA3">
        <w:rPr>
          <w:rFonts w:ascii="Museo Sans 300" w:hAnsi="Museo Sans 300"/>
          <w:sz w:val="22"/>
          <w:szCs w:val="22"/>
        </w:rPr>
        <w:t>CAPÍTULO IV</w:t>
      </w:r>
    </w:p>
    <w:p w:rsidR="00993790" w:rsidRPr="006A7AA3" w:rsidRDefault="00993790" w:rsidP="00993790">
      <w:pPr>
        <w:pStyle w:val="Ttulo1"/>
        <w:jc w:val="center"/>
        <w:rPr>
          <w:rFonts w:ascii="Museo Sans 300" w:hAnsi="Museo Sans 300"/>
          <w:sz w:val="22"/>
          <w:szCs w:val="22"/>
        </w:rPr>
      </w:pPr>
      <w:r w:rsidRPr="006A7AA3">
        <w:rPr>
          <w:rFonts w:ascii="Museo Sans 300" w:hAnsi="Museo Sans 300"/>
          <w:sz w:val="22"/>
          <w:szCs w:val="22"/>
        </w:rPr>
        <w:t>RIESGO DE CONCENTRACIÓN CREDITICIA</w:t>
      </w:r>
    </w:p>
    <w:p w:rsidR="00993790" w:rsidRPr="006A7AA3" w:rsidRDefault="00993790" w:rsidP="00993790">
      <w:pPr>
        <w:pStyle w:val="Ttulo1"/>
        <w:jc w:val="center"/>
        <w:rPr>
          <w:rFonts w:ascii="Museo Sans 300" w:hAnsi="Museo Sans 300"/>
          <w:sz w:val="22"/>
          <w:szCs w:val="22"/>
        </w:rPr>
      </w:pPr>
    </w:p>
    <w:p w:rsidR="00993790" w:rsidRPr="006A7AA3" w:rsidRDefault="00993790" w:rsidP="00993790">
      <w:pPr>
        <w:rPr>
          <w:rFonts w:ascii="Museo Sans 300" w:hAnsi="Museo Sans 300"/>
          <w:b/>
          <w:sz w:val="22"/>
          <w:szCs w:val="22"/>
        </w:rPr>
      </w:pPr>
      <w:r w:rsidRPr="006A7AA3">
        <w:rPr>
          <w:rFonts w:ascii="Museo Sans 300" w:hAnsi="Museo Sans 300"/>
          <w:b/>
          <w:sz w:val="22"/>
          <w:szCs w:val="22"/>
        </w:rPr>
        <w:t>Políticas de concentración crediticia</w:t>
      </w:r>
    </w:p>
    <w:p w:rsidR="00993790" w:rsidRPr="006A7AA3" w:rsidRDefault="00993790" w:rsidP="00A35670">
      <w:pPr>
        <w:autoSpaceDE w:val="0"/>
        <w:autoSpaceDN w:val="0"/>
        <w:adjustRightInd w:val="0"/>
        <w:jc w:val="both"/>
        <w:rPr>
          <w:rFonts w:ascii="Museo Sans 300" w:hAnsi="Museo Sans 300"/>
          <w:sz w:val="22"/>
          <w:szCs w:val="22"/>
        </w:rPr>
      </w:pPr>
      <w:r w:rsidRPr="006A7AA3">
        <w:rPr>
          <w:rFonts w:ascii="Museo Sans 300" w:hAnsi="Museo Sans 300"/>
          <w:b/>
          <w:sz w:val="22"/>
          <w:szCs w:val="22"/>
        </w:rPr>
        <w:t>Art. 13.-</w:t>
      </w:r>
      <w:r w:rsidRPr="006A7AA3">
        <w:rPr>
          <w:rFonts w:ascii="Museo Sans 300" w:hAnsi="Museo Sans 300"/>
          <w:sz w:val="22"/>
          <w:szCs w:val="22"/>
        </w:rPr>
        <w:t xml:space="preserve"> Las entidades deben contar con una política respecto al riesgo de concentración crediticia, de acuerdo a la segmentación que cada entidad defina, la que debe estar debidamente documentada, aprobada por la Junta Directiva y sometida a revisiones periódicas para tener en cuenta eventuales cambios en los límites de riesgo y en el entorno económico; además deben contener el tratamiento de las excepciones a los límites.</w:t>
      </w:r>
    </w:p>
    <w:p w:rsidR="00993790" w:rsidRPr="006A7AA3" w:rsidRDefault="00993790" w:rsidP="00993790">
      <w:pPr>
        <w:tabs>
          <w:tab w:val="left" w:pos="6405"/>
        </w:tabs>
        <w:autoSpaceDE w:val="0"/>
        <w:autoSpaceDN w:val="0"/>
        <w:adjustRightInd w:val="0"/>
        <w:jc w:val="both"/>
        <w:rPr>
          <w:rFonts w:ascii="Museo Sans 300" w:hAnsi="Museo Sans 300"/>
          <w:sz w:val="22"/>
          <w:szCs w:val="22"/>
        </w:rPr>
      </w:pPr>
      <w:r w:rsidRPr="006A7AA3">
        <w:rPr>
          <w:rFonts w:ascii="Museo Sans 300" w:hAnsi="Museo Sans 300"/>
          <w:sz w:val="22"/>
          <w:szCs w:val="22"/>
        </w:rPr>
        <w:tab/>
      </w:r>
    </w:p>
    <w:p w:rsidR="00993790" w:rsidRPr="006A7AA3" w:rsidRDefault="00993790" w:rsidP="00993790">
      <w:pPr>
        <w:autoSpaceDE w:val="0"/>
        <w:autoSpaceDN w:val="0"/>
        <w:adjustRightInd w:val="0"/>
        <w:jc w:val="both"/>
        <w:rPr>
          <w:rFonts w:ascii="Museo Sans 300" w:hAnsi="Museo Sans 300"/>
          <w:b/>
          <w:sz w:val="22"/>
          <w:szCs w:val="22"/>
        </w:rPr>
      </w:pPr>
      <w:r w:rsidRPr="006A7AA3">
        <w:rPr>
          <w:rFonts w:ascii="Museo Sans 300" w:hAnsi="Museo Sans 300"/>
          <w:b/>
          <w:sz w:val="22"/>
          <w:szCs w:val="22"/>
        </w:rPr>
        <w:t>Gestión del riesgo de concentración crediticia</w:t>
      </w:r>
    </w:p>
    <w:p w:rsidR="00993790" w:rsidRPr="006A7AA3" w:rsidRDefault="00993790" w:rsidP="00A35670">
      <w:pPr>
        <w:autoSpaceDE w:val="0"/>
        <w:autoSpaceDN w:val="0"/>
        <w:adjustRightInd w:val="0"/>
        <w:jc w:val="both"/>
        <w:rPr>
          <w:rFonts w:ascii="Museo Sans 300" w:hAnsi="Museo Sans 300"/>
          <w:sz w:val="22"/>
          <w:szCs w:val="22"/>
        </w:rPr>
      </w:pPr>
      <w:r w:rsidRPr="006A7AA3">
        <w:rPr>
          <w:rFonts w:ascii="Museo Sans 300" w:hAnsi="Museo Sans 300"/>
          <w:b/>
          <w:sz w:val="22"/>
          <w:szCs w:val="22"/>
        </w:rPr>
        <w:t>Art. 14.-</w:t>
      </w:r>
      <w:r w:rsidRPr="006A7AA3">
        <w:rPr>
          <w:rFonts w:ascii="Museo Sans 300" w:hAnsi="Museo Sans 300"/>
          <w:sz w:val="22"/>
          <w:szCs w:val="22"/>
        </w:rPr>
        <w:t xml:space="preserve"> Las entidades deben establecer procedimientos internos adecuados de identificación, medición, control, monitoreo y comunicación del riesgo de concentración crediticia, acordes a la naturaleza y escala de sus actividades.</w:t>
      </w:r>
    </w:p>
    <w:p w:rsidR="00445B10" w:rsidRPr="006A7AA3" w:rsidRDefault="00445B10" w:rsidP="00993790">
      <w:pPr>
        <w:autoSpaceDE w:val="0"/>
        <w:autoSpaceDN w:val="0"/>
        <w:adjustRightInd w:val="0"/>
        <w:jc w:val="both"/>
        <w:rPr>
          <w:rFonts w:ascii="Museo Sans 300" w:hAnsi="Museo Sans 300"/>
          <w:b/>
          <w:sz w:val="22"/>
          <w:szCs w:val="22"/>
        </w:rPr>
      </w:pPr>
    </w:p>
    <w:p w:rsidR="00993790" w:rsidRPr="006A7AA3" w:rsidRDefault="00993790" w:rsidP="00993790">
      <w:pPr>
        <w:autoSpaceDE w:val="0"/>
        <w:autoSpaceDN w:val="0"/>
        <w:adjustRightInd w:val="0"/>
        <w:jc w:val="both"/>
        <w:rPr>
          <w:rFonts w:ascii="Museo Sans 300" w:hAnsi="Museo Sans 300"/>
          <w:b/>
          <w:sz w:val="22"/>
          <w:szCs w:val="22"/>
        </w:rPr>
      </w:pPr>
      <w:r w:rsidRPr="006A7AA3">
        <w:rPr>
          <w:rFonts w:ascii="Museo Sans 300" w:hAnsi="Museo Sans 300"/>
          <w:b/>
          <w:sz w:val="22"/>
          <w:szCs w:val="22"/>
        </w:rPr>
        <w:t xml:space="preserve">Establecimiento de límites </w:t>
      </w:r>
    </w:p>
    <w:p w:rsidR="00993790" w:rsidRPr="006A7AA3" w:rsidRDefault="00993790" w:rsidP="00A35670">
      <w:pPr>
        <w:autoSpaceDE w:val="0"/>
        <w:autoSpaceDN w:val="0"/>
        <w:adjustRightInd w:val="0"/>
        <w:jc w:val="both"/>
        <w:rPr>
          <w:rFonts w:ascii="Museo Sans 300" w:hAnsi="Museo Sans 300"/>
          <w:sz w:val="22"/>
          <w:szCs w:val="22"/>
        </w:rPr>
      </w:pPr>
      <w:r w:rsidRPr="006A7AA3">
        <w:rPr>
          <w:rFonts w:ascii="Museo Sans 300" w:hAnsi="Museo Sans 300"/>
          <w:b/>
          <w:sz w:val="22"/>
          <w:szCs w:val="22"/>
        </w:rPr>
        <w:lastRenderedPageBreak/>
        <w:t>Art. 15.-</w:t>
      </w:r>
      <w:r w:rsidRPr="006A7AA3">
        <w:rPr>
          <w:rFonts w:ascii="Museo Sans 300" w:hAnsi="Museo Sans 300"/>
          <w:sz w:val="22"/>
          <w:szCs w:val="22"/>
        </w:rPr>
        <w:t xml:space="preserve"> Las entidades deben establecer, de acuerdo a un análisis previo, los límites, umbrales o conceptos similares de concentración de crédito, así como los procedimientos a seguir en la aplicación de éstos, a fin de garantizar que no se exceda el nivel de riesgo de crédito determinado por la Junta Directiva. </w:t>
      </w:r>
    </w:p>
    <w:p w:rsidR="00993790" w:rsidRPr="006A7AA3" w:rsidRDefault="00993790" w:rsidP="00993790">
      <w:pPr>
        <w:autoSpaceDE w:val="0"/>
        <w:autoSpaceDN w:val="0"/>
        <w:adjustRightInd w:val="0"/>
        <w:jc w:val="both"/>
        <w:rPr>
          <w:rFonts w:ascii="Museo Sans 300" w:hAnsi="Museo Sans 300"/>
          <w:sz w:val="22"/>
          <w:szCs w:val="22"/>
        </w:rPr>
      </w:pPr>
    </w:p>
    <w:p w:rsidR="00993790" w:rsidRPr="006A7AA3" w:rsidRDefault="00993790" w:rsidP="00A35670">
      <w:pPr>
        <w:pStyle w:val="Default1"/>
        <w:spacing w:after="120"/>
        <w:jc w:val="both"/>
        <w:rPr>
          <w:rFonts w:ascii="Museo Sans 300" w:hAnsi="Museo Sans 300" w:cs="Times New Roman"/>
          <w:sz w:val="22"/>
          <w:szCs w:val="22"/>
          <w:lang w:val="es-ES_tradnl" w:eastAsia="es-ES"/>
        </w:rPr>
      </w:pPr>
      <w:r w:rsidRPr="006A7AA3">
        <w:rPr>
          <w:rFonts w:ascii="Museo Sans 300" w:hAnsi="Museo Sans 300" w:cs="Times New Roman"/>
          <w:sz w:val="22"/>
          <w:szCs w:val="22"/>
          <w:lang w:val="es-ES_tradnl" w:eastAsia="es-ES"/>
        </w:rPr>
        <w:t>Las entidades deben realizar análisis de concentración de su cartera de créditos y de inversión, así como estimaciones de las tendencias que presentan, considerando al menos los siguientes aspectos:</w:t>
      </w:r>
    </w:p>
    <w:p w:rsidR="00993790" w:rsidRPr="006A7AA3" w:rsidRDefault="00993790" w:rsidP="00993790">
      <w:pPr>
        <w:numPr>
          <w:ilvl w:val="0"/>
          <w:numId w:val="46"/>
        </w:numPr>
        <w:ind w:left="425" w:hanging="425"/>
        <w:jc w:val="both"/>
        <w:rPr>
          <w:rFonts w:ascii="Museo Sans 300" w:hAnsi="Museo Sans 300"/>
          <w:sz w:val="22"/>
          <w:szCs w:val="22"/>
        </w:rPr>
      </w:pPr>
      <w:r w:rsidRPr="006A7AA3">
        <w:rPr>
          <w:rFonts w:ascii="Museo Sans 300" w:hAnsi="Museo Sans 300"/>
          <w:sz w:val="22"/>
          <w:szCs w:val="22"/>
        </w:rPr>
        <w:t>Grandes exposiciones individuales frente a una misma contraparte, a contrapartes vinculadas y a grupos relacionados. A estos efectos, la definición de vinculadas debe ser lo suficientemente amplia para incluir las exposiciones vinculadas por factores comunes, como propiedad, administración, avalistas o garantes vinculados;</w:t>
      </w:r>
    </w:p>
    <w:p w:rsidR="00993790" w:rsidRPr="006A7AA3" w:rsidRDefault="00993790" w:rsidP="00993790">
      <w:pPr>
        <w:numPr>
          <w:ilvl w:val="0"/>
          <w:numId w:val="46"/>
        </w:numPr>
        <w:ind w:left="425" w:hanging="425"/>
        <w:jc w:val="both"/>
        <w:rPr>
          <w:rFonts w:ascii="Museo Sans 300" w:hAnsi="Museo Sans 300"/>
          <w:sz w:val="22"/>
          <w:szCs w:val="22"/>
        </w:rPr>
      </w:pPr>
      <w:r w:rsidRPr="006A7AA3">
        <w:rPr>
          <w:rFonts w:ascii="Museo Sans 300" w:hAnsi="Museo Sans 300"/>
          <w:sz w:val="22"/>
          <w:szCs w:val="22"/>
        </w:rPr>
        <w:t xml:space="preserve">Exposiciones frente a contrapartes en un mismo sector o segmento económico o región geográfica, incluyendo exposiciones para créditos no domiciliados; </w:t>
      </w:r>
    </w:p>
    <w:p w:rsidR="00993790" w:rsidRPr="006A7AA3" w:rsidRDefault="00993790" w:rsidP="00993790">
      <w:pPr>
        <w:numPr>
          <w:ilvl w:val="0"/>
          <w:numId w:val="46"/>
        </w:numPr>
        <w:ind w:left="425" w:hanging="425"/>
        <w:jc w:val="both"/>
        <w:rPr>
          <w:rFonts w:ascii="Museo Sans 300" w:hAnsi="Museo Sans 300"/>
          <w:sz w:val="22"/>
          <w:szCs w:val="22"/>
        </w:rPr>
      </w:pPr>
      <w:r w:rsidRPr="006A7AA3">
        <w:rPr>
          <w:rFonts w:ascii="Museo Sans 300" w:hAnsi="Museo Sans 300"/>
          <w:sz w:val="22"/>
          <w:szCs w:val="22"/>
        </w:rPr>
        <w:t>Efectividad de los mitigantes para el riesgo de crédito; y</w:t>
      </w:r>
    </w:p>
    <w:p w:rsidR="00993790" w:rsidRPr="006A7AA3" w:rsidRDefault="00993790" w:rsidP="00993790">
      <w:pPr>
        <w:numPr>
          <w:ilvl w:val="0"/>
          <w:numId w:val="46"/>
        </w:numPr>
        <w:ind w:left="425" w:hanging="425"/>
        <w:jc w:val="both"/>
        <w:rPr>
          <w:rFonts w:ascii="Museo Sans 300" w:hAnsi="Museo Sans 300"/>
          <w:sz w:val="22"/>
          <w:szCs w:val="22"/>
        </w:rPr>
      </w:pPr>
      <w:r w:rsidRPr="006A7AA3">
        <w:rPr>
          <w:rFonts w:ascii="Museo Sans 300" w:hAnsi="Museo Sans 300"/>
          <w:sz w:val="22"/>
          <w:szCs w:val="22"/>
        </w:rPr>
        <w:t>Las similitudes entre factores de riesgo a exposiciones no vinculadas o exposiciones a factores comunes.</w:t>
      </w:r>
    </w:p>
    <w:p w:rsidR="00993790" w:rsidRPr="006A7AA3" w:rsidRDefault="00993790" w:rsidP="00993790">
      <w:pPr>
        <w:pStyle w:val="Default1"/>
        <w:autoSpaceDE/>
        <w:autoSpaceDN/>
        <w:adjustRightInd/>
        <w:ind w:left="425" w:hanging="425"/>
        <w:jc w:val="both"/>
        <w:rPr>
          <w:rFonts w:ascii="Museo Sans 300" w:hAnsi="Museo Sans 300"/>
          <w:sz w:val="22"/>
          <w:szCs w:val="22"/>
          <w:lang w:val="es-ES_tradnl"/>
        </w:rPr>
      </w:pPr>
    </w:p>
    <w:p w:rsidR="00993790" w:rsidRPr="006A7AA3" w:rsidRDefault="00993790" w:rsidP="00A35670">
      <w:pPr>
        <w:ind w:firstLine="1"/>
        <w:jc w:val="both"/>
        <w:rPr>
          <w:rFonts w:ascii="Museo Sans 300" w:hAnsi="Museo Sans 300"/>
          <w:sz w:val="22"/>
          <w:szCs w:val="22"/>
        </w:rPr>
      </w:pPr>
      <w:r w:rsidRPr="006A7AA3">
        <w:rPr>
          <w:rFonts w:ascii="Museo Sans 300" w:hAnsi="Museo Sans 300"/>
          <w:sz w:val="22"/>
          <w:szCs w:val="22"/>
        </w:rPr>
        <w:t>Los límites anteriores deben aplicarse en forma individual y global sumando cada una de las operaciones de cada entidad que integran un conglomerado financiero, en caso que aplique.</w:t>
      </w:r>
    </w:p>
    <w:p w:rsidR="00993790" w:rsidRPr="006A7AA3" w:rsidRDefault="00993790" w:rsidP="00A35670">
      <w:pPr>
        <w:ind w:firstLine="1"/>
        <w:jc w:val="both"/>
        <w:rPr>
          <w:rFonts w:ascii="Museo Sans 300" w:hAnsi="Museo Sans 300"/>
          <w:sz w:val="22"/>
          <w:szCs w:val="22"/>
        </w:rPr>
      </w:pPr>
    </w:p>
    <w:p w:rsidR="00993790" w:rsidRPr="006A7AA3" w:rsidRDefault="00993790" w:rsidP="00A35670">
      <w:pPr>
        <w:pStyle w:val="Default1"/>
        <w:autoSpaceDE/>
        <w:autoSpaceDN/>
        <w:adjustRightInd/>
        <w:ind w:firstLine="1"/>
        <w:jc w:val="both"/>
        <w:rPr>
          <w:rFonts w:ascii="Museo Sans 300" w:hAnsi="Museo Sans 300" w:cs="Times New Roman"/>
          <w:sz w:val="22"/>
          <w:szCs w:val="22"/>
          <w:lang w:val="es-ES_tradnl"/>
        </w:rPr>
      </w:pPr>
      <w:r w:rsidRPr="006A7AA3">
        <w:rPr>
          <w:rFonts w:ascii="Museo Sans 300" w:hAnsi="Museo Sans 300" w:cs="Times New Roman"/>
          <w:sz w:val="22"/>
          <w:szCs w:val="22"/>
          <w:lang w:val="es-ES_tradnl" w:eastAsia="es-ES"/>
        </w:rPr>
        <w:t>Los resultados de estos análisis deben servir para ajustar los procedimientos y los límites establecidos en la gestión del riesgo de concentración crediticia.</w:t>
      </w:r>
    </w:p>
    <w:p w:rsidR="00993790" w:rsidRPr="006A7AA3" w:rsidRDefault="00993790" w:rsidP="00993790">
      <w:pPr>
        <w:ind w:left="425" w:hanging="425"/>
        <w:jc w:val="both"/>
        <w:rPr>
          <w:rFonts w:ascii="Museo Sans 300" w:hAnsi="Museo Sans 300"/>
          <w:sz w:val="22"/>
          <w:szCs w:val="22"/>
        </w:rPr>
      </w:pPr>
    </w:p>
    <w:p w:rsidR="00993790" w:rsidRPr="006A7AA3" w:rsidRDefault="00993790" w:rsidP="00993790">
      <w:pPr>
        <w:ind w:left="425" w:hanging="425"/>
        <w:jc w:val="both"/>
        <w:rPr>
          <w:rFonts w:ascii="Museo Sans 300" w:hAnsi="Museo Sans 300"/>
          <w:b/>
          <w:sz w:val="22"/>
          <w:szCs w:val="22"/>
        </w:rPr>
      </w:pPr>
      <w:r w:rsidRPr="006A7AA3">
        <w:rPr>
          <w:rFonts w:ascii="Museo Sans 300" w:hAnsi="Museo Sans 300"/>
          <w:b/>
          <w:sz w:val="22"/>
          <w:szCs w:val="22"/>
        </w:rPr>
        <w:t xml:space="preserve">Monitoreo </w:t>
      </w:r>
    </w:p>
    <w:p w:rsidR="00993790" w:rsidRPr="006A7AA3" w:rsidRDefault="00993790" w:rsidP="006E6438">
      <w:pPr>
        <w:pStyle w:val="Default1"/>
        <w:autoSpaceDE/>
        <w:autoSpaceDN/>
        <w:adjustRightInd/>
        <w:spacing w:after="120"/>
        <w:jc w:val="both"/>
        <w:rPr>
          <w:rFonts w:ascii="Museo Sans 300" w:hAnsi="Museo Sans 300" w:cs="Times New Roman"/>
          <w:sz w:val="22"/>
          <w:szCs w:val="22"/>
          <w:lang w:val="es-ES_tradnl" w:eastAsia="es-ES"/>
        </w:rPr>
      </w:pPr>
      <w:r w:rsidRPr="006A7AA3">
        <w:rPr>
          <w:rFonts w:ascii="Museo Sans 300" w:hAnsi="Museo Sans 300" w:cs="Times New Roman"/>
          <w:b/>
          <w:sz w:val="22"/>
          <w:szCs w:val="22"/>
          <w:lang w:val="es-ES_tradnl" w:eastAsia="es-ES"/>
        </w:rPr>
        <w:t>Art. 16.-</w:t>
      </w:r>
      <w:r w:rsidRPr="006A7AA3">
        <w:rPr>
          <w:rFonts w:ascii="Museo Sans 300" w:hAnsi="Museo Sans 300" w:cs="Times New Roman"/>
          <w:sz w:val="22"/>
          <w:szCs w:val="22"/>
          <w:lang w:val="es-ES_tradnl" w:eastAsia="es-ES"/>
        </w:rPr>
        <w:t xml:space="preserve"> Los sistemas de gestión y comunicación de los riesgos de concentración crediticia, deben incorporar funciones de monitoreo, tales como: </w:t>
      </w:r>
    </w:p>
    <w:p w:rsidR="00993790" w:rsidRPr="006A7AA3" w:rsidRDefault="00993790" w:rsidP="009E6F7F">
      <w:pPr>
        <w:pStyle w:val="Default1"/>
        <w:numPr>
          <w:ilvl w:val="0"/>
          <w:numId w:val="45"/>
        </w:numPr>
        <w:autoSpaceDE/>
        <w:autoSpaceDN/>
        <w:adjustRightInd/>
        <w:spacing w:before="120"/>
        <w:ind w:left="425" w:hanging="425"/>
        <w:jc w:val="both"/>
        <w:rPr>
          <w:rFonts w:ascii="Museo Sans 300" w:hAnsi="Museo Sans 300" w:cs="Times New Roman"/>
          <w:sz w:val="22"/>
          <w:szCs w:val="22"/>
          <w:lang w:val="es-ES_tradnl" w:eastAsia="es-ES"/>
        </w:rPr>
      </w:pPr>
      <w:r w:rsidRPr="006A7AA3">
        <w:rPr>
          <w:rFonts w:ascii="Museo Sans 300" w:hAnsi="Museo Sans 300" w:cs="Times New Roman"/>
          <w:sz w:val="22"/>
          <w:szCs w:val="22"/>
          <w:lang w:val="es-ES_tradnl" w:eastAsia="es-ES"/>
        </w:rPr>
        <w:t xml:space="preserve">Revisión del entorno de riesgo del sector o segmento en cuestión; </w:t>
      </w:r>
    </w:p>
    <w:p w:rsidR="00993790" w:rsidRPr="006A7AA3" w:rsidRDefault="00993790" w:rsidP="00993790">
      <w:pPr>
        <w:pStyle w:val="Default1"/>
        <w:numPr>
          <w:ilvl w:val="0"/>
          <w:numId w:val="45"/>
        </w:numPr>
        <w:autoSpaceDE/>
        <w:autoSpaceDN/>
        <w:adjustRightInd/>
        <w:ind w:left="425" w:hanging="425"/>
        <w:jc w:val="both"/>
        <w:rPr>
          <w:rFonts w:ascii="Museo Sans 300" w:hAnsi="Museo Sans 300" w:cs="Times New Roman"/>
          <w:sz w:val="22"/>
          <w:szCs w:val="22"/>
          <w:lang w:val="es-ES_tradnl" w:eastAsia="es-ES"/>
        </w:rPr>
      </w:pPr>
      <w:r w:rsidRPr="006A7AA3">
        <w:rPr>
          <w:rFonts w:ascii="Museo Sans 300" w:hAnsi="Museo Sans 300" w:cs="Times New Roman"/>
          <w:sz w:val="22"/>
          <w:szCs w:val="22"/>
          <w:lang w:val="es-ES_tradnl" w:eastAsia="es-ES"/>
        </w:rPr>
        <w:t xml:space="preserve">Análisis de escenarios incluyendo pruebas de estrés; </w:t>
      </w:r>
    </w:p>
    <w:p w:rsidR="00993790" w:rsidRPr="006A7AA3" w:rsidRDefault="00993790" w:rsidP="00993790">
      <w:pPr>
        <w:pStyle w:val="Default1"/>
        <w:numPr>
          <w:ilvl w:val="0"/>
          <w:numId w:val="45"/>
        </w:numPr>
        <w:autoSpaceDE/>
        <w:autoSpaceDN/>
        <w:adjustRightInd/>
        <w:ind w:left="425" w:hanging="425"/>
        <w:jc w:val="both"/>
        <w:rPr>
          <w:rFonts w:ascii="Museo Sans 300" w:hAnsi="Museo Sans 300" w:cs="Times New Roman"/>
          <w:sz w:val="22"/>
          <w:szCs w:val="22"/>
          <w:lang w:val="es-ES_tradnl" w:eastAsia="es-ES"/>
        </w:rPr>
      </w:pPr>
      <w:r w:rsidRPr="006A7AA3">
        <w:rPr>
          <w:rFonts w:ascii="Museo Sans 300" w:hAnsi="Museo Sans 300" w:cs="Times New Roman"/>
          <w:sz w:val="22"/>
          <w:szCs w:val="22"/>
          <w:lang w:val="es-ES_tradnl" w:eastAsia="es-ES"/>
        </w:rPr>
        <w:t xml:space="preserve">Resultados económicos de grandes exposiciones individuales; </w:t>
      </w:r>
    </w:p>
    <w:p w:rsidR="00993790" w:rsidRPr="006A7AA3" w:rsidRDefault="00993790" w:rsidP="00993790">
      <w:pPr>
        <w:pStyle w:val="Default1"/>
        <w:numPr>
          <w:ilvl w:val="0"/>
          <w:numId w:val="45"/>
        </w:numPr>
        <w:autoSpaceDE/>
        <w:autoSpaceDN/>
        <w:adjustRightInd/>
        <w:ind w:left="425" w:hanging="425"/>
        <w:jc w:val="both"/>
        <w:rPr>
          <w:rFonts w:ascii="Museo Sans 300" w:hAnsi="Museo Sans 300" w:cs="Times New Roman"/>
          <w:sz w:val="22"/>
          <w:szCs w:val="22"/>
          <w:lang w:val="es-ES_tradnl" w:eastAsia="es-ES"/>
        </w:rPr>
      </w:pPr>
      <w:r w:rsidRPr="006A7AA3">
        <w:rPr>
          <w:rFonts w:ascii="Museo Sans 300" w:hAnsi="Museo Sans 300" w:cs="Times New Roman"/>
          <w:sz w:val="22"/>
          <w:szCs w:val="22"/>
          <w:lang w:val="es-ES_tradnl" w:eastAsia="es-ES"/>
        </w:rPr>
        <w:t xml:space="preserve">Revisión de los niveles de autorización de nuevas operaciones; o </w:t>
      </w:r>
    </w:p>
    <w:p w:rsidR="00993790" w:rsidRPr="006A7AA3" w:rsidRDefault="00993790" w:rsidP="00993790">
      <w:pPr>
        <w:pStyle w:val="Default1"/>
        <w:numPr>
          <w:ilvl w:val="0"/>
          <w:numId w:val="45"/>
        </w:numPr>
        <w:autoSpaceDE/>
        <w:autoSpaceDN/>
        <w:adjustRightInd/>
        <w:ind w:left="425" w:hanging="425"/>
        <w:jc w:val="both"/>
        <w:rPr>
          <w:rFonts w:ascii="Museo Sans 300" w:hAnsi="Museo Sans 300" w:cs="Times New Roman"/>
          <w:sz w:val="22"/>
          <w:szCs w:val="22"/>
          <w:lang w:val="es-ES_tradnl" w:eastAsia="es-ES"/>
        </w:rPr>
      </w:pPr>
      <w:r w:rsidRPr="006A7AA3">
        <w:rPr>
          <w:rFonts w:ascii="Museo Sans 300" w:hAnsi="Museo Sans 300" w:cs="Times New Roman"/>
          <w:sz w:val="22"/>
          <w:szCs w:val="22"/>
          <w:lang w:val="es-ES_tradnl" w:eastAsia="es-ES"/>
        </w:rPr>
        <w:t>Revisión periódica de los mitigantes del riesgo, su valor y factibilidad legal en caso de recuperar el préstamo con la garantía.</w:t>
      </w:r>
    </w:p>
    <w:p w:rsidR="00993790" w:rsidRPr="006A7AA3" w:rsidRDefault="00993790" w:rsidP="00993790">
      <w:pPr>
        <w:pStyle w:val="Default1"/>
        <w:ind w:left="720"/>
        <w:jc w:val="both"/>
        <w:rPr>
          <w:rFonts w:ascii="Museo Sans 300" w:hAnsi="Museo Sans 300" w:cs="Times New Roman"/>
          <w:sz w:val="22"/>
          <w:szCs w:val="22"/>
          <w:lang w:val="es-ES_tradnl" w:eastAsia="es-ES"/>
        </w:rPr>
      </w:pPr>
      <w:r w:rsidRPr="006A7AA3">
        <w:rPr>
          <w:rFonts w:ascii="Museo Sans 300" w:hAnsi="Museo Sans 300" w:cs="Times New Roman"/>
          <w:sz w:val="22"/>
          <w:szCs w:val="22"/>
          <w:lang w:val="es-ES_tradnl" w:eastAsia="es-ES"/>
        </w:rPr>
        <w:t xml:space="preserve"> </w:t>
      </w:r>
    </w:p>
    <w:p w:rsidR="00993790" w:rsidRPr="006A7AA3" w:rsidRDefault="00993790" w:rsidP="009E6F7F">
      <w:pPr>
        <w:jc w:val="both"/>
        <w:rPr>
          <w:rFonts w:ascii="Museo Sans 300" w:hAnsi="Museo Sans 300"/>
          <w:sz w:val="22"/>
          <w:szCs w:val="22"/>
        </w:rPr>
      </w:pPr>
      <w:r w:rsidRPr="006A7AA3">
        <w:rPr>
          <w:rFonts w:ascii="Museo Sans 300" w:hAnsi="Museo Sans 300"/>
          <w:sz w:val="22"/>
          <w:szCs w:val="22"/>
        </w:rPr>
        <w:t>Los resultados de estos análisis deben ser puestos a consideración del Comité de Riesgos o de la Junta Directiva, para que tome las medidas pertinentes.</w:t>
      </w:r>
    </w:p>
    <w:p w:rsidR="00445B10" w:rsidRPr="006A7AA3" w:rsidRDefault="00445B10" w:rsidP="00445B10">
      <w:pPr>
        <w:rPr>
          <w:rFonts w:ascii="Museo Sans 300" w:hAnsi="Museo Sans 300"/>
          <w:sz w:val="22"/>
          <w:szCs w:val="22"/>
        </w:rPr>
      </w:pPr>
    </w:p>
    <w:p w:rsidR="00993790" w:rsidRPr="006A7AA3" w:rsidRDefault="00993790" w:rsidP="00993790">
      <w:pPr>
        <w:pStyle w:val="Default1"/>
        <w:jc w:val="both"/>
        <w:rPr>
          <w:rFonts w:ascii="Museo Sans 300" w:hAnsi="Museo Sans 300" w:cs="Times New Roman"/>
          <w:b/>
          <w:sz w:val="22"/>
          <w:szCs w:val="22"/>
          <w:lang w:val="es-ES_tradnl" w:eastAsia="es-ES"/>
        </w:rPr>
      </w:pPr>
      <w:r w:rsidRPr="006A7AA3">
        <w:rPr>
          <w:rFonts w:ascii="Museo Sans 300" w:hAnsi="Museo Sans 300" w:cs="Times New Roman"/>
          <w:b/>
          <w:sz w:val="22"/>
          <w:szCs w:val="22"/>
          <w:lang w:val="es-ES_tradnl" w:eastAsia="es-ES"/>
        </w:rPr>
        <w:t>Cobertura del riesgo</w:t>
      </w:r>
    </w:p>
    <w:p w:rsidR="00993790" w:rsidRPr="006A7AA3" w:rsidRDefault="00993790" w:rsidP="009E6F7F">
      <w:pPr>
        <w:jc w:val="both"/>
        <w:rPr>
          <w:rFonts w:ascii="Museo Sans 300" w:hAnsi="Museo Sans 300"/>
          <w:sz w:val="22"/>
          <w:szCs w:val="22"/>
        </w:rPr>
      </w:pPr>
      <w:r w:rsidRPr="006A7AA3">
        <w:rPr>
          <w:rFonts w:ascii="Museo Sans 300" w:hAnsi="Museo Sans 300"/>
          <w:b/>
          <w:sz w:val="22"/>
          <w:szCs w:val="22"/>
        </w:rPr>
        <w:t>Art. 17.-</w:t>
      </w:r>
      <w:r w:rsidRPr="006A7AA3">
        <w:rPr>
          <w:rFonts w:ascii="Museo Sans 300" w:hAnsi="Museo Sans 300"/>
          <w:sz w:val="22"/>
          <w:szCs w:val="22"/>
        </w:rPr>
        <w:t xml:space="preserve"> Las entidades deben asegurarse que sus niveles de provisiones y de capital son suficientes para cubrir el riesgo de concentración crediticia.</w:t>
      </w:r>
    </w:p>
    <w:p w:rsidR="00993790" w:rsidRPr="006A7AA3" w:rsidRDefault="00993790" w:rsidP="00993790">
      <w:pPr>
        <w:ind w:firstLine="708"/>
        <w:jc w:val="both"/>
        <w:rPr>
          <w:rFonts w:ascii="Museo Sans 300" w:hAnsi="Museo Sans 300"/>
          <w:sz w:val="22"/>
          <w:szCs w:val="22"/>
        </w:rPr>
      </w:pPr>
    </w:p>
    <w:p w:rsidR="00993790" w:rsidRPr="006A7AA3" w:rsidRDefault="00993790" w:rsidP="00993790">
      <w:pPr>
        <w:jc w:val="center"/>
        <w:rPr>
          <w:rFonts w:ascii="Museo Sans 300" w:hAnsi="Museo Sans 300"/>
          <w:b/>
          <w:sz w:val="22"/>
          <w:szCs w:val="22"/>
        </w:rPr>
      </w:pPr>
      <w:r w:rsidRPr="006A7AA3">
        <w:rPr>
          <w:rFonts w:ascii="Museo Sans 300" w:hAnsi="Museo Sans 300"/>
          <w:b/>
          <w:sz w:val="22"/>
          <w:szCs w:val="22"/>
        </w:rPr>
        <w:lastRenderedPageBreak/>
        <w:t>CAPÍTULO V</w:t>
      </w:r>
    </w:p>
    <w:p w:rsidR="00993790" w:rsidRPr="006A7AA3" w:rsidRDefault="00993790" w:rsidP="00993790">
      <w:pPr>
        <w:jc w:val="center"/>
        <w:rPr>
          <w:rFonts w:ascii="Museo Sans 300" w:hAnsi="Museo Sans 300"/>
          <w:b/>
          <w:sz w:val="22"/>
          <w:szCs w:val="22"/>
        </w:rPr>
      </w:pPr>
      <w:r w:rsidRPr="006A7AA3">
        <w:rPr>
          <w:rFonts w:ascii="Museo Sans 300" w:hAnsi="Museo Sans 300"/>
          <w:b/>
          <w:sz w:val="22"/>
          <w:szCs w:val="22"/>
        </w:rPr>
        <w:t xml:space="preserve">SISTEMAS DE INFORMACIÓN Y DETERMINACIÓN DE BASES DE DATOS </w:t>
      </w:r>
    </w:p>
    <w:p w:rsidR="00993790" w:rsidRPr="006A7AA3" w:rsidRDefault="00993790" w:rsidP="00993790">
      <w:pPr>
        <w:jc w:val="both"/>
        <w:rPr>
          <w:rFonts w:ascii="Museo Sans 300" w:hAnsi="Museo Sans 300"/>
          <w:sz w:val="22"/>
          <w:szCs w:val="22"/>
        </w:rPr>
      </w:pPr>
    </w:p>
    <w:p w:rsidR="00993790" w:rsidRPr="006A7AA3" w:rsidRDefault="00993790" w:rsidP="00993790">
      <w:pPr>
        <w:jc w:val="both"/>
        <w:rPr>
          <w:rFonts w:ascii="Museo Sans 300" w:hAnsi="Museo Sans 300"/>
          <w:b/>
          <w:sz w:val="22"/>
          <w:szCs w:val="22"/>
        </w:rPr>
      </w:pPr>
      <w:r w:rsidRPr="006A7AA3">
        <w:rPr>
          <w:rFonts w:ascii="Museo Sans 300" w:hAnsi="Museo Sans 300"/>
          <w:b/>
          <w:sz w:val="22"/>
          <w:szCs w:val="22"/>
        </w:rPr>
        <w:t>Sistemas de información gerencial</w:t>
      </w:r>
    </w:p>
    <w:p w:rsidR="00993790" w:rsidRPr="006A7AA3" w:rsidRDefault="00993790" w:rsidP="00A35670">
      <w:pPr>
        <w:jc w:val="both"/>
        <w:rPr>
          <w:rFonts w:ascii="Museo Sans 300" w:hAnsi="Museo Sans 300"/>
          <w:sz w:val="22"/>
          <w:szCs w:val="22"/>
        </w:rPr>
      </w:pPr>
      <w:r w:rsidRPr="006A7AA3">
        <w:rPr>
          <w:rFonts w:ascii="Museo Sans 300" w:hAnsi="Museo Sans 300"/>
          <w:b/>
          <w:sz w:val="22"/>
          <w:szCs w:val="22"/>
        </w:rPr>
        <w:t>Art. 18.-</w:t>
      </w:r>
      <w:r w:rsidRPr="006A7AA3">
        <w:rPr>
          <w:rFonts w:ascii="Museo Sans 300" w:hAnsi="Museo Sans 300"/>
          <w:sz w:val="22"/>
          <w:szCs w:val="22"/>
        </w:rPr>
        <w:t xml:space="preserve"> Las entidades deben contar con un sistema de información interno para gestionar el riesgo de crédito y de concentración crediticia, con el fin de medir su exposición y facilitar la toma de decisiones.</w:t>
      </w:r>
    </w:p>
    <w:p w:rsidR="00993790" w:rsidRPr="006A7AA3" w:rsidRDefault="00993790" w:rsidP="00993790">
      <w:pPr>
        <w:ind w:firstLine="708"/>
        <w:jc w:val="both"/>
        <w:rPr>
          <w:rFonts w:ascii="Museo Sans 300" w:hAnsi="Museo Sans 300"/>
          <w:sz w:val="22"/>
          <w:szCs w:val="22"/>
        </w:rPr>
      </w:pPr>
    </w:p>
    <w:p w:rsidR="00993790" w:rsidRPr="006A7AA3" w:rsidRDefault="00993790" w:rsidP="00A35670">
      <w:pPr>
        <w:jc w:val="both"/>
        <w:rPr>
          <w:rFonts w:ascii="Museo Sans 300" w:hAnsi="Museo Sans 300"/>
          <w:sz w:val="22"/>
          <w:szCs w:val="22"/>
        </w:rPr>
      </w:pPr>
      <w:r w:rsidRPr="006A7AA3">
        <w:rPr>
          <w:rFonts w:ascii="Museo Sans 300" w:hAnsi="Museo Sans 300"/>
          <w:sz w:val="22"/>
          <w:szCs w:val="22"/>
        </w:rPr>
        <w:t>El sistema de información gerencial debe permitir a la entidad la identificación, medición, control, monitoreo y seguimiento del riesgo de crédito y de concentración crediticia.</w:t>
      </w:r>
    </w:p>
    <w:p w:rsidR="00993790" w:rsidRPr="006A7AA3" w:rsidRDefault="00993790" w:rsidP="00993790">
      <w:pPr>
        <w:ind w:firstLine="708"/>
        <w:jc w:val="both"/>
        <w:rPr>
          <w:rFonts w:ascii="Museo Sans 300" w:hAnsi="Museo Sans 300"/>
          <w:sz w:val="22"/>
          <w:szCs w:val="22"/>
        </w:rPr>
      </w:pPr>
    </w:p>
    <w:p w:rsidR="00993790" w:rsidRPr="006A7AA3" w:rsidRDefault="00993790" w:rsidP="00993790">
      <w:pPr>
        <w:jc w:val="both"/>
        <w:rPr>
          <w:rFonts w:ascii="Museo Sans 300" w:hAnsi="Museo Sans 300"/>
          <w:b/>
          <w:sz w:val="22"/>
          <w:szCs w:val="22"/>
        </w:rPr>
      </w:pPr>
      <w:r w:rsidRPr="006A7AA3">
        <w:rPr>
          <w:rFonts w:ascii="Museo Sans 300" w:hAnsi="Museo Sans 300"/>
          <w:b/>
          <w:sz w:val="22"/>
          <w:szCs w:val="22"/>
        </w:rPr>
        <w:t>Bases de datos</w:t>
      </w:r>
    </w:p>
    <w:p w:rsidR="00993790" w:rsidRPr="006A7AA3" w:rsidRDefault="00993790" w:rsidP="00A35670">
      <w:pPr>
        <w:spacing w:after="120"/>
        <w:jc w:val="both"/>
        <w:rPr>
          <w:rFonts w:ascii="Museo Sans 300" w:hAnsi="Museo Sans 300"/>
          <w:sz w:val="22"/>
          <w:szCs w:val="22"/>
        </w:rPr>
      </w:pPr>
      <w:r w:rsidRPr="006A7AA3">
        <w:rPr>
          <w:rFonts w:ascii="Museo Sans 300" w:hAnsi="Museo Sans 300"/>
          <w:b/>
          <w:sz w:val="22"/>
          <w:szCs w:val="22"/>
        </w:rPr>
        <w:t>Art. 19.-</w:t>
      </w:r>
      <w:r w:rsidRPr="006A7AA3">
        <w:rPr>
          <w:rFonts w:ascii="Museo Sans 300" w:hAnsi="Museo Sans 300"/>
          <w:sz w:val="22"/>
          <w:szCs w:val="22"/>
        </w:rPr>
        <w:t xml:space="preserve"> Las entidades deben contar con bases de datos, que les permita estimar su pérdida esperada, para lo cual utilizaran los siguientes componentes:</w:t>
      </w:r>
    </w:p>
    <w:p w:rsidR="00993790" w:rsidRPr="006A7AA3" w:rsidRDefault="00993790" w:rsidP="009E6F7F">
      <w:pPr>
        <w:numPr>
          <w:ilvl w:val="0"/>
          <w:numId w:val="47"/>
        </w:numPr>
        <w:tabs>
          <w:tab w:val="clear" w:pos="1065"/>
        </w:tabs>
        <w:ind w:left="425" w:hanging="425"/>
        <w:jc w:val="both"/>
        <w:rPr>
          <w:rFonts w:ascii="Museo Sans 300" w:hAnsi="Museo Sans 300"/>
          <w:sz w:val="22"/>
          <w:szCs w:val="22"/>
        </w:rPr>
      </w:pPr>
      <w:r w:rsidRPr="006A7AA3">
        <w:rPr>
          <w:rFonts w:ascii="Museo Sans 300" w:hAnsi="Museo Sans 300"/>
          <w:sz w:val="22"/>
          <w:szCs w:val="22"/>
        </w:rPr>
        <w:t>Probabilidad de incumplimiento</w:t>
      </w:r>
      <w:r w:rsidR="00C80C1F" w:rsidRPr="006A7AA3">
        <w:rPr>
          <w:rFonts w:ascii="Museo Sans 300" w:hAnsi="Museo Sans 300"/>
          <w:sz w:val="22"/>
          <w:szCs w:val="22"/>
        </w:rPr>
        <w:t>;</w:t>
      </w:r>
      <w:r w:rsidRPr="006A7AA3">
        <w:rPr>
          <w:rFonts w:ascii="Museo Sans 300" w:hAnsi="Museo Sans 300"/>
          <w:sz w:val="22"/>
          <w:szCs w:val="22"/>
        </w:rPr>
        <w:t xml:space="preserve"> </w:t>
      </w:r>
    </w:p>
    <w:p w:rsidR="00993790" w:rsidRPr="006A7AA3" w:rsidRDefault="00993790" w:rsidP="009E6F7F">
      <w:pPr>
        <w:numPr>
          <w:ilvl w:val="0"/>
          <w:numId w:val="47"/>
        </w:numPr>
        <w:tabs>
          <w:tab w:val="clear" w:pos="1065"/>
        </w:tabs>
        <w:ind w:left="425" w:hanging="425"/>
        <w:jc w:val="both"/>
        <w:rPr>
          <w:rFonts w:ascii="Museo Sans 300" w:hAnsi="Museo Sans 300"/>
          <w:sz w:val="22"/>
          <w:szCs w:val="22"/>
        </w:rPr>
      </w:pPr>
      <w:r w:rsidRPr="006A7AA3">
        <w:rPr>
          <w:rFonts w:ascii="Museo Sans 300" w:hAnsi="Museo Sans 300"/>
          <w:sz w:val="22"/>
          <w:szCs w:val="22"/>
        </w:rPr>
        <w:t>Pérdida dado el incumplimiento</w:t>
      </w:r>
      <w:r w:rsidR="00C80C1F" w:rsidRPr="006A7AA3">
        <w:rPr>
          <w:rFonts w:ascii="Museo Sans 300" w:hAnsi="Museo Sans 300"/>
          <w:sz w:val="22"/>
          <w:szCs w:val="22"/>
        </w:rPr>
        <w:t>;</w:t>
      </w:r>
      <w:r w:rsidRPr="006A7AA3">
        <w:rPr>
          <w:rFonts w:ascii="Museo Sans 300" w:hAnsi="Museo Sans 300"/>
          <w:sz w:val="22"/>
          <w:szCs w:val="22"/>
        </w:rPr>
        <w:t xml:space="preserve"> y</w:t>
      </w:r>
    </w:p>
    <w:p w:rsidR="00993790" w:rsidRPr="006A7AA3" w:rsidRDefault="00993790" w:rsidP="009E6F7F">
      <w:pPr>
        <w:numPr>
          <w:ilvl w:val="0"/>
          <w:numId w:val="47"/>
        </w:numPr>
        <w:tabs>
          <w:tab w:val="clear" w:pos="1065"/>
        </w:tabs>
        <w:ind w:left="425" w:hanging="425"/>
        <w:jc w:val="both"/>
        <w:rPr>
          <w:rFonts w:ascii="Museo Sans 300" w:hAnsi="Museo Sans 300"/>
          <w:sz w:val="22"/>
          <w:szCs w:val="22"/>
        </w:rPr>
      </w:pPr>
      <w:r w:rsidRPr="006A7AA3">
        <w:rPr>
          <w:rFonts w:ascii="Museo Sans 300" w:hAnsi="Museo Sans 300"/>
          <w:sz w:val="22"/>
          <w:szCs w:val="22"/>
        </w:rPr>
        <w:t>Exposición al momento del incumplimiento</w:t>
      </w:r>
      <w:r w:rsidR="00890039" w:rsidRPr="006A7AA3">
        <w:rPr>
          <w:rFonts w:ascii="Museo Sans 300" w:hAnsi="Museo Sans 300"/>
          <w:sz w:val="22"/>
          <w:szCs w:val="22"/>
        </w:rPr>
        <w:t>.</w:t>
      </w:r>
      <w:r w:rsidRPr="006A7AA3">
        <w:rPr>
          <w:rFonts w:ascii="Museo Sans 300" w:hAnsi="Museo Sans 300"/>
          <w:sz w:val="22"/>
          <w:szCs w:val="22"/>
        </w:rPr>
        <w:t xml:space="preserve"> </w:t>
      </w:r>
    </w:p>
    <w:p w:rsidR="00993790" w:rsidRPr="006A7AA3" w:rsidRDefault="00993790" w:rsidP="00993790">
      <w:pPr>
        <w:jc w:val="both"/>
        <w:rPr>
          <w:rFonts w:ascii="Museo Sans 300" w:hAnsi="Museo Sans 300"/>
          <w:sz w:val="22"/>
          <w:szCs w:val="22"/>
        </w:rPr>
      </w:pPr>
    </w:p>
    <w:p w:rsidR="00993790" w:rsidRPr="006A7AA3" w:rsidRDefault="00993790" w:rsidP="00A35670">
      <w:pPr>
        <w:jc w:val="both"/>
        <w:rPr>
          <w:rFonts w:ascii="Museo Sans 300" w:hAnsi="Museo Sans 300"/>
          <w:sz w:val="22"/>
          <w:szCs w:val="22"/>
        </w:rPr>
      </w:pPr>
      <w:r w:rsidRPr="006A7AA3">
        <w:rPr>
          <w:rFonts w:ascii="Museo Sans 300" w:hAnsi="Museo Sans 300"/>
          <w:sz w:val="22"/>
          <w:szCs w:val="22"/>
        </w:rPr>
        <w:t>Los elementos considerados que respaldan la estimación de estos componentes deben estar documentados y a disposición de la Superintendencia, cuando ésta lo requiera.</w:t>
      </w:r>
    </w:p>
    <w:p w:rsidR="00993790" w:rsidRPr="006A7AA3" w:rsidRDefault="00993790" w:rsidP="00993790">
      <w:pPr>
        <w:jc w:val="both"/>
        <w:rPr>
          <w:rFonts w:ascii="Museo Sans 300" w:hAnsi="Museo Sans 300"/>
          <w:sz w:val="22"/>
          <w:szCs w:val="22"/>
          <w:u w:val="single"/>
        </w:rPr>
      </w:pPr>
    </w:p>
    <w:p w:rsidR="00993790" w:rsidRPr="006A7AA3" w:rsidRDefault="00993790" w:rsidP="00A35670">
      <w:pPr>
        <w:jc w:val="both"/>
        <w:rPr>
          <w:rFonts w:ascii="Museo Sans 300" w:hAnsi="Museo Sans 300"/>
          <w:sz w:val="22"/>
          <w:szCs w:val="22"/>
        </w:rPr>
      </w:pPr>
      <w:r w:rsidRPr="006A7AA3">
        <w:rPr>
          <w:rFonts w:ascii="Museo Sans 300" w:hAnsi="Museo Sans 300"/>
          <w:sz w:val="22"/>
          <w:szCs w:val="22"/>
        </w:rPr>
        <w:t>La duración del período de observaciones de la base de datos para la medición de la pérdida esperada debe ser como mínimo de cinco años.</w:t>
      </w:r>
    </w:p>
    <w:p w:rsidR="00993790" w:rsidRPr="006A7AA3" w:rsidRDefault="00993790" w:rsidP="00993790">
      <w:pPr>
        <w:jc w:val="both"/>
        <w:rPr>
          <w:rFonts w:ascii="Museo Sans 300" w:hAnsi="Museo Sans 300" w:cs="Arial"/>
          <w:sz w:val="22"/>
          <w:szCs w:val="22"/>
        </w:rPr>
      </w:pPr>
    </w:p>
    <w:p w:rsidR="00993790" w:rsidRPr="006A7AA3" w:rsidRDefault="00993790" w:rsidP="00A35670">
      <w:pPr>
        <w:jc w:val="both"/>
        <w:rPr>
          <w:rFonts w:ascii="Museo Sans 300" w:hAnsi="Museo Sans 300"/>
          <w:sz w:val="22"/>
          <w:szCs w:val="22"/>
        </w:rPr>
      </w:pPr>
      <w:r w:rsidRPr="006A7AA3">
        <w:rPr>
          <w:rFonts w:ascii="Museo Sans 300" w:hAnsi="Museo Sans 300"/>
          <w:sz w:val="22"/>
          <w:szCs w:val="22"/>
        </w:rPr>
        <w:t>La base de datos debe ser construida acorde con la naturaleza, escala de actividades y perfil de riesgo de cada entidad, así mismo debe ser actualizada de manera oportuna y consistente. (1)</w:t>
      </w:r>
    </w:p>
    <w:p w:rsidR="00993790" w:rsidRPr="006A7AA3" w:rsidRDefault="00993790" w:rsidP="00993790">
      <w:pPr>
        <w:ind w:firstLine="703"/>
        <w:jc w:val="both"/>
        <w:rPr>
          <w:rFonts w:ascii="Museo Sans 300" w:hAnsi="Museo Sans 300"/>
          <w:sz w:val="22"/>
          <w:szCs w:val="22"/>
        </w:rPr>
      </w:pPr>
    </w:p>
    <w:p w:rsidR="00993790" w:rsidRPr="006A7AA3" w:rsidRDefault="00993790" w:rsidP="00993790">
      <w:pPr>
        <w:pStyle w:val="Ttulo1"/>
        <w:jc w:val="center"/>
        <w:rPr>
          <w:rFonts w:ascii="Museo Sans 300" w:hAnsi="Museo Sans 300"/>
          <w:sz w:val="22"/>
          <w:szCs w:val="22"/>
        </w:rPr>
      </w:pPr>
      <w:r w:rsidRPr="006A7AA3">
        <w:rPr>
          <w:rFonts w:ascii="Museo Sans 300" w:hAnsi="Museo Sans 300"/>
          <w:sz w:val="22"/>
          <w:szCs w:val="22"/>
        </w:rPr>
        <w:t>CAPÍTULO VI</w:t>
      </w:r>
    </w:p>
    <w:p w:rsidR="00993790" w:rsidRPr="006A7AA3" w:rsidRDefault="00993790" w:rsidP="00993790">
      <w:pPr>
        <w:pStyle w:val="Ttulo1"/>
        <w:jc w:val="center"/>
        <w:rPr>
          <w:rFonts w:ascii="Museo Sans 300" w:hAnsi="Museo Sans 300"/>
          <w:sz w:val="22"/>
          <w:szCs w:val="22"/>
        </w:rPr>
      </w:pPr>
      <w:bookmarkStart w:id="11" w:name="_Toc97029186"/>
      <w:bookmarkStart w:id="12" w:name="_Toc97030862"/>
      <w:bookmarkStart w:id="13" w:name="_Toc97031155"/>
      <w:bookmarkStart w:id="14" w:name="_Toc97031402"/>
      <w:bookmarkStart w:id="15" w:name="_Toc97032430"/>
      <w:r w:rsidRPr="006A7AA3">
        <w:rPr>
          <w:rFonts w:ascii="Museo Sans 300" w:hAnsi="Museo Sans 300"/>
          <w:sz w:val="22"/>
          <w:szCs w:val="22"/>
        </w:rPr>
        <w:t>OTRAS DISPOSICIONES Y VIGENCIA</w:t>
      </w:r>
      <w:bookmarkEnd w:id="11"/>
      <w:bookmarkEnd w:id="12"/>
      <w:bookmarkEnd w:id="13"/>
      <w:bookmarkEnd w:id="14"/>
      <w:bookmarkEnd w:id="15"/>
    </w:p>
    <w:p w:rsidR="00993790" w:rsidRPr="006A7AA3" w:rsidRDefault="00993790" w:rsidP="00993790">
      <w:pPr>
        <w:pStyle w:val="Textoindependiente"/>
        <w:rPr>
          <w:rFonts w:ascii="Museo Sans 300" w:hAnsi="Museo Sans 300"/>
          <w:b/>
          <w:sz w:val="22"/>
          <w:szCs w:val="22"/>
        </w:rPr>
      </w:pPr>
    </w:p>
    <w:p w:rsidR="00993790" w:rsidRPr="006A7AA3" w:rsidRDefault="00993790" w:rsidP="00993790">
      <w:pPr>
        <w:pStyle w:val="Textoindependiente"/>
        <w:rPr>
          <w:rFonts w:ascii="Museo Sans 300" w:hAnsi="Museo Sans 300"/>
          <w:b/>
          <w:sz w:val="22"/>
          <w:szCs w:val="22"/>
        </w:rPr>
      </w:pPr>
      <w:r w:rsidRPr="006A7AA3">
        <w:rPr>
          <w:rFonts w:ascii="Museo Sans 300" w:hAnsi="Museo Sans 300"/>
          <w:b/>
          <w:sz w:val="22"/>
          <w:szCs w:val="22"/>
        </w:rPr>
        <w:t>Transitorio</w:t>
      </w:r>
    </w:p>
    <w:p w:rsidR="00993790" w:rsidRPr="006A7AA3" w:rsidRDefault="00993790" w:rsidP="00993790">
      <w:pPr>
        <w:pStyle w:val="Ttulo2"/>
        <w:spacing w:line="240" w:lineRule="auto"/>
        <w:rPr>
          <w:rFonts w:ascii="Museo Sans 300" w:hAnsi="Museo Sans 300"/>
          <w:b w:val="0"/>
          <w:i/>
          <w:sz w:val="22"/>
          <w:szCs w:val="22"/>
        </w:rPr>
      </w:pPr>
      <w:r w:rsidRPr="006A7AA3">
        <w:rPr>
          <w:rFonts w:ascii="Museo Sans 300" w:hAnsi="Museo Sans 300"/>
          <w:sz w:val="22"/>
          <w:szCs w:val="22"/>
        </w:rPr>
        <w:t>Art. 20.-</w:t>
      </w:r>
      <w:r w:rsidRPr="006A7AA3">
        <w:rPr>
          <w:rFonts w:ascii="Museo Sans 300" w:hAnsi="Museo Sans 300"/>
          <w:b w:val="0"/>
          <w:sz w:val="22"/>
          <w:szCs w:val="22"/>
        </w:rPr>
        <w:t xml:space="preserve"> Las entidades tendrán a partir de la vigencia de estas Normas, un plazo de doce meses para adecuarse y dar cumplimiento a lo establecido en las mismas y un plazo de sesenta días calendario para presentar un plan de actividades para el desarrollo de lo ahí requerido, excepto el correspondiente a la Base de Datos.</w:t>
      </w:r>
    </w:p>
    <w:p w:rsidR="00993790" w:rsidRPr="006A7AA3" w:rsidRDefault="00993790" w:rsidP="00993790">
      <w:pPr>
        <w:rPr>
          <w:rFonts w:ascii="Museo Sans 300" w:hAnsi="Museo Sans 300"/>
          <w:sz w:val="22"/>
          <w:szCs w:val="22"/>
        </w:rPr>
      </w:pPr>
    </w:p>
    <w:p w:rsidR="00993790" w:rsidRPr="006A7AA3" w:rsidRDefault="00993790" w:rsidP="00A35670">
      <w:pPr>
        <w:jc w:val="both"/>
        <w:rPr>
          <w:rFonts w:ascii="Museo Sans 300" w:hAnsi="Museo Sans 300"/>
          <w:b/>
          <w:sz w:val="22"/>
          <w:szCs w:val="22"/>
          <w:u w:val="single"/>
        </w:rPr>
      </w:pPr>
      <w:r w:rsidRPr="006A7AA3">
        <w:rPr>
          <w:rFonts w:ascii="Museo Sans 300" w:hAnsi="Museo Sans 300"/>
          <w:bCs/>
          <w:iCs/>
          <w:sz w:val="22"/>
          <w:szCs w:val="22"/>
        </w:rPr>
        <w:t xml:space="preserve">Las entidades que no cuenten con bases de datos para estimar la pérdida esperada, tendrán hasta el 31 de diciembre de dos mil trece para concluir la recopilación de la información necesaria para la construcción de la referida Base de Datos. Las entidades deberán comenzar a calcular su pérdida esperada a partir de enero del año dos mil quince, utilizando bases de datos cuya longitud mínima sea de 60 meses. </w:t>
      </w:r>
      <w:r w:rsidRPr="006A7AA3">
        <w:rPr>
          <w:rFonts w:ascii="Museo Sans 300" w:hAnsi="Museo Sans 300"/>
          <w:sz w:val="22"/>
          <w:szCs w:val="22"/>
        </w:rPr>
        <w:t>(1)</w:t>
      </w:r>
    </w:p>
    <w:p w:rsidR="00890039" w:rsidRPr="006A7AA3" w:rsidRDefault="00890039" w:rsidP="00993790">
      <w:pPr>
        <w:jc w:val="both"/>
        <w:rPr>
          <w:rFonts w:ascii="Museo Sans 300" w:hAnsi="Museo Sans 300"/>
          <w:b/>
          <w:sz w:val="22"/>
          <w:szCs w:val="22"/>
          <w:u w:val="single"/>
        </w:rPr>
      </w:pPr>
    </w:p>
    <w:p w:rsidR="00993790" w:rsidRPr="006A7AA3" w:rsidRDefault="00993790" w:rsidP="00993790">
      <w:pPr>
        <w:pStyle w:val="Textoindependiente"/>
        <w:rPr>
          <w:rFonts w:ascii="Museo Sans 300" w:hAnsi="Museo Sans 300"/>
          <w:b/>
          <w:sz w:val="22"/>
          <w:szCs w:val="22"/>
        </w:rPr>
      </w:pPr>
      <w:r w:rsidRPr="006A7AA3">
        <w:rPr>
          <w:rFonts w:ascii="Museo Sans 300" w:hAnsi="Museo Sans 300"/>
          <w:b/>
          <w:sz w:val="22"/>
          <w:szCs w:val="22"/>
        </w:rPr>
        <w:t>Lo no previsto</w:t>
      </w:r>
    </w:p>
    <w:p w:rsidR="00993790" w:rsidRPr="006A7AA3" w:rsidRDefault="00993790" w:rsidP="00993790">
      <w:pPr>
        <w:pStyle w:val="Ttulo2"/>
        <w:spacing w:line="240" w:lineRule="auto"/>
        <w:rPr>
          <w:rFonts w:ascii="Museo Sans 300" w:hAnsi="Museo Sans 300"/>
          <w:b w:val="0"/>
          <w:sz w:val="22"/>
          <w:szCs w:val="22"/>
        </w:rPr>
      </w:pPr>
      <w:r w:rsidRPr="006A7AA3">
        <w:rPr>
          <w:rFonts w:ascii="Museo Sans 300" w:hAnsi="Museo Sans 300"/>
          <w:sz w:val="22"/>
          <w:szCs w:val="22"/>
        </w:rPr>
        <w:t>Art. 21.-</w:t>
      </w:r>
      <w:r w:rsidRPr="006A7AA3">
        <w:rPr>
          <w:rFonts w:ascii="Museo Sans 300" w:hAnsi="Museo Sans 300"/>
          <w:b w:val="0"/>
          <w:sz w:val="22"/>
          <w:szCs w:val="22"/>
        </w:rPr>
        <w:t xml:space="preserve"> Lo no previsto en las presentes Normas será resuelto por el Consejo Directivo de la Superintendencia. </w:t>
      </w:r>
    </w:p>
    <w:p w:rsidR="00A35670" w:rsidRPr="006A7AA3" w:rsidRDefault="00A35670" w:rsidP="00A35670">
      <w:pPr>
        <w:rPr>
          <w:rFonts w:ascii="Museo Sans 300" w:hAnsi="Museo Sans 300"/>
          <w:sz w:val="22"/>
          <w:szCs w:val="22"/>
        </w:rPr>
      </w:pPr>
    </w:p>
    <w:p w:rsidR="00993790" w:rsidRPr="006A7AA3" w:rsidRDefault="00993790" w:rsidP="00A35670">
      <w:pPr>
        <w:rPr>
          <w:rFonts w:ascii="Museo Sans 300" w:hAnsi="Museo Sans 300"/>
          <w:b/>
          <w:sz w:val="22"/>
          <w:szCs w:val="22"/>
        </w:rPr>
      </w:pPr>
      <w:r w:rsidRPr="006A7AA3">
        <w:rPr>
          <w:rFonts w:ascii="Museo Sans 300" w:hAnsi="Museo Sans 300"/>
          <w:b/>
          <w:sz w:val="22"/>
          <w:szCs w:val="22"/>
        </w:rPr>
        <w:t>Vigencia</w:t>
      </w:r>
    </w:p>
    <w:p w:rsidR="00993790" w:rsidRPr="006A7AA3" w:rsidRDefault="00993790" w:rsidP="00993790">
      <w:pPr>
        <w:jc w:val="both"/>
        <w:rPr>
          <w:rFonts w:ascii="Museo Sans 300" w:hAnsi="Museo Sans 300"/>
          <w:sz w:val="22"/>
          <w:szCs w:val="22"/>
        </w:rPr>
      </w:pPr>
      <w:r w:rsidRPr="006A7AA3">
        <w:rPr>
          <w:rFonts w:ascii="Museo Sans 300" w:hAnsi="Museo Sans 300"/>
          <w:b/>
          <w:sz w:val="22"/>
          <w:szCs w:val="22"/>
        </w:rPr>
        <w:t>Art. 22.</w:t>
      </w:r>
      <w:r w:rsidRPr="006A7AA3">
        <w:rPr>
          <w:rFonts w:ascii="Museo Sans 300" w:hAnsi="Museo Sans 300"/>
          <w:sz w:val="22"/>
          <w:szCs w:val="22"/>
        </w:rPr>
        <w:t>- Las presentes Normas entrarán en vigencia a partir del uno de junio de dos mil once.</w:t>
      </w:r>
    </w:p>
    <w:p w:rsidR="00993790" w:rsidRPr="006A7AA3" w:rsidRDefault="00993790" w:rsidP="009E6F7F">
      <w:pPr>
        <w:jc w:val="both"/>
        <w:rPr>
          <w:rFonts w:ascii="Museo Sans 300" w:hAnsi="Museo Sans 300" w:cs="Arial"/>
          <w:b/>
          <w:sz w:val="22"/>
          <w:szCs w:val="22"/>
        </w:rPr>
      </w:pPr>
    </w:p>
    <w:p w:rsidR="006A7AA3" w:rsidRPr="006A7AA3" w:rsidRDefault="006A7AA3" w:rsidP="006E6438">
      <w:pPr>
        <w:spacing w:after="120"/>
        <w:jc w:val="both"/>
        <w:rPr>
          <w:rFonts w:ascii="Museo Sans 300" w:hAnsi="Museo Sans 300" w:cs="Arial"/>
          <w:b/>
          <w:sz w:val="22"/>
          <w:szCs w:val="22"/>
        </w:rPr>
      </w:pPr>
    </w:p>
    <w:p w:rsidR="00A35670" w:rsidRPr="006A7AA3" w:rsidRDefault="00A35670" w:rsidP="006E6438">
      <w:pPr>
        <w:spacing w:after="120"/>
        <w:jc w:val="both"/>
        <w:rPr>
          <w:rFonts w:ascii="Museo Sans 300" w:hAnsi="Museo Sans 300" w:cs="Arial"/>
          <w:b/>
          <w:sz w:val="22"/>
          <w:szCs w:val="22"/>
        </w:rPr>
      </w:pPr>
      <w:r w:rsidRPr="006A7AA3">
        <w:rPr>
          <w:rFonts w:ascii="Museo Sans 300" w:hAnsi="Museo Sans 300" w:cs="Arial"/>
          <w:b/>
          <w:sz w:val="22"/>
          <w:szCs w:val="22"/>
        </w:rPr>
        <w:t>MODIFICACIONES:</w:t>
      </w:r>
    </w:p>
    <w:p w:rsidR="00993790" w:rsidRPr="006A7AA3" w:rsidRDefault="00A35670" w:rsidP="00A35670">
      <w:pPr>
        <w:ind w:left="425" w:hanging="425"/>
        <w:jc w:val="both"/>
        <w:rPr>
          <w:rFonts w:ascii="Museo Sans 300" w:hAnsi="Museo Sans 300"/>
          <w:b/>
          <w:sz w:val="22"/>
          <w:szCs w:val="22"/>
        </w:rPr>
      </w:pPr>
      <w:r w:rsidRPr="006A7AA3">
        <w:rPr>
          <w:rFonts w:ascii="Museo Sans 300" w:hAnsi="Museo Sans 300"/>
          <w:b/>
          <w:sz w:val="22"/>
          <w:szCs w:val="22"/>
        </w:rPr>
        <w:t>(1)</w:t>
      </w:r>
      <w:r w:rsidRPr="006A7AA3">
        <w:rPr>
          <w:rFonts w:ascii="Museo Sans 300" w:hAnsi="Museo Sans 300"/>
          <w:b/>
          <w:sz w:val="22"/>
          <w:szCs w:val="22"/>
        </w:rPr>
        <w:tab/>
      </w:r>
      <w:r w:rsidR="00993790" w:rsidRPr="006A7AA3">
        <w:rPr>
          <w:rFonts w:ascii="Museo Sans 300" w:hAnsi="Museo Sans 300"/>
          <w:b/>
          <w:sz w:val="22"/>
          <w:szCs w:val="22"/>
        </w:rPr>
        <w:t xml:space="preserve">Modificaciones </w:t>
      </w:r>
      <w:r w:rsidR="00C80C1F" w:rsidRPr="006A7AA3">
        <w:rPr>
          <w:rFonts w:ascii="Museo Sans 300" w:hAnsi="Museo Sans 300"/>
          <w:b/>
          <w:sz w:val="22"/>
          <w:szCs w:val="22"/>
        </w:rPr>
        <w:t>a</w:t>
      </w:r>
      <w:r w:rsidR="00993790" w:rsidRPr="006A7AA3">
        <w:rPr>
          <w:rFonts w:ascii="Museo Sans 300" w:hAnsi="Museo Sans 300"/>
          <w:b/>
          <w:sz w:val="22"/>
          <w:szCs w:val="22"/>
        </w:rPr>
        <w:t>probadas por el Comité de Normas del Banco Central de Reserva de El Salvador, en Sesión No. CN-13/2012 de fecha 14 de diciembre de dos mil doce, con vigencia a partir del día 02 de enero de dos mil trece.</w:t>
      </w:r>
    </w:p>
    <w:p w:rsidR="00B0396A" w:rsidRPr="006A7AA3" w:rsidRDefault="00B0396A" w:rsidP="00A35670">
      <w:pPr>
        <w:ind w:left="425" w:hanging="425"/>
        <w:jc w:val="both"/>
        <w:rPr>
          <w:rFonts w:ascii="Museo Sans 300" w:hAnsi="Museo Sans 300"/>
          <w:b/>
          <w:sz w:val="22"/>
          <w:szCs w:val="22"/>
        </w:rPr>
      </w:pPr>
    </w:p>
    <w:p w:rsidR="00B0396A" w:rsidRPr="006A7AA3" w:rsidRDefault="00302C99" w:rsidP="00B0396A">
      <w:pPr>
        <w:ind w:left="425" w:hanging="425"/>
        <w:jc w:val="both"/>
        <w:rPr>
          <w:rFonts w:ascii="Museo Sans 300" w:hAnsi="Museo Sans 300"/>
          <w:b/>
          <w:sz w:val="22"/>
          <w:szCs w:val="22"/>
        </w:rPr>
      </w:pPr>
      <w:r>
        <w:rPr>
          <w:rFonts w:ascii="Museo Sans 300" w:hAnsi="Museo Sans 300"/>
          <w:b/>
          <w:sz w:val="22"/>
          <w:szCs w:val="22"/>
        </w:rPr>
        <w:t>(2)</w:t>
      </w:r>
      <w:r>
        <w:rPr>
          <w:rFonts w:ascii="Museo Sans 300" w:hAnsi="Museo Sans 300"/>
          <w:b/>
          <w:sz w:val="22"/>
          <w:szCs w:val="22"/>
        </w:rPr>
        <w:tab/>
        <w:t>Modificación a</w:t>
      </w:r>
      <w:r w:rsidR="006A7AA3">
        <w:rPr>
          <w:rFonts w:ascii="Museo Sans 300" w:hAnsi="Museo Sans 300"/>
          <w:b/>
          <w:sz w:val="22"/>
          <w:szCs w:val="22"/>
        </w:rPr>
        <w:t>l artículo 2</w:t>
      </w:r>
      <w:r>
        <w:rPr>
          <w:rFonts w:ascii="Museo Sans 300" w:hAnsi="Museo Sans 300"/>
          <w:b/>
          <w:sz w:val="22"/>
          <w:szCs w:val="22"/>
        </w:rPr>
        <w:t xml:space="preserve"> aprobada</w:t>
      </w:r>
      <w:r w:rsidR="00B0396A" w:rsidRPr="006A7AA3">
        <w:rPr>
          <w:rFonts w:ascii="Museo Sans 300" w:hAnsi="Museo Sans 300"/>
          <w:b/>
          <w:sz w:val="22"/>
          <w:szCs w:val="22"/>
        </w:rPr>
        <w:t xml:space="preserve"> por el Comité de Normas del Banco Central de Reserva de El Salvador, en Sesión No. CN-20/2020 de fecha </w:t>
      </w:r>
      <w:r w:rsidR="00E95617">
        <w:rPr>
          <w:rFonts w:ascii="Museo Sans 300" w:hAnsi="Museo Sans 300"/>
          <w:b/>
          <w:sz w:val="22"/>
          <w:szCs w:val="22"/>
        </w:rPr>
        <w:t>3</w:t>
      </w:r>
      <w:r w:rsidR="00B0396A" w:rsidRPr="006A7AA3">
        <w:rPr>
          <w:rFonts w:ascii="Museo Sans 300" w:hAnsi="Museo Sans 300"/>
          <w:b/>
          <w:sz w:val="22"/>
          <w:szCs w:val="22"/>
        </w:rPr>
        <w:t xml:space="preserve"> de </w:t>
      </w:r>
      <w:r w:rsidR="00E95617">
        <w:rPr>
          <w:rFonts w:ascii="Museo Sans 300" w:hAnsi="Museo Sans 300"/>
          <w:b/>
          <w:sz w:val="22"/>
          <w:szCs w:val="22"/>
        </w:rPr>
        <w:t>diciembre</w:t>
      </w:r>
      <w:r w:rsidR="00B0396A" w:rsidRPr="006A7AA3">
        <w:rPr>
          <w:rFonts w:ascii="Museo Sans 300" w:hAnsi="Museo Sans 300"/>
          <w:b/>
          <w:sz w:val="22"/>
          <w:szCs w:val="22"/>
        </w:rPr>
        <w:t xml:space="preserve"> de dos mil veinte, con vigencia a partir del día </w:t>
      </w:r>
      <w:r w:rsidR="00240049">
        <w:rPr>
          <w:rFonts w:ascii="Museo Sans 300" w:hAnsi="Museo Sans 300"/>
          <w:b/>
          <w:sz w:val="22"/>
          <w:szCs w:val="22"/>
        </w:rPr>
        <w:t>22</w:t>
      </w:r>
      <w:r w:rsidR="00B0396A" w:rsidRPr="006A7AA3">
        <w:rPr>
          <w:rFonts w:ascii="Museo Sans 300" w:hAnsi="Museo Sans 300"/>
          <w:b/>
          <w:sz w:val="22"/>
          <w:szCs w:val="22"/>
        </w:rPr>
        <w:t xml:space="preserve"> de diciembre de dos mil veinte.</w:t>
      </w:r>
    </w:p>
    <w:p w:rsidR="009E6F7F" w:rsidRPr="006A7AA3" w:rsidRDefault="009E6F7F">
      <w:pPr>
        <w:spacing w:after="200" w:line="276" w:lineRule="auto"/>
        <w:rPr>
          <w:rFonts w:ascii="Museo Sans 300" w:hAnsi="Museo Sans 300"/>
          <w:sz w:val="22"/>
          <w:szCs w:val="22"/>
        </w:rPr>
      </w:pPr>
      <w:r w:rsidRPr="006A7AA3">
        <w:rPr>
          <w:rFonts w:ascii="Museo Sans 300" w:hAnsi="Museo Sans 300"/>
          <w:sz w:val="22"/>
          <w:szCs w:val="22"/>
        </w:rPr>
        <w:br w:type="page"/>
      </w:r>
    </w:p>
    <w:p w:rsidR="009E6F7F" w:rsidRPr="006A7AA3" w:rsidRDefault="009E6F7F" w:rsidP="009E6F7F">
      <w:pPr>
        <w:jc w:val="center"/>
        <w:rPr>
          <w:rFonts w:ascii="Museo Sans 300" w:hAnsi="Museo Sans 300" w:cs="Arial"/>
          <w:b/>
          <w:sz w:val="22"/>
          <w:szCs w:val="22"/>
        </w:rPr>
      </w:pPr>
      <w:r w:rsidRPr="006A7AA3">
        <w:rPr>
          <w:rFonts w:ascii="Museo Sans 300" w:hAnsi="Museo Sans 300" w:cs="Arial"/>
          <w:b/>
          <w:sz w:val="22"/>
          <w:szCs w:val="22"/>
        </w:rPr>
        <w:lastRenderedPageBreak/>
        <w:t>GLOSARIO DE T</w:t>
      </w:r>
      <w:r w:rsidR="00C80C1F" w:rsidRPr="006A7AA3">
        <w:rPr>
          <w:rFonts w:ascii="Museo Sans 300" w:hAnsi="Museo Sans 300" w:cs="Arial"/>
          <w:b/>
          <w:sz w:val="22"/>
          <w:szCs w:val="22"/>
        </w:rPr>
        <w:t>É</w:t>
      </w:r>
      <w:r w:rsidRPr="006A7AA3">
        <w:rPr>
          <w:rFonts w:ascii="Museo Sans 300" w:hAnsi="Museo Sans 300" w:cs="Arial"/>
          <w:b/>
          <w:sz w:val="22"/>
          <w:szCs w:val="22"/>
        </w:rPr>
        <w:t>RMINOS</w:t>
      </w:r>
    </w:p>
    <w:p w:rsidR="009E6F7F" w:rsidRPr="006A7AA3" w:rsidRDefault="009E6F7F" w:rsidP="009E6F7F">
      <w:pPr>
        <w:jc w:val="center"/>
        <w:rPr>
          <w:rFonts w:ascii="Museo Sans 300" w:hAnsi="Museo Sans 300" w:cs="Arial"/>
          <w:b/>
          <w:sz w:val="22"/>
          <w:szCs w:val="22"/>
        </w:rPr>
      </w:pPr>
    </w:p>
    <w:p w:rsidR="009E6F7F" w:rsidRPr="006A7AA3" w:rsidRDefault="009E6F7F" w:rsidP="00A720F4">
      <w:pPr>
        <w:numPr>
          <w:ilvl w:val="0"/>
          <w:numId w:val="50"/>
        </w:numPr>
        <w:ind w:left="426" w:hanging="426"/>
        <w:jc w:val="both"/>
        <w:rPr>
          <w:rFonts w:ascii="Museo Sans 300" w:hAnsi="Museo Sans 300"/>
          <w:sz w:val="22"/>
          <w:szCs w:val="22"/>
        </w:rPr>
      </w:pPr>
      <w:r w:rsidRPr="006A7AA3">
        <w:rPr>
          <w:rFonts w:ascii="Museo Sans 300" w:hAnsi="Museo Sans 300"/>
          <w:b/>
          <w:sz w:val="22"/>
          <w:szCs w:val="22"/>
        </w:rPr>
        <w:t>Concentración de riesgo crediticio</w:t>
      </w:r>
      <w:r w:rsidRPr="006A7AA3">
        <w:rPr>
          <w:rFonts w:ascii="Museo Sans 300" w:hAnsi="Museo Sans 300"/>
          <w:sz w:val="22"/>
          <w:szCs w:val="22"/>
        </w:rPr>
        <w:t>: se refiere a la exposición que tiene el potencial de producir grandes pérdidas, suficientes para que amenacen la estabilidad de una entidad o la habilidad de mantener sus operaciones principales. El potencial de pérdida refleja el tamaño de la exposición y la magnitud de la pérdida dada una circunstancia adversa en particular. Las concentraciones de riesgo pueden tomar muchas formas, entre otras: contrapartes individuales, grupos de contrapartes individuales o partes relacionadas, contrapartes en localidades geográficas específicas, sectores económicos, productos específicos, proveedores de servicio.</w:t>
      </w:r>
    </w:p>
    <w:p w:rsidR="009E6F7F" w:rsidRPr="006A7AA3" w:rsidRDefault="009E6F7F" w:rsidP="00A720F4">
      <w:pPr>
        <w:ind w:left="426" w:hanging="426"/>
        <w:jc w:val="both"/>
        <w:rPr>
          <w:rFonts w:ascii="Museo Sans 300" w:hAnsi="Museo Sans 300"/>
          <w:sz w:val="22"/>
          <w:szCs w:val="22"/>
        </w:rPr>
      </w:pPr>
    </w:p>
    <w:p w:rsidR="009E6F7F" w:rsidRPr="006A7AA3" w:rsidRDefault="009E6F7F" w:rsidP="00A720F4">
      <w:pPr>
        <w:numPr>
          <w:ilvl w:val="0"/>
          <w:numId w:val="50"/>
        </w:numPr>
        <w:ind w:left="426" w:hanging="426"/>
        <w:jc w:val="both"/>
        <w:rPr>
          <w:rFonts w:ascii="Museo Sans 300" w:hAnsi="Museo Sans 300"/>
          <w:sz w:val="22"/>
          <w:szCs w:val="22"/>
        </w:rPr>
      </w:pPr>
      <w:r w:rsidRPr="006A7AA3">
        <w:rPr>
          <w:rFonts w:ascii="Museo Sans 300" w:hAnsi="Museo Sans 300"/>
          <w:b/>
          <w:sz w:val="22"/>
          <w:szCs w:val="22"/>
        </w:rPr>
        <w:t>Escenarios:</w:t>
      </w:r>
      <w:r w:rsidRPr="006A7AA3">
        <w:rPr>
          <w:rFonts w:ascii="Museo Sans 300" w:hAnsi="Museo Sans 300"/>
          <w:sz w:val="22"/>
          <w:szCs w:val="22"/>
        </w:rPr>
        <w:t xml:space="preserve"> </w:t>
      </w:r>
      <w:r w:rsidR="00A720F4" w:rsidRPr="006A7AA3">
        <w:rPr>
          <w:rFonts w:ascii="Museo Sans 300" w:hAnsi="Museo Sans 300"/>
          <w:sz w:val="22"/>
          <w:szCs w:val="22"/>
        </w:rPr>
        <w:t>s</w:t>
      </w:r>
      <w:r w:rsidRPr="006A7AA3">
        <w:rPr>
          <w:rFonts w:ascii="Museo Sans 300" w:hAnsi="Museo Sans 300"/>
          <w:sz w:val="22"/>
          <w:szCs w:val="22"/>
        </w:rPr>
        <w:t>on pruebas o ejercicios de simulación de situaciones, incluyendo eventos extraordinarios, para evaluar el impacto en la exposición al riesgo de crédito en las operaciones activas de la entidad.</w:t>
      </w:r>
    </w:p>
    <w:p w:rsidR="009E6F7F" w:rsidRPr="006A7AA3" w:rsidRDefault="009E6F7F" w:rsidP="00A720F4">
      <w:pPr>
        <w:ind w:left="426" w:hanging="426"/>
        <w:jc w:val="both"/>
        <w:rPr>
          <w:rFonts w:ascii="Museo Sans 300" w:hAnsi="Museo Sans 300"/>
          <w:sz w:val="22"/>
          <w:szCs w:val="22"/>
        </w:rPr>
      </w:pPr>
    </w:p>
    <w:p w:rsidR="009E6F7F" w:rsidRPr="006A7AA3" w:rsidRDefault="009E6F7F" w:rsidP="00A720F4">
      <w:pPr>
        <w:pStyle w:val="Prrafodelista"/>
        <w:numPr>
          <w:ilvl w:val="0"/>
          <w:numId w:val="50"/>
        </w:numPr>
        <w:ind w:left="426" w:hanging="426"/>
        <w:contextualSpacing/>
        <w:jc w:val="both"/>
        <w:rPr>
          <w:rFonts w:ascii="Museo Sans 300" w:hAnsi="Museo Sans 300"/>
          <w:sz w:val="22"/>
          <w:szCs w:val="22"/>
        </w:rPr>
      </w:pPr>
      <w:r w:rsidRPr="006A7AA3">
        <w:rPr>
          <w:rFonts w:ascii="Museo Sans 300" w:hAnsi="Museo Sans 300"/>
          <w:b/>
          <w:sz w:val="22"/>
          <w:szCs w:val="22"/>
        </w:rPr>
        <w:t>Exposición al momento del incumplimiento (EAD)</w:t>
      </w:r>
      <w:r w:rsidR="00A720F4" w:rsidRPr="006A7AA3">
        <w:rPr>
          <w:rFonts w:ascii="Museo Sans 300" w:hAnsi="Museo Sans 300"/>
          <w:sz w:val="22"/>
          <w:szCs w:val="22"/>
        </w:rPr>
        <w:t>: e</w:t>
      </w:r>
      <w:r w:rsidRPr="006A7AA3">
        <w:rPr>
          <w:rFonts w:ascii="Museo Sans 300" w:hAnsi="Museo Sans 300"/>
          <w:sz w:val="22"/>
          <w:szCs w:val="22"/>
        </w:rPr>
        <w:t>s el monto total que debe el deudor en el momento en que ocurre el incumplimiento.</w:t>
      </w:r>
      <w:r w:rsidR="00DB2CE9" w:rsidRPr="006A7AA3">
        <w:rPr>
          <w:rFonts w:ascii="Museo Sans 300" w:hAnsi="Museo Sans 300"/>
          <w:sz w:val="22"/>
          <w:szCs w:val="22"/>
        </w:rPr>
        <w:t xml:space="preserve"> </w:t>
      </w:r>
      <w:r w:rsidRPr="006A7AA3">
        <w:rPr>
          <w:rFonts w:ascii="Museo Sans 300" w:hAnsi="Museo Sans 300"/>
          <w:sz w:val="22"/>
          <w:szCs w:val="22"/>
        </w:rPr>
        <w:t>El acrónimo utilizado es “EAD” por las siglas en inglés “</w:t>
      </w:r>
      <w:proofErr w:type="spellStart"/>
      <w:r w:rsidRPr="006A7AA3">
        <w:rPr>
          <w:rFonts w:ascii="Museo Sans 300" w:hAnsi="Museo Sans 300"/>
          <w:sz w:val="22"/>
          <w:szCs w:val="22"/>
        </w:rPr>
        <w:t>Exposure</w:t>
      </w:r>
      <w:proofErr w:type="spellEnd"/>
      <w:r w:rsidRPr="006A7AA3">
        <w:rPr>
          <w:rFonts w:ascii="Museo Sans 300" w:hAnsi="Museo Sans 300"/>
          <w:sz w:val="22"/>
          <w:szCs w:val="22"/>
        </w:rPr>
        <w:t xml:space="preserve"> at Default”</w:t>
      </w:r>
    </w:p>
    <w:p w:rsidR="009E6F7F" w:rsidRPr="006A7AA3" w:rsidRDefault="009E6F7F" w:rsidP="00A720F4">
      <w:pPr>
        <w:ind w:left="426" w:hanging="426"/>
        <w:jc w:val="both"/>
        <w:rPr>
          <w:rFonts w:ascii="Museo Sans 300" w:hAnsi="Museo Sans 300"/>
          <w:color w:val="000000" w:themeColor="text1"/>
          <w:sz w:val="22"/>
          <w:szCs w:val="22"/>
        </w:rPr>
      </w:pPr>
    </w:p>
    <w:p w:rsidR="009E6F7F" w:rsidRPr="006A7AA3" w:rsidRDefault="009E6F7F" w:rsidP="00A720F4">
      <w:pPr>
        <w:pStyle w:val="Prrafodelista"/>
        <w:numPr>
          <w:ilvl w:val="0"/>
          <w:numId w:val="50"/>
        </w:numPr>
        <w:ind w:left="426" w:hanging="426"/>
        <w:contextualSpacing/>
        <w:jc w:val="both"/>
        <w:rPr>
          <w:rFonts w:ascii="Museo Sans 300" w:hAnsi="Museo Sans 300"/>
          <w:sz w:val="22"/>
          <w:szCs w:val="22"/>
        </w:rPr>
      </w:pPr>
      <w:r w:rsidRPr="006A7AA3">
        <w:rPr>
          <w:rFonts w:ascii="Museo Sans 300" w:hAnsi="Museo Sans 300"/>
          <w:b/>
          <w:sz w:val="22"/>
          <w:szCs w:val="22"/>
        </w:rPr>
        <w:t>Pérdida dado el incumplimiento (LGD) o Severidad de la Pérdida</w:t>
      </w:r>
      <w:r w:rsidRPr="006A7AA3">
        <w:rPr>
          <w:rFonts w:ascii="Museo Sans 300" w:hAnsi="Museo Sans 300"/>
          <w:sz w:val="22"/>
          <w:szCs w:val="22"/>
        </w:rPr>
        <w:t xml:space="preserve">: </w:t>
      </w:r>
      <w:r w:rsidR="00A720F4" w:rsidRPr="006A7AA3">
        <w:rPr>
          <w:rFonts w:ascii="Museo Sans 300" w:hAnsi="Museo Sans 300"/>
          <w:sz w:val="22"/>
          <w:szCs w:val="22"/>
        </w:rPr>
        <w:t>e</w:t>
      </w:r>
      <w:r w:rsidRPr="006A7AA3">
        <w:rPr>
          <w:rFonts w:ascii="Museo Sans 300" w:hAnsi="Museo Sans 300"/>
          <w:sz w:val="22"/>
          <w:szCs w:val="22"/>
        </w:rPr>
        <w:t xml:space="preserve">s el porcentaje de la exposición que la entidad pierde, en el caso que un deudor incumpla, después de haber realizado todas las gestiones para recuperar los créditos que han sido incumplidos, ejecutar las garantías o recibirlas como dación en pago. Es igual a la expresión (1 – Tasa de recuperación). </w:t>
      </w:r>
      <w:r w:rsidRPr="006A7AA3">
        <w:rPr>
          <w:rFonts w:ascii="Museo Sans 300" w:hAnsi="Museo Sans 300" w:cs="Verdana"/>
          <w:color w:val="000000"/>
          <w:sz w:val="22"/>
          <w:szCs w:val="22"/>
        </w:rPr>
        <w:t>Representa el costo neto del incumplimiento de un deudor, es decir, la proporción no recuperada de la exposición al incumplir el acreditado una vez tomados en cuenta todos los costos implicados en dicha recuperación (costos de cobro, costos judiciales, etc.).</w:t>
      </w:r>
      <w:r w:rsidR="00DB2CE9" w:rsidRPr="006A7AA3">
        <w:rPr>
          <w:rFonts w:ascii="Museo Sans 300" w:hAnsi="Museo Sans 300" w:cs="Verdana"/>
          <w:color w:val="000000"/>
          <w:sz w:val="22"/>
          <w:szCs w:val="22"/>
        </w:rPr>
        <w:t xml:space="preserve"> </w:t>
      </w:r>
      <w:r w:rsidRPr="006A7AA3">
        <w:rPr>
          <w:rFonts w:ascii="Museo Sans 300" w:hAnsi="Museo Sans 300" w:cs="Verdana"/>
          <w:color w:val="000000"/>
          <w:sz w:val="22"/>
          <w:szCs w:val="22"/>
        </w:rPr>
        <w:t>El acrónimo utilizado es</w:t>
      </w:r>
      <w:r w:rsidR="00DB2CE9" w:rsidRPr="006A7AA3">
        <w:rPr>
          <w:rFonts w:ascii="Museo Sans 300" w:hAnsi="Museo Sans 300" w:cs="Verdana"/>
          <w:color w:val="000000"/>
          <w:sz w:val="22"/>
          <w:szCs w:val="22"/>
        </w:rPr>
        <w:t xml:space="preserve"> </w:t>
      </w:r>
      <w:r w:rsidRPr="006A7AA3">
        <w:rPr>
          <w:rFonts w:ascii="Museo Sans 300" w:hAnsi="Museo Sans 300"/>
          <w:sz w:val="22"/>
          <w:szCs w:val="22"/>
        </w:rPr>
        <w:t xml:space="preserve"> “LGD” por las siglas en inglés</w:t>
      </w:r>
      <w:r w:rsidR="00DB2CE9" w:rsidRPr="006A7AA3">
        <w:rPr>
          <w:rFonts w:ascii="Museo Sans 300" w:hAnsi="Museo Sans 300"/>
          <w:sz w:val="22"/>
          <w:szCs w:val="22"/>
        </w:rPr>
        <w:t xml:space="preserve"> </w:t>
      </w:r>
      <w:r w:rsidRPr="006A7AA3">
        <w:rPr>
          <w:rFonts w:ascii="Museo Sans 300" w:hAnsi="Museo Sans 300"/>
          <w:sz w:val="22"/>
          <w:szCs w:val="22"/>
        </w:rPr>
        <w:t>“</w:t>
      </w:r>
      <w:proofErr w:type="spellStart"/>
      <w:r w:rsidRPr="006A7AA3">
        <w:rPr>
          <w:rFonts w:ascii="Museo Sans 300" w:hAnsi="Museo Sans 300"/>
          <w:sz w:val="22"/>
          <w:szCs w:val="22"/>
        </w:rPr>
        <w:t>Loss</w:t>
      </w:r>
      <w:proofErr w:type="spellEnd"/>
      <w:r w:rsidRPr="006A7AA3">
        <w:rPr>
          <w:rFonts w:ascii="Museo Sans 300" w:hAnsi="Museo Sans 300"/>
          <w:sz w:val="22"/>
          <w:szCs w:val="22"/>
        </w:rPr>
        <w:t xml:space="preserve"> </w:t>
      </w:r>
      <w:proofErr w:type="spellStart"/>
      <w:r w:rsidRPr="006A7AA3">
        <w:rPr>
          <w:rFonts w:ascii="Museo Sans 300" w:hAnsi="Museo Sans 300"/>
          <w:sz w:val="22"/>
          <w:szCs w:val="22"/>
        </w:rPr>
        <w:t>Given</w:t>
      </w:r>
      <w:proofErr w:type="spellEnd"/>
      <w:r w:rsidRPr="006A7AA3">
        <w:rPr>
          <w:rFonts w:ascii="Museo Sans 300" w:hAnsi="Museo Sans 300"/>
          <w:sz w:val="22"/>
          <w:szCs w:val="22"/>
        </w:rPr>
        <w:t xml:space="preserve"> Default”.</w:t>
      </w:r>
    </w:p>
    <w:p w:rsidR="009E6F7F" w:rsidRPr="006A7AA3" w:rsidRDefault="009E6F7F" w:rsidP="00A720F4">
      <w:pPr>
        <w:ind w:left="426" w:hanging="426"/>
        <w:jc w:val="both"/>
        <w:rPr>
          <w:rFonts w:ascii="Museo Sans 300" w:hAnsi="Museo Sans 300"/>
          <w:sz w:val="22"/>
          <w:szCs w:val="22"/>
        </w:rPr>
      </w:pPr>
    </w:p>
    <w:p w:rsidR="009E6F7F" w:rsidRPr="006A7AA3" w:rsidRDefault="009E6F7F" w:rsidP="00A720F4">
      <w:pPr>
        <w:pStyle w:val="Prrafodelista"/>
        <w:numPr>
          <w:ilvl w:val="0"/>
          <w:numId w:val="50"/>
        </w:numPr>
        <w:ind w:left="426" w:hanging="426"/>
        <w:contextualSpacing/>
        <w:jc w:val="both"/>
        <w:rPr>
          <w:rFonts w:ascii="Museo Sans 300" w:hAnsi="Museo Sans 300"/>
          <w:sz w:val="22"/>
          <w:szCs w:val="22"/>
        </w:rPr>
      </w:pPr>
      <w:r w:rsidRPr="006A7AA3">
        <w:rPr>
          <w:rFonts w:ascii="Museo Sans 300" w:hAnsi="Museo Sans 300"/>
          <w:b/>
          <w:sz w:val="22"/>
          <w:szCs w:val="22"/>
        </w:rPr>
        <w:t>Pérdida esperada (EL)</w:t>
      </w:r>
      <w:r w:rsidRPr="006A7AA3">
        <w:rPr>
          <w:rFonts w:ascii="Museo Sans 300" w:hAnsi="Museo Sans 300"/>
          <w:sz w:val="22"/>
          <w:szCs w:val="22"/>
        </w:rPr>
        <w:t xml:space="preserve">: </w:t>
      </w:r>
      <w:r w:rsidR="00A720F4" w:rsidRPr="006A7AA3">
        <w:rPr>
          <w:rFonts w:ascii="Museo Sans 300" w:hAnsi="Museo Sans 300"/>
          <w:sz w:val="22"/>
          <w:szCs w:val="22"/>
        </w:rPr>
        <w:t>e</w:t>
      </w:r>
      <w:r w:rsidRPr="006A7AA3">
        <w:rPr>
          <w:rFonts w:ascii="Museo Sans 300" w:hAnsi="Museo Sans 300"/>
          <w:sz w:val="22"/>
          <w:szCs w:val="22"/>
        </w:rPr>
        <w:t xml:space="preserve">s el valor que </w:t>
      </w:r>
      <w:r w:rsidRPr="006A7AA3">
        <w:rPr>
          <w:rFonts w:ascii="Museo Sans 300" w:hAnsi="Museo Sans 300"/>
          <w:sz w:val="22"/>
          <w:szCs w:val="22"/>
          <w:lang w:eastAsia="es-SV"/>
        </w:rPr>
        <w:t>corresponde a una pérdida promedio</w:t>
      </w:r>
      <w:r w:rsidRPr="006A7AA3">
        <w:rPr>
          <w:rFonts w:ascii="Museo Sans 300" w:hAnsi="Museo Sans 300"/>
          <w:sz w:val="22"/>
          <w:szCs w:val="22"/>
        </w:rPr>
        <w:t xml:space="preserve"> por riesgo crediticio en un horizonte de tiempo determinado, </w:t>
      </w:r>
      <w:r w:rsidRPr="006A7AA3">
        <w:rPr>
          <w:rFonts w:ascii="Museo Sans 300" w:hAnsi="Museo Sans 300"/>
          <w:sz w:val="22"/>
          <w:szCs w:val="22"/>
          <w:lang w:eastAsia="es-SV"/>
        </w:rPr>
        <w:t>puede estimarse a nivel de cada crédito individual,</w:t>
      </w:r>
      <w:r w:rsidRPr="006A7AA3">
        <w:rPr>
          <w:rFonts w:ascii="Museo Sans 300" w:hAnsi="Museo Sans 300"/>
          <w:sz w:val="22"/>
          <w:szCs w:val="22"/>
        </w:rPr>
        <w:t xml:space="preserve"> resultante de la probabilidad de incumplimiento (PD), el nivel de exposición en el momento del incumplimiento (EAD) y la severidad de la pérdida (LGD), quedando formulada de la siguiente manera: “EL=PD*EAD*LGD”,</w:t>
      </w:r>
      <w:r w:rsidR="00DB2CE9" w:rsidRPr="006A7AA3">
        <w:rPr>
          <w:rFonts w:ascii="Museo Sans 300" w:hAnsi="Museo Sans 300"/>
          <w:sz w:val="22"/>
          <w:szCs w:val="22"/>
        </w:rPr>
        <w:t xml:space="preserve"> </w:t>
      </w:r>
      <w:r w:rsidRPr="006A7AA3">
        <w:rPr>
          <w:rFonts w:ascii="Museo Sans 300" w:hAnsi="Museo Sans 300"/>
          <w:sz w:val="22"/>
          <w:szCs w:val="22"/>
        </w:rPr>
        <w:t>normalmente está asociada a la política de reservas preventivas que la institución debe tener contra sus riesgos crediticios. El acrónimo utilizado es “EL” por las siglas en inglés “</w:t>
      </w:r>
      <w:proofErr w:type="spellStart"/>
      <w:r w:rsidRPr="006A7AA3">
        <w:rPr>
          <w:rFonts w:ascii="Museo Sans 300" w:hAnsi="Museo Sans 300"/>
          <w:sz w:val="22"/>
          <w:szCs w:val="22"/>
        </w:rPr>
        <w:t>Expected</w:t>
      </w:r>
      <w:proofErr w:type="spellEnd"/>
      <w:r w:rsidRPr="006A7AA3">
        <w:rPr>
          <w:rFonts w:ascii="Museo Sans 300" w:hAnsi="Museo Sans 300"/>
          <w:sz w:val="22"/>
          <w:szCs w:val="22"/>
        </w:rPr>
        <w:t xml:space="preserve"> </w:t>
      </w:r>
      <w:proofErr w:type="spellStart"/>
      <w:r w:rsidRPr="006A7AA3">
        <w:rPr>
          <w:rFonts w:ascii="Museo Sans 300" w:hAnsi="Museo Sans 300"/>
          <w:sz w:val="22"/>
          <w:szCs w:val="22"/>
        </w:rPr>
        <w:t>Losses</w:t>
      </w:r>
      <w:proofErr w:type="spellEnd"/>
      <w:r w:rsidRPr="006A7AA3">
        <w:rPr>
          <w:rFonts w:ascii="Museo Sans 300" w:hAnsi="Museo Sans 300"/>
          <w:sz w:val="22"/>
          <w:szCs w:val="22"/>
        </w:rPr>
        <w:t>”</w:t>
      </w:r>
    </w:p>
    <w:p w:rsidR="009E6F7F" w:rsidRPr="006A7AA3" w:rsidRDefault="009E6F7F" w:rsidP="00A720F4">
      <w:pPr>
        <w:pStyle w:val="Prrafodelista"/>
        <w:ind w:left="426" w:hanging="426"/>
        <w:jc w:val="both"/>
        <w:rPr>
          <w:rFonts w:ascii="Museo Sans 300" w:hAnsi="Museo Sans 300"/>
          <w:sz w:val="22"/>
          <w:szCs w:val="22"/>
        </w:rPr>
      </w:pPr>
    </w:p>
    <w:p w:rsidR="009E6F7F" w:rsidRPr="006A7AA3" w:rsidRDefault="009E6F7F" w:rsidP="00A720F4">
      <w:pPr>
        <w:pStyle w:val="Prrafodelista"/>
        <w:numPr>
          <w:ilvl w:val="0"/>
          <w:numId w:val="50"/>
        </w:numPr>
        <w:ind w:left="426" w:hanging="426"/>
        <w:contextualSpacing/>
        <w:jc w:val="both"/>
        <w:rPr>
          <w:rFonts w:ascii="Museo Sans 300" w:hAnsi="Museo Sans 300"/>
          <w:b/>
          <w:sz w:val="22"/>
          <w:szCs w:val="22"/>
        </w:rPr>
      </w:pPr>
      <w:r w:rsidRPr="006A7AA3">
        <w:rPr>
          <w:rFonts w:ascii="Museo Sans 300" w:hAnsi="Museo Sans 300"/>
          <w:b/>
          <w:sz w:val="22"/>
          <w:szCs w:val="22"/>
        </w:rPr>
        <w:t>Probabilidad de incumplimiento (PD)</w:t>
      </w:r>
      <w:r w:rsidRPr="006A7AA3">
        <w:rPr>
          <w:rFonts w:ascii="Museo Sans 300" w:hAnsi="Museo Sans 300"/>
          <w:sz w:val="22"/>
          <w:szCs w:val="22"/>
        </w:rPr>
        <w:t xml:space="preserve">: </w:t>
      </w:r>
      <w:r w:rsidR="00A720F4" w:rsidRPr="006A7AA3">
        <w:rPr>
          <w:rFonts w:ascii="Museo Sans 300" w:hAnsi="Museo Sans 300"/>
          <w:sz w:val="22"/>
          <w:szCs w:val="22"/>
        </w:rPr>
        <w:t>e</w:t>
      </w:r>
      <w:r w:rsidRPr="006A7AA3">
        <w:rPr>
          <w:rFonts w:ascii="Museo Sans 300" w:hAnsi="Museo Sans 300"/>
          <w:sz w:val="22"/>
          <w:szCs w:val="22"/>
        </w:rPr>
        <w:t xml:space="preserve">s la medida de qué tan probable un deudor deje de cumplir parcial o total con sus obligaciones contractuales. Su mínimo valor es cero, lo cual indicaría que es imposible que incumpla con sus </w:t>
      </w:r>
      <w:r w:rsidRPr="006A7AA3">
        <w:rPr>
          <w:rFonts w:ascii="Museo Sans 300" w:hAnsi="Museo Sans 300"/>
          <w:sz w:val="22"/>
          <w:szCs w:val="22"/>
        </w:rPr>
        <w:lastRenderedPageBreak/>
        <w:t>obligaciones, y su máximo valor es uno cuando es seguro que incumpla. El acrónimo utilizado es “PD” por las siglas en inglés “</w:t>
      </w:r>
      <w:proofErr w:type="spellStart"/>
      <w:r w:rsidRPr="006A7AA3">
        <w:rPr>
          <w:rFonts w:ascii="Museo Sans 300" w:hAnsi="Museo Sans 300"/>
          <w:sz w:val="22"/>
          <w:szCs w:val="22"/>
        </w:rPr>
        <w:t>Probability</w:t>
      </w:r>
      <w:proofErr w:type="spellEnd"/>
      <w:r w:rsidRPr="006A7AA3">
        <w:rPr>
          <w:rFonts w:ascii="Museo Sans 300" w:hAnsi="Museo Sans 300"/>
          <w:sz w:val="22"/>
          <w:szCs w:val="22"/>
        </w:rPr>
        <w:t xml:space="preserve"> of Default”</w:t>
      </w:r>
      <w:r w:rsidRPr="006A7AA3" w:rsidDel="00DD77D1">
        <w:rPr>
          <w:rFonts w:ascii="Museo Sans 300" w:hAnsi="Museo Sans 300"/>
          <w:sz w:val="22"/>
          <w:szCs w:val="22"/>
        </w:rPr>
        <w:t xml:space="preserve"> </w:t>
      </w:r>
    </w:p>
    <w:p w:rsidR="009E6F7F" w:rsidRPr="006A7AA3" w:rsidRDefault="009E6F7F" w:rsidP="009E6F7F">
      <w:pPr>
        <w:pStyle w:val="Prrafodelista"/>
        <w:jc w:val="both"/>
        <w:rPr>
          <w:rFonts w:ascii="Museo Sans 300" w:hAnsi="Museo Sans 300"/>
          <w:b/>
          <w:sz w:val="22"/>
          <w:szCs w:val="22"/>
        </w:rPr>
      </w:pPr>
    </w:p>
    <w:p w:rsidR="002D42E5" w:rsidRPr="006A7AA3" w:rsidRDefault="002D42E5" w:rsidP="00A35670">
      <w:pPr>
        <w:ind w:left="425" w:hanging="425"/>
        <w:rPr>
          <w:rFonts w:ascii="Museo Sans 300" w:hAnsi="Museo Sans 300"/>
          <w:sz w:val="22"/>
          <w:szCs w:val="22"/>
        </w:rPr>
      </w:pPr>
    </w:p>
    <w:sectPr w:rsidR="002D42E5" w:rsidRPr="006A7AA3" w:rsidSect="007645B0">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2FD6" w:rsidRDefault="00852FD6" w:rsidP="009C24F4">
      <w:r>
        <w:separator/>
      </w:r>
    </w:p>
    <w:p w:rsidR="00852FD6" w:rsidRDefault="00852FD6"/>
  </w:endnote>
  <w:endnote w:type="continuationSeparator" w:id="0">
    <w:p w:rsidR="00852FD6" w:rsidRDefault="00852FD6" w:rsidP="009C24F4">
      <w:r>
        <w:continuationSeparator/>
      </w:r>
    </w:p>
    <w:p w:rsidR="00852FD6" w:rsidRDefault="00852FD6"/>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Museo Sans 300">
    <w:panose1 w:val="02000000000000000000"/>
    <w:charset w:val="00"/>
    <w:family w:val="modern"/>
    <w:notTrueType/>
    <w:pitch w:val="variable"/>
    <w:sig w:usb0="A00000AF" w:usb1="4000004A"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35" w:type="dxa"/>
      <w:jc w:val="center"/>
      <w:tblBorders>
        <w:top w:val="triple" w:sz="4" w:space="0" w:color="A6A6A6" w:themeColor="background1" w:themeShade="A6"/>
      </w:tblBorders>
      <w:tblLook w:val="04A0"/>
    </w:tblPr>
    <w:tblGrid>
      <w:gridCol w:w="1088"/>
      <w:gridCol w:w="6521"/>
      <w:gridCol w:w="2126"/>
    </w:tblGrid>
    <w:tr w:rsidR="00712CB5" w:rsidRPr="00712CB5" w:rsidTr="0029004F">
      <w:trPr>
        <w:trHeight w:val="822"/>
        <w:jc w:val="center"/>
      </w:trPr>
      <w:tc>
        <w:tcPr>
          <w:tcW w:w="1088" w:type="dxa"/>
          <w:tcBorders>
            <w:top w:val="nil"/>
            <w:left w:val="nil"/>
            <w:bottom w:val="nil"/>
            <w:right w:val="nil"/>
          </w:tcBorders>
          <w:vAlign w:val="bottom"/>
        </w:tcPr>
        <w:p w:rsidR="009C24F4" w:rsidRPr="006E6438" w:rsidRDefault="009C24F4" w:rsidP="00DD59D3">
          <w:pPr>
            <w:pStyle w:val="Piedepgina"/>
            <w:ind w:firstLine="34"/>
            <w:jc w:val="center"/>
            <w:rPr>
              <w:rFonts w:ascii="Arial Narrow" w:hAnsi="Arial Narrow"/>
              <w:color w:val="808080" w:themeColor="background1" w:themeShade="80"/>
              <w:sz w:val="20"/>
            </w:rPr>
          </w:pPr>
        </w:p>
        <w:p w:rsidR="009C24F4" w:rsidRPr="006E6438" w:rsidRDefault="009C24F4" w:rsidP="00DD59D3">
          <w:pPr>
            <w:pStyle w:val="Piedepgina"/>
            <w:ind w:firstLine="34"/>
            <w:jc w:val="center"/>
            <w:rPr>
              <w:rFonts w:ascii="Arial Narrow" w:hAnsi="Arial Narrow"/>
              <w:color w:val="808080" w:themeColor="background1" w:themeShade="80"/>
              <w:sz w:val="20"/>
            </w:rPr>
          </w:pPr>
        </w:p>
        <w:p w:rsidR="009C24F4" w:rsidRPr="006E6438" w:rsidRDefault="009C24F4" w:rsidP="00DD59D3">
          <w:pPr>
            <w:pStyle w:val="Piedepgina"/>
            <w:ind w:firstLine="34"/>
            <w:rPr>
              <w:rFonts w:ascii="Arial Narrow" w:hAnsi="Arial Narrow"/>
              <w:color w:val="808080" w:themeColor="background1" w:themeShade="80"/>
              <w:sz w:val="20"/>
              <w:lang w:val="es-ES"/>
            </w:rPr>
          </w:pPr>
        </w:p>
      </w:tc>
      <w:tc>
        <w:tcPr>
          <w:tcW w:w="6521" w:type="dxa"/>
          <w:tcBorders>
            <w:top w:val="triple" w:sz="4" w:space="0" w:color="A6A6A6" w:themeColor="background1" w:themeShade="A6"/>
            <w:left w:val="nil"/>
            <w:bottom w:val="nil"/>
            <w:right w:val="nil"/>
          </w:tcBorders>
          <w:vAlign w:val="center"/>
          <w:hideMark/>
        </w:tcPr>
        <w:p w:rsidR="009C24F4" w:rsidRPr="006A7AA3" w:rsidRDefault="009C24F4" w:rsidP="00DD59D3">
          <w:pPr>
            <w:pStyle w:val="Piedepgina"/>
            <w:jc w:val="center"/>
            <w:rPr>
              <w:rFonts w:ascii="Museo Sans 300" w:hAnsi="Museo Sans 300" w:cs="Arial"/>
              <w:color w:val="808080" w:themeColor="background1" w:themeShade="80"/>
              <w:sz w:val="18"/>
              <w:szCs w:val="18"/>
              <w:lang w:val="es-MX"/>
            </w:rPr>
          </w:pPr>
          <w:r w:rsidRPr="006A7AA3">
            <w:rPr>
              <w:rFonts w:ascii="Museo Sans 300" w:hAnsi="Museo Sans 300" w:cs="Arial"/>
              <w:color w:val="808080" w:themeColor="background1" w:themeShade="80"/>
              <w:sz w:val="18"/>
              <w:szCs w:val="18"/>
              <w:lang w:val="es-MX"/>
            </w:rPr>
            <w:t>Alameda Juan Pablo II, entre 15 y 17 Av. Norte, San Salvador, El Salvador.</w:t>
          </w:r>
        </w:p>
        <w:p w:rsidR="009C24F4" w:rsidRPr="006A7AA3" w:rsidRDefault="009C24F4" w:rsidP="00DD59D3">
          <w:pPr>
            <w:pStyle w:val="Piedepgina"/>
            <w:jc w:val="center"/>
            <w:rPr>
              <w:rFonts w:ascii="Museo Sans 300" w:hAnsi="Museo Sans 300" w:cs="Arial"/>
              <w:color w:val="808080" w:themeColor="background1" w:themeShade="80"/>
              <w:sz w:val="18"/>
              <w:szCs w:val="18"/>
              <w:lang w:val="es-ES"/>
            </w:rPr>
          </w:pPr>
          <w:r w:rsidRPr="006A7AA3">
            <w:rPr>
              <w:rFonts w:ascii="Museo Sans 300" w:hAnsi="Museo Sans 300" w:cs="Arial"/>
              <w:color w:val="808080" w:themeColor="background1" w:themeShade="80"/>
              <w:sz w:val="18"/>
              <w:szCs w:val="18"/>
            </w:rPr>
            <w:t>Tel. (503) 2281-8000</w:t>
          </w:r>
        </w:p>
        <w:p w:rsidR="009C24F4" w:rsidRPr="006A7AA3" w:rsidRDefault="009C24F4" w:rsidP="00DD59D3">
          <w:pPr>
            <w:pStyle w:val="Piedepgina"/>
            <w:jc w:val="center"/>
            <w:rPr>
              <w:rFonts w:ascii="Museo Sans 300" w:hAnsi="Museo Sans 300" w:cs="Arial"/>
              <w:color w:val="808080" w:themeColor="background1" w:themeShade="80"/>
              <w:sz w:val="18"/>
              <w:szCs w:val="18"/>
              <w:lang w:val="es-ES"/>
            </w:rPr>
          </w:pPr>
          <w:r w:rsidRPr="006A7AA3">
            <w:rPr>
              <w:rFonts w:ascii="Museo Sans 300" w:hAnsi="Museo Sans 300" w:cs="Arial"/>
              <w:color w:val="808080" w:themeColor="background1" w:themeShade="80"/>
              <w:sz w:val="18"/>
              <w:szCs w:val="18"/>
            </w:rPr>
            <w:t>www.bcr.gob.sv</w:t>
          </w:r>
        </w:p>
      </w:tc>
      <w:tc>
        <w:tcPr>
          <w:tcW w:w="2126" w:type="dxa"/>
          <w:tcBorders>
            <w:top w:val="triple" w:sz="4" w:space="0" w:color="A6A6A6" w:themeColor="background1" w:themeShade="A6"/>
            <w:left w:val="nil"/>
            <w:bottom w:val="nil"/>
            <w:right w:val="nil"/>
          </w:tcBorders>
          <w:vAlign w:val="center"/>
          <w:hideMark/>
        </w:tcPr>
        <w:p w:rsidR="009C24F4" w:rsidRPr="006A7AA3" w:rsidRDefault="007645B0" w:rsidP="00DD59D3">
          <w:pPr>
            <w:pStyle w:val="Piedepgina"/>
            <w:jc w:val="center"/>
            <w:rPr>
              <w:rFonts w:ascii="Museo Sans 300" w:hAnsi="Museo Sans 300" w:cs="Arial"/>
              <w:color w:val="808080" w:themeColor="background1" w:themeShade="80"/>
              <w:sz w:val="18"/>
              <w:szCs w:val="18"/>
              <w:lang w:val="es-ES"/>
            </w:rPr>
          </w:pPr>
          <w:sdt>
            <w:sdtPr>
              <w:rPr>
                <w:rFonts w:ascii="Museo Sans 300" w:hAnsi="Museo Sans 300" w:cs="Arial"/>
                <w:color w:val="808080" w:themeColor="background1" w:themeShade="80"/>
                <w:sz w:val="18"/>
                <w:szCs w:val="18"/>
              </w:rPr>
              <w:id w:val="-2051442318"/>
              <w:docPartObj>
                <w:docPartGallery w:val="Page Numbers (Bottom of Page)"/>
                <w:docPartUnique/>
              </w:docPartObj>
            </w:sdtPr>
            <w:sdtContent>
              <w:sdt>
                <w:sdtPr>
                  <w:rPr>
                    <w:rFonts w:ascii="Museo Sans 300" w:hAnsi="Museo Sans 300" w:cs="Arial"/>
                    <w:color w:val="808080" w:themeColor="background1" w:themeShade="80"/>
                    <w:sz w:val="18"/>
                    <w:szCs w:val="18"/>
                  </w:rPr>
                  <w:id w:val="1542401350"/>
                  <w:docPartObj>
                    <w:docPartGallery w:val="Page Numbers (Top of Page)"/>
                    <w:docPartUnique/>
                  </w:docPartObj>
                </w:sdtPr>
                <w:sdtContent>
                  <w:r w:rsidR="009C24F4" w:rsidRPr="006A7AA3">
                    <w:rPr>
                      <w:rFonts w:ascii="Museo Sans 300" w:hAnsi="Museo Sans 300" w:cs="Arial"/>
                      <w:color w:val="808080" w:themeColor="background1" w:themeShade="80"/>
                      <w:sz w:val="18"/>
                      <w:szCs w:val="18"/>
                    </w:rPr>
                    <w:t xml:space="preserve">Página </w:t>
                  </w:r>
                  <w:r w:rsidRPr="006A7AA3">
                    <w:rPr>
                      <w:rFonts w:ascii="Museo Sans 300" w:hAnsi="Museo Sans 300" w:cs="Arial"/>
                      <w:color w:val="808080" w:themeColor="background1" w:themeShade="80"/>
                      <w:sz w:val="18"/>
                      <w:szCs w:val="18"/>
                    </w:rPr>
                    <w:fldChar w:fldCharType="begin"/>
                  </w:r>
                  <w:r w:rsidR="009C24F4" w:rsidRPr="006A7AA3">
                    <w:rPr>
                      <w:rFonts w:ascii="Museo Sans 300" w:hAnsi="Museo Sans 300" w:cs="Arial"/>
                      <w:color w:val="808080" w:themeColor="background1" w:themeShade="80"/>
                      <w:sz w:val="18"/>
                      <w:szCs w:val="18"/>
                    </w:rPr>
                    <w:instrText>PAGE</w:instrText>
                  </w:r>
                  <w:r w:rsidRPr="006A7AA3">
                    <w:rPr>
                      <w:rFonts w:ascii="Museo Sans 300" w:hAnsi="Museo Sans 300" w:cs="Arial"/>
                      <w:color w:val="808080" w:themeColor="background1" w:themeShade="80"/>
                      <w:sz w:val="18"/>
                      <w:szCs w:val="18"/>
                    </w:rPr>
                    <w:fldChar w:fldCharType="separate"/>
                  </w:r>
                  <w:r w:rsidR="005B7338">
                    <w:rPr>
                      <w:rFonts w:ascii="Museo Sans 300" w:hAnsi="Museo Sans 300" w:cs="Arial"/>
                      <w:noProof/>
                      <w:color w:val="808080" w:themeColor="background1" w:themeShade="80"/>
                      <w:sz w:val="18"/>
                      <w:szCs w:val="18"/>
                    </w:rPr>
                    <w:t>7</w:t>
                  </w:r>
                  <w:r w:rsidRPr="006A7AA3">
                    <w:rPr>
                      <w:rFonts w:ascii="Museo Sans 300" w:hAnsi="Museo Sans 300" w:cs="Arial"/>
                      <w:color w:val="808080" w:themeColor="background1" w:themeShade="80"/>
                      <w:sz w:val="18"/>
                      <w:szCs w:val="18"/>
                    </w:rPr>
                    <w:fldChar w:fldCharType="end"/>
                  </w:r>
                  <w:r w:rsidR="009C24F4" w:rsidRPr="006A7AA3">
                    <w:rPr>
                      <w:rFonts w:ascii="Museo Sans 300" w:hAnsi="Museo Sans 300" w:cs="Arial"/>
                      <w:color w:val="808080" w:themeColor="background1" w:themeShade="80"/>
                      <w:sz w:val="18"/>
                      <w:szCs w:val="18"/>
                    </w:rPr>
                    <w:t xml:space="preserve"> de </w:t>
                  </w:r>
                  <w:r w:rsidRPr="006A7AA3">
                    <w:rPr>
                      <w:rFonts w:ascii="Museo Sans 300" w:hAnsi="Museo Sans 300" w:cs="Arial"/>
                      <w:color w:val="808080" w:themeColor="background1" w:themeShade="80"/>
                      <w:sz w:val="18"/>
                      <w:szCs w:val="18"/>
                    </w:rPr>
                    <w:fldChar w:fldCharType="begin"/>
                  </w:r>
                  <w:r w:rsidR="009C24F4" w:rsidRPr="006A7AA3">
                    <w:rPr>
                      <w:rFonts w:ascii="Museo Sans 300" w:hAnsi="Museo Sans 300" w:cs="Arial"/>
                      <w:color w:val="808080" w:themeColor="background1" w:themeShade="80"/>
                      <w:sz w:val="18"/>
                      <w:szCs w:val="18"/>
                    </w:rPr>
                    <w:instrText>NUMPAGES</w:instrText>
                  </w:r>
                  <w:r w:rsidRPr="006A7AA3">
                    <w:rPr>
                      <w:rFonts w:ascii="Museo Sans 300" w:hAnsi="Museo Sans 300" w:cs="Arial"/>
                      <w:color w:val="808080" w:themeColor="background1" w:themeShade="80"/>
                      <w:sz w:val="18"/>
                      <w:szCs w:val="18"/>
                    </w:rPr>
                    <w:fldChar w:fldCharType="separate"/>
                  </w:r>
                  <w:r w:rsidR="005B7338">
                    <w:rPr>
                      <w:rFonts w:ascii="Museo Sans 300" w:hAnsi="Museo Sans 300" w:cs="Arial"/>
                      <w:noProof/>
                      <w:color w:val="808080" w:themeColor="background1" w:themeShade="80"/>
                      <w:sz w:val="18"/>
                      <w:szCs w:val="18"/>
                    </w:rPr>
                    <w:t>9</w:t>
                  </w:r>
                  <w:r w:rsidRPr="006A7AA3">
                    <w:rPr>
                      <w:rFonts w:ascii="Museo Sans 300" w:hAnsi="Museo Sans 300" w:cs="Arial"/>
                      <w:color w:val="808080" w:themeColor="background1" w:themeShade="80"/>
                      <w:sz w:val="18"/>
                      <w:szCs w:val="18"/>
                    </w:rPr>
                    <w:fldChar w:fldCharType="end"/>
                  </w:r>
                </w:sdtContent>
              </w:sdt>
            </w:sdtContent>
          </w:sdt>
        </w:p>
      </w:tc>
    </w:tr>
  </w:tbl>
  <w:p w:rsidR="009C24F4" w:rsidRDefault="009C24F4" w:rsidP="0029004F">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2FD6" w:rsidRDefault="00852FD6" w:rsidP="009C24F4">
      <w:r>
        <w:separator/>
      </w:r>
    </w:p>
    <w:p w:rsidR="00852FD6" w:rsidRDefault="00852FD6"/>
  </w:footnote>
  <w:footnote w:type="continuationSeparator" w:id="0">
    <w:p w:rsidR="00852FD6" w:rsidRDefault="00852FD6" w:rsidP="009C24F4">
      <w:r>
        <w:continuationSeparator/>
      </w:r>
    </w:p>
    <w:p w:rsidR="00852FD6" w:rsidRDefault="00852FD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1"/>
      <w:tblpPr w:leftFromText="141" w:rightFromText="141" w:horzAnchor="margin" w:tblpXSpec="center" w:tblpY="-645"/>
      <w:tblW w:w="10173"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tblPr>
    <w:tblGrid>
      <w:gridCol w:w="2122"/>
      <w:gridCol w:w="6350"/>
      <w:gridCol w:w="1701"/>
    </w:tblGrid>
    <w:tr w:rsidR="00712CB5" w:rsidRPr="00712CB5" w:rsidTr="0029004F">
      <w:trPr>
        <w:trHeight w:val="371"/>
      </w:trPr>
      <w:tc>
        <w:tcPr>
          <w:tcW w:w="2122"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rsidR="009E6F7F" w:rsidRPr="006A7AA3" w:rsidRDefault="009E6F7F" w:rsidP="009E6F7F">
          <w:pPr>
            <w:widowControl w:val="0"/>
            <w:tabs>
              <w:tab w:val="center" w:pos="4419"/>
              <w:tab w:val="right" w:pos="8838"/>
            </w:tabs>
            <w:jc w:val="center"/>
            <w:rPr>
              <w:rFonts w:ascii="Museo Sans 300" w:hAnsi="Museo Sans 300" w:cs="Arial"/>
              <w:color w:val="808080" w:themeColor="background1" w:themeShade="80"/>
              <w:sz w:val="18"/>
              <w:szCs w:val="18"/>
            </w:rPr>
          </w:pPr>
          <w:r w:rsidRPr="006A7AA3">
            <w:rPr>
              <w:rFonts w:ascii="Museo Sans 300" w:hAnsi="Museo Sans 300" w:cs="Arial"/>
              <w:color w:val="808080" w:themeColor="background1" w:themeShade="80"/>
              <w:sz w:val="18"/>
              <w:szCs w:val="18"/>
            </w:rPr>
            <w:t>CDSSF-15/2011</w:t>
          </w:r>
        </w:p>
      </w:tc>
      <w:tc>
        <w:tcPr>
          <w:tcW w:w="6350" w:type="dxa"/>
          <w:vMerge w:val="restart"/>
          <w:tcBorders>
            <w:top w:val="triple" w:sz="4" w:space="0" w:color="A6A6A6" w:themeColor="background1" w:themeShade="A6"/>
            <w:left w:val="triple" w:sz="4" w:space="0" w:color="A6A6A6" w:themeColor="background1" w:themeShade="A6"/>
            <w:right w:val="triple" w:sz="4" w:space="0" w:color="A6A6A6" w:themeColor="background1" w:themeShade="A6"/>
          </w:tcBorders>
          <w:vAlign w:val="center"/>
        </w:tcPr>
        <w:p w:rsidR="009E6F7F" w:rsidRPr="006A7AA3" w:rsidRDefault="009E6F7F" w:rsidP="00C35AE4">
          <w:pPr>
            <w:widowControl w:val="0"/>
            <w:tabs>
              <w:tab w:val="center" w:pos="4419"/>
              <w:tab w:val="right" w:pos="8838"/>
            </w:tabs>
            <w:jc w:val="center"/>
            <w:rPr>
              <w:rFonts w:ascii="Museo Sans 300" w:hAnsi="Museo Sans 300" w:cs="Arial"/>
              <w:color w:val="808080" w:themeColor="background1" w:themeShade="80"/>
              <w:sz w:val="18"/>
              <w:szCs w:val="18"/>
            </w:rPr>
          </w:pPr>
          <w:r w:rsidRPr="006A7AA3">
            <w:rPr>
              <w:rFonts w:ascii="Museo Sans 300" w:hAnsi="Museo Sans 300" w:cs="Arial"/>
              <w:color w:val="808080" w:themeColor="background1" w:themeShade="80"/>
              <w:sz w:val="18"/>
              <w:szCs w:val="18"/>
            </w:rPr>
            <w:t>NPB4-49</w:t>
          </w:r>
        </w:p>
        <w:p w:rsidR="009E6F7F" w:rsidRPr="00712CB5" w:rsidRDefault="009E6F7F" w:rsidP="00C35AE4">
          <w:pPr>
            <w:widowControl w:val="0"/>
            <w:tabs>
              <w:tab w:val="center" w:pos="4419"/>
              <w:tab w:val="right" w:pos="8838"/>
            </w:tabs>
            <w:jc w:val="center"/>
            <w:rPr>
              <w:rFonts w:ascii="Arial Narrow" w:hAnsi="Arial Narrow" w:cs="Arial"/>
              <w:color w:val="808080" w:themeColor="background1" w:themeShade="80"/>
              <w:sz w:val="20"/>
            </w:rPr>
          </w:pPr>
          <w:r w:rsidRPr="006A7AA3">
            <w:rPr>
              <w:rFonts w:ascii="Museo Sans 300" w:hAnsi="Museo Sans 300" w:cs="Arial"/>
              <w:color w:val="808080" w:themeColor="background1" w:themeShade="80"/>
              <w:sz w:val="18"/>
              <w:szCs w:val="18"/>
            </w:rPr>
            <w:t>NORMAS PARA</w:t>
          </w:r>
          <w:r w:rsidR="00DB2CE9" w:rsidRPr="006A7AA3">
            <w:rPr>
              <w:rFonts w:ascii="Museo Sans 300" w:hAnsi="Museo Sans 300" w:cs="Arial"/>
              <w:color w:val="808080" w:themeColor="background1" w:themeShade="80"/>
              <w:sz w:val="18"/>
              <w:szCs w:val="18"/>
            </w:rPr>
            <w:t xml:space="preserve"> </w:t>
          </w:r>
          <w:r w:rsidRPr="006A7AA3">
            <w:rPr>
              <w:rFonts w:ascii="Museo Sans 300" w:hAnsi="Museo Sans 300" w:cs="Arial"/>
              <w:color w:val="808080" w:themeColor="background1" w:themeShade="80"/>
              <w:sz w:val="18"/>
              <w:szCs w:val="18"/>
            </w:rPr>
            <w:t>LA GESTIÓN DEL RIESGO CREDITICIO Y DE CONCENTRACIÓN DE CRÉDITO</w:t>
          </w:r>
        </w:p>
      </w:tc>
      <w:tc>
        <w:tcPr>
          <w:tcW w:w="1701" w:type="dxa"/>
          <w:vMerge w:val="restart"/>
          <w:tcBorders>
            <w:top w:val="triple" w:sz="4" w:space="0" w:color="A6A6A6" w:themeColor="background1" w:themeShade="A6"/>
            <w:left w:val="triple" w:sz="4" w:space="0" w:color="A6A6A6" w:themeColor="background1" w:themeShade="A6"/>
            <w:right w:val="triple" w:sz="4" w:space="0" w:color="A6A6A6" w:themeColor="background1" w:themeShade="A6"/>
          </w:tcBorders>
        </w:tcPr>
        <w:p w:rsidR="009E6F7F" w:rsidRPr="006E6438" w:rsidRDefault="009E6F7F" w:rsidP="00C35AE4">
          <w:pPr>
            <w:widowControl w:val="0"/>
            <w:tabs>
              <w:tab w:val="center" w:pos="4419"/>
              <w:tab w:val="right" w:pos="8838"/>
            </w:tabs>
            <w:jc w:val="center"/>
            <w:rPr>
              <w:rFonts w:ascii="Arial Narrow" w:hAnsi="Arial Narrow" w:cs="Arial"/>
              <w:color w:val="808080" w:themeColor="background1" w:themeShade="80"/>
            </w:rPr>
          </w:pPr>
        </w:p>
        <w:p w:rsidR="009E6F7F" w:rsidRPr="006E6438" w:rsidRDefault="009E6F7F" w:rsidP="009E6F7F">
          <w:pPr>
            <w:rPr>
              <w:rFonts w:ascii="Arial Narrow" w:hAnsi="Arial Narrow" w:cs="Arial"/>
              <w:color w:val="808080" w:themeColor="background1" w:themeShade="80"/>
            </w:rPr>
          </w:pPr>
        </w:p>
        <w:p w:rsidR="009E6F7F" w:rsidRPr="006E6438" w:rsidRDefault="009E6F7F" w:rsidP="009E6F7F">
          <w:pPr>
            <w:rPr>
              <w:rFonts w:ascii="Arial Narrow" w:hAnsi="Arial Narrow" w:cs="Arial"/>
              <w:color w:val="808080" w:themeColor="background1" w:themeShade="80"/>
            </w:rPr>
          </w:pPr>
        </w:p>
        <w:p w:rsidR="009E6F7F" w:rsidRPr="006E6438" w:rsidRDefault="009E6F7F" w:rsidP="009E6F7F">
          <w:pPr>
            <w:rPr>
              <w:rFonts w:ascii="Arial Narrow" w:hAnsi="Arial Narrow" w:cs="Arial"/>
              <w:color w:val="808080" w:themeColor="background1" w:themeShade="80"/>
            </w:rPr>
          </w:pPr>
        </w:p>
      </w:tc>
    </w:tr>
    <w:tr w:rsidR="00712CB5" w:rsidRPr="00712CB5" w:rsidTr="0029004F">
      <w:trPr>
        <w:trHeight w:val="379"/>
      </w:trPr>
      <w:tc>
        <w:tcPr>
          <w:tcW w:w="2122"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rsidR="009E6F7F" w:rsidRPr="006A7AA3" w:rsidRDefault="009E6F7F" w:rsidP="009E6F7F">
          <w:pPr>
            <w:widowControl w:val="0"/>
            <w:tabs>
              <w:tab w:val="center" w:pos="4419"/>
              <w:tab w:val="right" w:pos="8838"/>
            </w:tabs>
            <w:jc w:val="center"/>
            <w:rPr>
              <w:rFonts w:ascii="Museo Sans 300" w:hAnsi="Museo Sans 300" w:cs="Arial"/>
              <w:color w:val="808080" w:themeColor="background1" w:themeShade="80"/>
              <w:sz w:val="18"/>
              <w:szCs w:val="18"/>
            </w:rPr>
          </w:pPr>
          <w:r w:rsidRPr="006A7AA3">
            <w:rPr>
              <w:rFonts w:ascii="Museo Sans 300" w:hAnsi="Museo Sans 300" w:cs="Arial"/>
              <w:color w:val="808080" w:themeColor="background1" w:themeShade="80"/>
              <w:sz w:val="18"/>
              <w:szCs w:val="18"/>
            </w:rPr>
            <w:t>Aprobación: 04/05/2011</w:t>
          </w:r>
        </w:p>
      </w:tc>
      <w:tc>
        <w:tcPr>
          <w:tcW w:w="6350" w:type="dxa"/>
          <w:vMerge/>
          <w:tcBorders>
            <w:left w:val="triple" w:sz="4" w:space="0" w:color="A6A6A6" w:themeColor="background1" w:themeShade="A6"/>
            <w:right w:val="triple" w:sz="4" w:space="0" w:color="A6A6A6" w:themeColor="background1" w:themeShade="A6"/>
          </w:tcBorders>
          <w:vAlign w:val="center"/>
          <w:hideMark/>
        </w:tcPr>
        <w:p w:rsidR="009E6F7F" w:rsidRPr="006E6438" w:rsidRDefault="009E6F7F" w:rsidP="00C35AE4">
          <w:pPr>
            <w:rPr>
              <w:rFonts w:ascii="Arial Narrow" w:hAnsi="Arial Narrow" w:cs="Arial"/>
              <w:color w:val="808080" w:themeColor="background1" w:themeShade="80"/>
              <w:szCs w:val="24"/>
            </w:rPr>
          </w:pPr>
        </w:p>
      </w:tc>
      <w:tc>
        <w:tcPr>
          <w:tcW w:w="1701" w:type="dxa"/>
          <w:vMerge/>
          <w:tcBorders>
            <w:left w:val="triple" w:sz="4" w:space="0" w:color="A6A6A6" w:themeColor="background1" w:themeShade="A6"/>
            <w:right w:val="triple" w:sz="4" w:space="0" w:color="A6A6A6" w:themeColor="background1" w:themeShade="A6"/>
          </w:tcBorders>
        </w:tcPr>
        <w:p w:rsidR="009E6F7F" w:rsidRPr="006E6438" w:rsidRDefault="009E6F7F" w:rsidP="00C35AE4">
          <w:pPr>
            <w:rPr>
              <w:rFonts w:ascii="Arial Narrow" w:hAnsi="Arial Narrow" w:cs="Arial"/>
              <w:color w:val="808080" w:themeColor="background1" w:themeShade="80"/>
              <w:szCs w:val="24"/>
            </w:rPr>
          </w:pPr>
        </w:p>
      </w:tc>
    </w:tr>
    <w:tr w:rsidR="00712CB5" w:rsidRPr="00712CB5" w:rsidTr="0029004F">
      <w:trPr>
        <w:trHeight w:val="372"/>
      </w:trPr>
      <w:tc>
        <w:tcPr>
          <w:tcW w:w="2122"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rsidR="009E6F7F" w:rsidRPr="006A7AA3" w:rsidRDefault="009E6F7F" w:rsidP="009E6F7F">
          <w:pPr>
            <w:widowControl w:val="0"/>
            <w:tabs>
              <w:tab w:val="center" w:pos="4419"/>
              <w:tab w:val="right" w:pos="8838"/>
            </w:tabs>
            <w:jc w:val="center"/>
            <w:rPr>
              <w:rFonts w:ascii="Museo Sans 300" w:hAnsi="Museo Sans 300" w:cs="Arial"/>
              <w:color w:val="808080" w:themeColor="background1" w:themeShade="80"/>
              <w:sz w:val="18"/>
              <w:szCs w:val="18"/>
            </w:rPr>
          </w:pPr>
          <w:r w:rsidRPr="006A7AA3">
            <w:rPr>
              <w:rFonts w:ascii="Museo Sans 300" w:hAnsi="Museo Sans 300" w:cs="Arial"/>
              <w:color w:val="808080" w:themeColor="background1" w:themeShade="80"/>
              <w:sz w:val="18"/>
              <w:szCs w:val="18"/>
            </w:rPr>
            <w:t>Vigencia: 01/06/2011</w:t>
          </w:r>
        </w:p>
      </w:tc>
      <w:tc>
        <w:tcPr>
          <w:tcW w:w="6350" w:type="dxa"/>
          <w:vMerge/>
          <w:tcBorders>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rsidR="009E6F7F" w:rsidRPr="006E6438" w:rsidRDefault="009E6F7F" w:rsidP="00C35AE4">
          <w:pPr>
            <w:rPr>
              <w:rFonts w:ascii="Arial Narrow" w:hAnsi="Arial Narrow" w:cs="Arial"/>
              <w:color w:val="808080" w:themeColor="background1" w:themeShade="80"/>
              <w:szCs w:val="24"/>
            </w:rPr>
          </w:pPr>
        </w:p>
      </w:tc>
      <w:tc>
        <w:tcPr>
          <w:tcW w:w="1701" w:type="dxa"/>
          <w:vMerge/>
          <w:tcBorders>
            <w:left w:val="triple" w:sz="4" w:space="0" w:color="A6A6A6" w:themeColor="background1" w:themeShade="A6"/>
            <w:bottom w:val="triple" w:sz="4" w:space="0" w:color="A6A6A6" w:themeColor="background1" w:themeShade="A6"/>
            <w:right w:val="triple" w:sz="4" w:space="0" w:color="A6A6A6" w:themeColor="background1" w:themeShade="A6"/>
          </w:tcBorders>
        </w:tcPr>
        <w:p w:rsidR="009E6F7F" w:rsidRPr="006E6438" w:rsidRDefault="009E6F7F" w:rsidP="00C35AE4">
          <w:pPr>
            <w:rPr>
              <w:rFonts w:ascii="Arial Narrow" w:hAnsi="Arial Narrow" w:cs="Arial"/>
              <w:color w:val="808080" w:themeColor="background1" w:themeShade="80"/>
              <w:szCs w:val="24"/>
            </w:rPr>
          </w:pPr>
        </w:p>
      </w:tc>
    </w:tr>
  </w:tbl>
  <w:p w:rsidR="00260C2E" w:rsidRDefault="00260C2E"/>
  <w:p w:rsidR="009C24F4" w:rsidRPr="00260C2E" w:rsidRDefault="009C24F4">
    <w:pPr>
      <w:pStyle w:val="Encabezado"/>
      <w:rPr>
        <w:sz w:val="20"/>
      </w:rPr>
    </w:pPr>
  </w:p>
  <w:p w:rsidR="00301EE8" w:rsidRPr="00260C2E" w:rsidRDefault="00301EE8">
    <w:pPr>
      <w:pStyle w:val="Encabezado"/>
      <w:rPr>
        <w:sz w:val="20"/>
      </w:rPr>
    </w:pPr>
  </w:p>
  <w:p w:rsidR="00301EE8" w:rsidRPr="00260C2E" w:rsidRDefault="00301EE8">
    <w:pPr>
      <w:pStyle w:val="Encabezado"/>
      <w:rPr>
        <w:sz w:val="20"/>
      </w:rPr>
    </w:pPr>
  </w:p>
  <w:p w:rsidR="00301EE8" w:rsidRPr="00260C2E" w:rsidRDefault="00301EE8">
    <w:pPr>
      <w:pStyle w:val="Encabezado"/>
      <w:rPr>
        <w:sz w:val="20"/>
      </w:rPr>
    </w:pPr>
  </w:p>
  <w:p w:rsidR="00301EE8" w:rsidRPr="00260C2E" w:rsidRDefault="00301EE8">
    <w:pPr>
      <w:pStyle w:val="Encabezado"/>
      <w:rPr>
        <w:sz w:val="20"/>
      </w:rPr>
    </w:pPr>
  </w:p>
  <w:p w:rsidR="00301EE8" w:rsidRPr="00260C2E" w:rsidRDefault="00301EE8">
    <w:pPr>
      <w:pStyle w:val="Encabezado"/>
      <w:rPr>
        <w:sz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6027F"/>
    <w:multiLevelType w:val="hybridMultilevel"/>
    <w:tmpl w:val="598827C6"/>
    <w:lvl w:ilvl="0" w:tplc="3C0AAA62">
      <w:start w:val="1"/>
      <w:numFmt w:val="lowerLetter"/>
      <w:lvlText w:val="%1)"/>
      <w:lvlJc w:val="left"/>
      <w:pPr>
        <w:tabs>
          <w:tab w:val="num" w:pos="720"/>
        </w:tabs>
        <w:ind w:left="720" w:hanging="360"/>
      </w:pPr>
      <w:rPr>
        <w:rFonts w:hint="default"/>
        <w:sz w:val="24"/>
        <w:szCs w:val="20"/>
      </w:rPr>
    </w:lvl>
    <w:lvl w:ilvl="1" w:tplc="E966B3FE">
      <w:start w:val="1"/>
      <w:numFmt w:val="lowerLetter"/>
      <w:lvlText w:val="%2)"/>
      <w:lvlJc w:val="left"/>
      <w:pPr>
        <w:tabs>
          <w:tab w:val="num" w:pos="1440"/>
        </w:tabs>
        <w:ind w:left="1440" w:hanging="360"/>
      </w:pPr>
      <w:rPr>
        <w:rFonts w:hint="default"/>
        <w:sz w:val="20"/>
        <w:szCs w:val="2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15F3615"/>
    <w:multiLevelType w:val="hybridMultilevel"/>
    <w:tmpl w:val="C142904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5EF5777"/>
    <w:multiLevelType w:val="hybridMultilevel"/>
    <w:tmpl w:val="7BC246AA"/>
    <w:lvl w:ilvl="0" w:tplc="0C0A000F">
      <w:start w:val="1"/>
      <w:numFmt w:val="decimal"/>
      <w:lvlText w:val="%1."/>
      <w:lvlJc w:val="left"/>
      <w:pPr>
        <w:tabs>
          <w:tab w:val="num" w:pos="720"/>
        </w:tabs>
        <w:ind w:left="720" w:hanging="360"/>
      </w:pPr>
    </w:lvl>
    <w:lvl w:ilvl="1" w:tplc="444813FE">
      <w:start w:val="1"/>
      <w:numFmt w:val="lowerLetter"/>
      <w:lvlText w:val="%2)"/>
      <w:lvlJc w:val="left"/>
      <w:pPr>
        <w:tabs>
          <w:tab w:val="num" w:pos="1440"/>
        </w:tabs>
        <w:ind w:left="1440" w:hanging="360"/>
      </w:pPr>
      <w:rPr>
        <w:rFonts w:hint="default"/>
        <w:sz w:val="24"/>
        <w:szCs w:val="2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A8F44C1"/>
    <w:multiLevelType w:val="hybridMultilevel"/>
    <w:tmpl w:val="337A3E62"/>
    <w:lvl w:ilvl="0" w:tplc="95AEB22A">
      <w:start w:val="1"/>
      <w:numFmt w:val="lowerLetter"/>
      <w:lvlText w:val="%1)"/>
      <w:lvlJc w:val="left"/>
      <w:pPr>
        <w:ind w:left="720" w:hanging="360"/>
      </w:pPr>
      <w:rPr>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D2201ED"/>
    <w:multiLevelType w:val="hybridMultilevel"/>
    <w:tmpl w:val="26D8861E"/>
    <w:lvl w:ilvl="0" w:tplc="D15A0F2C">
      <w:start w:val="1"/>
      <w:numFmt w:val="lowerLetter"/>
      <w:lvlText w:val="%1)"/>
      <w:lvlJc w:val="left"/>
      <w:pPr>
        <w:tabs>
          <w:tab w:val="num" w:pos="1065"/>
        </w:tabs>
        <w:ind w:left="1065" w:hanging="360"/>
      </w:pPr>
      <w:rPr>
        <w:rFonts w:hint="default"/>
        <w:sz w:val="24"/>
        <w:szCs w:val="24"/>
      </w:rPr>
    </w:lvl>
    <w:lvl w:ilvl="1" w:tplc="C5A00D36">
      <w:start w:val="1"/>
      <w:numFmt w:val="lowerRoman"/>
      <w:lvlText w:val="%2."/>
      <w:lvlJc w:val="left"/>
      <w:pPr>
        <w:ind w:left="1800" w:hanging="720"/>
      </w:pPr>
      <w:rPr>
        <w:rFonts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100B2474"/>
    <w:multiLevelType w:val="hybridMultilevel"/>
    <w:tmpl w:val="4992B7E0"/>
    <w:lvl w:ilvl="0" w:tplc="A6160A1C">
      <w:start w:val="1"/>
      <w:numFmt w:val="lowerLetter"/>
      <w:lvlText w:val="%1)"/>
      <w:lvlJc w:val="left"/>
      <w:pPr>
        <w:tabs>
          <w:tab w:val="num" w:pos="1440"/>
        </w:tabs>
        <w:ind w:left="1440" w:hanging="360"/>
      </w:pPr>
      <w:rPr>
        <w:rFonts w:hint="default"/>
        <w:sz w:val="24"/>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DE0F69"/>
    <w:multiLevelType w:val="hybridMultilevel"/>
    <w:tmpl w:val="6206EF28"/>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80065E9"/>
    <w:multiLevelType w:val="hybridMultilevel"/>
    <w:tmpl w:val="8ADCA904"/>
    <w:lvl w:ilvl="0" w:tplc="5CB88602">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
    <w:nsid w:val="189C5B79"/>
    <w:multiLevelType w:val="hybridMultilevel"/>
    <w:tmpl w:val="3E188E6E"/>
    <w:lvl w:ilvl="0" w:tplc="8794C0EA">
      <w:start w:val="1"/>
      <w:numFmt w:val="lowerLetter"/>
      <w:lvlText w:val="%1)"/>
      <w:lvlJc w:val="left"/>
      <w:pPr>
        <w:ind w:left="720" w:hanging="360"/>
      </w:pPr>
      <w:rPr>
        <w:rFonts w:hint="default"/>
        <w:sz w:val="24"/>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8F80E2B"/>
    <w:multiLevelType w:val="hybridMultilevel"/>
    <w:tmpl w:val="8B468AEA"/>
    <w:lvl w:ilvl="0" w:tplc="440A0017">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
    <w:nsid w:val="1C2330B4"/>
    <w:multiLevelType w:val="hybridMultilevel"/>
    <w:tmpl w:val="D298C9D0"/>
    <w:lvl w:ilvl="0" w:tplc="B92E8866">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1">
    <w:nsid w:val="1F4B3ED7"/>
    <w:multiLevelType w:val="hybridMultilevel"/>
    <w:tmpl w:val="0A662B40"/>
    <w:lvl w:ilvl="0" w:tplc="87122592">
      <w:start w:val="1"/>
      <w:numFmt w:val="lowerRoman"/>
      <w:lvlText w:val="%1)"/>
      <w:lvlJc w:val="left"/>
      <w:pPr>
        <w:tabs>
          <w:tab w:val="num" w:pos="1413"/>
        </w:tabs>
        <w:ind w:left="1413" w:hanging="705"/>
      </w:pPr>
      <w:rPr>
        <w:rFonts w:ascii="Arial Narrow" w:eastAsia="Times New Roman" w:hAnsi="Arial Narrow" w:cs="Times New Roman" w:hint="default"/>
      </w:rPr>
    </w:lvl>
    <w:lvl w:ilvl="1" w:tplc="CE3A0F84">
      <w:start w:val="1"/>
      <w:numFmt w:val="lowerRoman"/>
      <w:lvlText w:val="%2)"/>
      <w:lvlJc w:val="left"/>
      <w:pPr>
        <w:ind w:left="2148" w:hanging="720"/>
      </w:pPr>
      <w:rPr>
        <w:rFonts w:hint="default"/>
      </w:r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2">
    <w:nsid w:val="25347884"/>
    <w:multiLevelType w:val="hybridMultilevel"/>
    <w:tmpl w:val="22CC74CA"/>
    <w:lvl w:ilvl="0" w:tplc="ECA2BDCE">
      <w:start w:val="1"/>
      <w:numFmt w:val="lowerLetter"/>
      <w:lvlText w:val="%1)"/>
      <w:lvlJc w:val="left"/>
      <w:pPr>
        <w:tabs>
          <w:tab w:val="num" w:pos="720"/>
        </w:tabs>
        <w:ind w:left="720" w:hanging="360"/>
      </w:pPr>
      <w:rPr>
        <w:rFonts w:hint="default"/>
        <w:sz w:val="24"/>
        <w:szCs w:val="20"/>
      </w:rPr>
    </w:lvl>
    <w:lvl w:ilvl="1" w:tplc="E966B3FE">
      <w:start w:val="1"/>
      <w:numFmt w:val="lowerLetter"/>
      <w:lvlText w:val="%2)"/>
      <w:lvlJc w:val="left"/>
      <w:pPr>
        <w:tabs>
          <w:tab w:val="num" w:pos="1440"/>
        </w:tabs>
        <w:ind w:left="1440" w:hanging="360"/>
      </w:pPr>
      <w:rPr>
        <w:rFonts w:hint="default"/>
        <w:sz w:val="20"/>
        <w:szCs w:val="2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254907E6"/>
    <w:multiLevelType w:val="hybridMultilevel"/>
    <w:tmpl w:val="4E602BFC"/>
    <w:lvl w:ilvl="0" w:tplc="DBC46F12">
      <w:start w:val="1"/>
      <w:numFmt w:val="lowerLetter"/>
      <w:lvlText w:val="%1."/>
      <w:lvlJc w:val="left"/>
      <w:pPr>
        <w:tabs>
          <w:tab w:val="num" w:pos="1440"/>
        </w:tabs>
        <w:ind w:left="1440" w:hanging="360"/>
      </w:pPr>
      <w:rPr>
        <w:rFonts w:ascii="Times New Roman" w:eastAsia="Times New Roman" w:hAnsi="Times New Roman" w:hint="default"/>
      </w:rPr>
    </w:lvl>
    <w:lvl w:ilvl="1" w:tplc="440A0017">
      <w:start w:val="1"/>
      <w:numFmt w:val="lowerLetter"/>
      <w:lvlText w:val="%2)"/>
      <w:lvlJc w:val="left"/>
      <w:pPr>
        <w:ind w:left="6881"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76E5EFA"/>
    <w:multiLevelType w:val="hybridMultilevel"/>
    <w:tmpl w:val="7EFE5DA8"/>
    <w:lvl w:ilvl="0" w:tplc="90E88148">
      <w:start w:val="1"/>
      <w:numFmt w:val="lowerLetter"/>
      <w:lvlText w:val="%1)"/>
      <w:lvlJc w:val="left"/>
      <w:pPr>
        <w:tabs>
          <w:tab w:val="num" w:pos="1065"/>
        </w:tabs>
        <w:ind w:left="1065" w:hanging="360"/>
      </w:pPr>
      <w:rPr>
        <w:rFonts w:hint="default"/>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299F03EA"/>
    <w:multiLevelType w:val="hybridMultilevel"/>
    <w:tmpl w:val="CE6C7B00"/>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2AC345AD"/>
    <w:multiLevelType w:val="hybridMultilevel"/>
    <w:tmpl w:val="93664B26"/>
    <w:lvl w:ilvl="0" w:tplc="B9706BEA">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7">
    <w:nsid w:val="2C627215"/>
    <w:multiLevelType w:val="hybridMultilevel"/>
    <w:tmpl w:val="5CDA9538"/>
    <w:lvl w:ilvl="0" w:tplc="ECCABCF4">
      <w:start w:val="1"/>
      <w:numFmt w:val="lowerLetter"/>
      <w:lvlText w:val="%1)"/>
      <w:lvlJc w:val="left"/>
      <w:pPr>
        <w:ind w:left="1429" w:hanging="360"/>
      </w:pPr>
      <w:rPr>
        <w:rFonts w:hint="default"/>
        <w:sz w:val="24"/>
        <w:szCs w:val="20"/>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8">
    <w:nsid w:val="2F56440D"/>
    <w:multiLevelType w:val="hybridMultilevel"/>
    <w:tmpl w:val="C67AC49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325E0332"/>
    <w:multiLevelType w:val="hybridMultilevel"/>
    <w:tmpl w:val="84705714"/>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363C56E4"/>
    <w:multiLevelType w:val="hybridMultilevel"/>
    <w:tmpl w:val="2FC4C3A8"/>
    <w:lvl w:ilvl="0" w:tplc="78F84396">
      <w:start w:val="4"/>
      <w:numFmt w:val="upperLetter"/>
      <w:lvlText w:val="%1."/>
      <w:lvlJc w:val="left"/>
      <w:pPr>
        <w:ind w:left="1068" w:hanging="360"/>
      </w:pPr>
      <w:rPr>
        <w:rFonts w:hint="default"/>
      </w:rPr>
    </w:lvl>
    <w:lvl w:ilvl="1" w:tplc="D15A0F2C">
      <w:start w:val="1"/>
      <w:numFmt w:val="lowerLetter"/>
      <w:lvlText w:val="%2)"/>
      <w:lvlJc w:val="left"/>
      <w:pPr>
        <w:tabs>
          <w:tab w:val="num" w:pos="1788"/>
        </w:tabs>
        <w:ind w:left="1788" w:hanging="360"/>
      </w:pPr>
      <w:rPr>
        <w:rFonts w:hint="default"/>
        <w:sz w:val="24"/>
        <w:szCs w:val="24"/>
      </w:r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
    <w:nsid w:val="36D67F94"/>
    <w:multiLevelType w:val="hybridMultilevel"/>
    <w:tmpl w:val="40AA1640"/>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38375F80"/>
    <w:multiLevelType w:val="hybridMultilevel"/>
    <w:tmpl w:val="35D6A16E"/>
    <w:lvl w:ilvl="0" w:tplc="983A821E">
      <w:start w:val="1"/>
      <w:numFmt w:val="lowerLetter"/>
      <w:lvlText w:val="%1)"/>
      <w:lvlJc w:val="left"/>
      <w:pPr>
        <w:tabs>
          <w:tab w:val="num" w:pos="1440"/>
        </w:tabs>
        <w:ind w:left="1440" w:hanging="360"/>
      </w:pPr>
      <w:rPr>
        <w:rFonts w:hint="default"/>
        <w:sz w:val="24"/>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3B393078"/>
    <w:multiLevelType w:val="hybridMultilevel"/>
    <w:tmpl w:val="06320024"/>
    <w:lvl w:ilvl="0" w:tplc="731EB3F4">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3B765A2F"/>
    <w:multiLevelType w:val="hybridMultilevel"/>
    <w:tmpl w:val="0032D9B8"/>
    <w:lvl w:ilvl="0" w:tplc="080A001B">
      <w:start w:val="1"/>
      <w:numFmt w:val="lowerRoman"/>
      <w:lvlText w:val="%1."/>
      <w:lvlJc w:val="right"/>
      <w:pPr>
        <w:ind w:left="1854" w:hanging="360"/>
      </w:p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25">
    <w:nsid w:val="3F821157"/>
    <w:multiLevelType w:val="hybridMultilevel"/>
    <w:tmpl w:val="C7164426"/>
    <w:lvl w:ilvl="0" w:tplc="E544E84C">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6AA1B7A"/>
    <w:multiLevelType w:val="hybridMultilevel"/>
    <w:tmpl w:val="0B423D08"/>
    <w:lvl w:ilvl="0" w:tplc="E458A208">
      <w:start w:val="1"/>
      <w:numFmt w:val="lowerLetter"/>
      <w:lvlText w:val="%1)"/>
      <w:lvlJc w:val="left"/>
      <w:pPr>
        <w:ind w:left="720" w:hanging="360"/>
      </w:pPr>
      <w:rPr>
        <w:rFonts w:hint="default"/>
        <w:b/>
        <w:i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4BE25610"/>
    <w:multiLevelType w:val="hybridMultilevel"/>
    <w:tmpl w:val="D82C89C0"/>
    <w:lvl w:ilvl="0" w:tplc="04090017">
      <w:start w:val="1"/>
      <w:numFmt w:val="lowerLetter"/>
      <w:lvlText w:val="%1)"/>
      <w:lvlJc w:val="left"/>
      <w:pPr>
        <w:ind w:left="1287" w:hanging="360"/>
      </w:p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28">
    <w:nsid w:val="4C1469BB"/>
    <w:multiLevelType w:val="hybridMultilevel"/>
    <w:tmpl w:val="01882EDC"/>
    <w:lvl w:ilvl="0" w:tplc="1A2EB650">
      <w:start w:val="1"/>
      <w:numFmt w:val="lowerLetter"/>
      <w:lvlText w:val="%1)"/>
      <w:lvlJc w:val="lef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4DA31A9E"/>
    <w:multiLevelType w:val="hybridMultilevel"/>
    <w:tmpl w:val="01882EDC"/>
    <w:lvl w:ilvl="0" w:tplc="1A2EB650">
      <w:start w:val="1"/>
      <w:numFmt w:val="lowerLetter"/>
      <w:lvlText w:val="%1)"/>
      <w:lvlJc w:val="lef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556E2F29"/>
    <w:multiLevelType w:val="hybridMultilevel"/>
    <w:tmpl w:val="F5CADC0C"/>
    <w:lvl w:ilvl="0" w:tplc="72D6E954">
      <w:start w:val="1"/>
      <w:numFmt w:val="lowerLetter"/>
      <w:lvlText w:val="%1)"/>
      <w:lvlJc w:val="left"/>
      <w:pPr>
        <w:tabs>
          <w:tab w:val="num" w:pos="1068"/>
        </w:tabs>
        <w:ind w:left="1068" w:hanging="36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31">
    <w:nsid w:val="58CB36E4"/>
    <w:multiLevelType w:val="hybridMultilevel"/>
    <w:tmpl w:val="F730B29C"/>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2">
    <w:nsid w:val="5B7C797E"/>
    <w:multiLevelType w:val="hybridMultilevel"/>
    <w:tmpl w:val="40E2A978"/>
    <w:lvl w:ilvl="0" w:tplc="0C0A0017">
      <w:start w:val="1"/>
      <w:numFmt w:val="lowerLetter"/>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3">
    <w:nsid w:val="5B853CAD"/>
    <w:multiLevelType w:val="hybridMultilevel"/>
    <w:tmpl w:val="0A34F01E"/>
    <w:lvl w:ilvl="0" w:tplc="74E03650">
      <w:start w:val="1"/>
      <w:numFmt w:val="decimal"/>
      <w:pStyle w:val="TDC1"/>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09C0152"/>
    <w:multiLevelType w:val="hybridMultilevel"/>
    <w:tmpl w:val="D3168632"/>
    <w:lvl w:ilvl="0" w:tplc="8EB43C8C">
      <w:start w:val="1"/>
      <w:numFmt w:val="lowerLetter"/>
      <w:lvlText w:val="%1)"/>
      <w:lvlJc w:val="left"/>
      <w:pPr>
        <w:tabs>
          <w:tab w:val="num" w:pos="720"/>
        </w:tabs>
        <w:ind w:left="720" w:hanging="360"/>
      </w:pPr>
      <w:rPr>
        <w:rFonts w:hint="default"/>
        <w:sz w:val="24"/>
        <w:szCs w:val="20"/>
      </w:rPr>
    </w:lvl>
    <w:lvl w:ilvl="1" w:tplc="0C0A0019" w:tentative="1">
      <w:start w:val="1"/>
      <w:numFmt w:val="lowerLetter"/>
      <w:lvlText w:val="%2."/>
      <w:lvlJc w:val="left"/>
      <w:pPr>
        <w:tabs>
          <w:tab w:val="num" w:pos="720"/>
        </w:tabs>
        <w:ind w:left="720" w:hanging="360"/>
      </w:pPr>
    </w:lvl>
    <w:lvl w:ilvl="2" w:tplc="0C0A001B" w:tentative="1">
      <w:start w:val="1"/>
      <w:numFmt w:val="lowerRoman"/>
      <w:lvlText w:val="%3."/>
      <w:lvlJc w:val="right"/>
      <w:pPr>
        <w:tabs>
          <w:tab w:val="num" w:pos="1440"/>
        </w:tabs>
        <w:ind w:left="1440" w:hanging="180"/>
      </w:pPr>
    </w:lvl>
    <w:lvl w:ilvl="3" w:tplc="0C0A000F" w:tentative="1">
      <w:start w:val="1"/>
      <w:numFmt w:val="decimal"/>
      <w:lvlText w:val="%4."/>
      <w:lvlJc w:val="left"/>
      <w:pPr>
        <w:tabs>
          <w:tab w:val="num" w:pos="2160"/>
        </w:tabs>
        <w:ind w:left="2160" w:hanging="360"/>
      </w:pPr>
    </w:lvl>
    <w:lvl w:ilvl="4" w:tplc="0C0A0019" w:tentative="1">
      <w:start w:val="1"/>
      <w:numFmt w:val="lowerLetter"/>
      <w:lvlText w:val="%5."/>
      <w:lvlJc w:val="left"/>
      <w:pPr>
        <w:tabs>
          <w:tab w:val="num" w:pos="2880"/>
        </w:tabs>
        <w:ind w:left="2880" w:hanging="360"/>
      </w:pPr>
    </w:lvl>
    <w:lvl w:ilvl="5" w:tplc="0C0A001B" w:tentative="1">
      <w:start w:val="1"/>
      <w:numFmt w:val="lowerRoman"/>
      <w:lvlText w:val="%6."/>
      <w:lvlJc w:val="right"/>
      <w:pPr>
        <w:tabs>
          <w:tab w:val="num" w:pos="3600"/>
        </w:tabs>
        <w:ind w:left="3600" w:hanging="180"/>
      </w:pPr>
    </w:lvl>
    <w:lvl w:ilvl="6" w:tplc="0C0A000F" w:tentative="1">
      <w:start w:val="1"/>
      <w:numFmt w:val="decimal"/>
      <w:lvlText w:val="%7."/>
      <w:lvlJc w:val="left"/>
      <w:pPr>
        <w:tabs>
          <w:tab w:val="num" w:pos="4320"/>
        </w:tabs>
        <w:ind w:left="4320" w:hanging="360"/>
      </w:pPr>
    </w:lvl>
    <w:lvl w:ilvl="7" w:tplc="0C0A0019" w:tentative="1">
      <w:start w:val="1"/>
      <w:numFmt w:val="lowerLetter"/>
      <w:lvlText w:val="%8."/>
      <w:lvlJc w:val="left"/>
      <w:pPr>
        <w:tabs>
          <w:tab w:val="num" w:pos="5040"/>
        </w:tabs>
        <w:ind w:left="5040" w:hanging="360"/>
      </w:pPr>
    </w:lvl>
    <w:lvl w:ilvl="8" w:tplc="0C0A001B" w:tentative="1">
      <w:start w:val="1"/>
      <w:numFmt w:val="lowerRoman"/>
      <w:lvlText w:val="%9."/>
      <w:lvlJc w:val="right"/>
      <w:pPr>
        <w:tabs>
          <w:tab w:val="num" w:pos="5760"/>
        </w:tabs>
        <w:ind w:left="5760" w:hanging="180"/>
      </w:pPr>
    </w:lvl>
  </w:abstractNum>
  <w:abstractNum w:abstractNumId="35">
    <w:nsid w:val="62646ABA"/>
    <w:multiLevelType w:val="hybridMultilevel"/>
    <w:tmpl w:val="688E80E0"/>
    <w:lvl w:ilvl="0" w:tplc="080A0011">
      <w:start w:val="1"/>
      <w:numFmt w:val="decimal"/>
      <w:lvlText w:val="%1)"/>
      <w:lvlJc w:val="left"/>
      <w:pPr>
        <w:ind w:left="720" w:hanging="360"/>
      </w:pPr>
    </w:lvl>
    <w:lvl w:ilvl="1" w:tplc="E544E84C">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360249A"/>
    <w:multiLevelType w:val="hybridMultilevel"/>
    <w:tmpl w:val="F730B29C"/>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7">
    <w:nsid w:val="66EA5A3E"/>
    <w:multiLevelType w:val="hybridMultilevel"/>
    <w:tmpl w:val="7206F060"/>
    <w:lvl w:ilvl="0" w:tplc="E544E84C">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7D52378"/>
    <w:multiLevelType w:val="hybridMultilevel"/>
    <w:tmpl w:val="DA929132"/>
    <w:lvl w:ilvl="0" w:tplc="E544E84C">
      <w:start w:val="1"/>
      <w:numFmt w:val="lowerLetter"/>
      <w:lvlText w:val="%1)"/>
      <w:lvlJc w:val="left"/>
      <w:pPr>
        <w:ind w:left="720" w:hanging="360"/>
      </w:pPr>
      <w:rPr>
        <w:rFonts w:hint="default"/>
      </w:rPr>
    </w:lvl>
    <w:lvl w:ilvl="1" w:tplc="080A001B">
      <w:start w:val="1"/>
      <w:numFmt w:val="lowerRoman"/>
      <w:lvlText w:val="%2."/>
      <w:lvlJc w:val="righ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68857459"/>
    <w:multiLevelType w:val="hybridMultilevel"/>
    <w:tmpl w:val="7206F060"/>
    <w:lvl w:ilvl="0" w:tplc="E544E84C">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68D509C3"/>
    <w:multiLevelType w:val="hybridMultilevel"/>
    <w:tmpl w:val="1BE80AB2"/>
    <w:lvl w:ilvl="0" w:tplc="E966B3FE">
      <w:start w:val="1"/>
      <w:numFmt w:val="lowerLetter"/>
      <w:lvlText w:val="%1)"/>
      <w:lvlJc w:val="left"/>
      <w:pPr>
        <w:ind w:left="720" w:hanging="360"/>
      </w:pPr>
      <w:rPr>
        <w:rFonts w:hint="default"/>
        <w:sz w:val="20"/>
        <w:szCs w:val="20"/>
      </w:rPr>
    </w:lvl>
    <w:lvl w:ilvl="1" w:tplc="D354CBCE">
      <w:start w:val="1"/>
      <w:numFmt w:val="lowerLetter"/>
      <w:lvlText w:val="%2)"/>
      <w:lvlJc w:val="left"/>
      <w:pPr>
        <w:ind w:left="1440" w:hanging="360"/>
      </w:pPr>
      <w:rPr>
        <w:rFonts w:ascii="Arial Narrow" w:eastAsia="Times New Roman" w:hAnsi="Arial Narrow" w:cs="Times New Roman"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nsid w:val="69150FFD"/>
    <w:multiLevelType w:val="hybridMultilevel"/>
    <w:tmpl w:val="7206F060"/>
    <w:lvl w:ilvl="0" w:tplc="E544E84C">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69B051DA"/>
    <w:multiLevelType w:val="hybridMultilevel"/>
    <w:tmpl w:val="F730B29C"/>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3">
    <w:nsid w:val="6D2C02C2"/>
    <w:multiLevelType w:val="hybridMultilevel"/>
    <w:tmpl w:val="7206F060"/>
    <w:lvl w:ilvl="0" w:tplc="E544E84C">
      <w:start w:val="1"/>
      <w:numFmt w:val="lowerLetter"/>
      <w:lvlText w:val="%1)"/>
      <w:lvlJc w:val="left"/>
      <w:pPr>
        <w:ind w:left="7023" w:hanging="360"/>
      </w:pPr>
      <w:rPr>
        <w:rFonts w:hint="default"/>
      </w:rPr>
    </w:lvl>
    <w:lvl w:ilvl="1" w:tplc="080A0019">
      <w:start w:val="1"/>
      <w:numFmt w:val="lowerLetter"/>
      <w:lvlText w:val="%2."/>
      <w:lvlJc w:val="left"/>
      <w:pPr>
        <w:ind w:left="7743" w:hanging="360"/>
      </w:pPr>
    </w:lvl>
    <w:lvl w:ilvl="2" w:tplc="080A001B" w:tentative="1">
      <w:start w:val="1"/>
      <w:numFmt w:val="lowerRoman"/>
      <w:lvlText w:val="%3."/>
      <w:lvlJc w:val="right"/>
      <w:pPr>
        <w:ind w:left="8463" w:hanging="180"/>
      </w:pPr>
    </w:lvl>
    <w:lvl w:ilvl="3" w:tplc="080A000F" w:tentative="1">
      <w:start w:val="1"/>
      <w:numFmt w:val="decimal"/>
      <w:lvlText w:val="%4."/>
      <w:lvlJc w:val="left"/>
      <w:pPr>
        <w:ind w:left="9183" w:hanging="360"/>
      </w:pPr>
    </w:lvl>
    <w:lvl w:ilvl="4" w:tplc="080A0019" w:tentative="1">
      <w:start w:val="1"/>
      <w:numFmt w:val="lowerLetter"/>
      <w:lvlText w:val="%5."/>
      <w:lvlJc w:val="left"/>
      <w:pPr>
        <w:ind w:left="9903" w:hanging="360"/>
      </w:pPr>
    </w:lvl>
    <w:lvl w:ilvl="5" w:tplc="080A001B" w:tentative="1">
      <w:start w:val="1"/>
      <w:numFmt w:val="lowerRoman"/>
      <w:lvlText w:val="%6."/>
      <w:lvlJc w:val="right"/>
      <w:pPr>
        <w:ind w:left="10623" w:hanging="180"/>
      </w:pPr>
    </w:lvl>
    <w:lvl w:ilvl="6" w:tplc="080A000F" w:tentative="1">
      <w:start w:val="1"/>
      <w:numFmt w:val="decimal"/>
      <w:lvlText w:val="%7."/>
      <w:lvlJc w:val="left"/>
      <w:pPr>
        <w:ind w:left="11343" w:hanging="360"/>
      </w:pPr>
    </w:lvl>
    <w:lvl w:ilvl="7" w:tplc="080A0019" w:tentative="1">
      <w:start w:val="1"/>
      <w:numFmt w:val="lowerLetter"/>
      <w:lvlText w:val="%8."/>
      <w:lvlJc w:val="left"/>
      <w:pPr>
        <w:ind w:left="12063" w:hanging="360"/>
      </w:pPr>
    </w:lvl>
    <w:lvl w:ilvl="8" w:tplc="080A001B" w:tentative="1">
      <w:start w:val="1"/>
      <w:numFmt w:val="lowerRoman"/>
      <w:lvlText w:val="%9."/>
      <w:lvlJc w:val="right"/>
      <w:pPr>
        <w:ind w:left="12783" w:hanging="180"/>
      </w:pPr>
    </w:lvl>
  </w:abstractNum>
  <w:abstractNum w:abstractNumId="44">
    <w:nsid w:val="6D5E7720"/>
    <w:multiLevelType w:val="hybridMultilevel"/>
    <w:tmpl w:val="960E370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5">
    <w:nsid w:val="71063A6D"/>
    <w:multiLevelType w:val="hybridMultilevel"/>
    <w:tmpl w:val="6206EF2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71C320E7"/>
    <w:multiLevelType w:val="hybridMultilevel"/>
    <w:tmpl w:val="0220C912"/>
    <w:lvl w:ilvl="0" w:tplc="0C0A0019">
      <w:start w:val="1"/>
      <w:numFmt w:val="lowerLetter"/>
      <w:lvlText w:val="%1."/>
      <w:lvlJc w:val="left"/>
      <w:pPr>
        <w:ind w:left="144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75965502"/>
    <w:multiLevelType w:val="hybridMultilevel"/>
    <w:tmpl w:val="C6EA96A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
    <w:nsid w:val="790E5F72"/>
    <w:multiLevelType w:val="hybridMultilevel"/>
    <w:tmpl w:val="9AF8A50E"/>
    <w:lvl w:ilvl="0" w:tplc="015A4E86">
      <w:start w:val="1"/>
      <w:numFmt w:val="upperLetter"/>
      <w:lvlText w:val="%1."/>
      <w:lvlJc w:val="left"/>
      <w:pPr>
        <w:tabs>
          <w:tab w:val="num" w:pos="1068"/>
        </w:tabs>
        <w:ind w:left="1068" w:hanging="360"/>
      </w:pPr>
      <w:rPr>
        <w:rFonts w:hint="default"/>
        <w:b/>
      </w:rPr>
    </w:lvl>
    <w:lvl w:ilvl="1" w:tplc="B284FF18">
      <w:start w:val="1"/>
      <w:numFmt w:val="lowerLetter"/>
      <w:lvlText w:val="%2)"/>
      <w:lvlJc w:val="left"/>
      <w:pPr>
        <w:ind w:left="1788" w:hanging="360"/>
      </w:pPr>
      <w:rPr>
        <w:rFonts w:hint="default"/>
      </w:r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49">
    <w:nsid w:val="79A175D5"/>
    <w:multiLevelType w:val="hybridMultilevel"/>
    <w:tmpl w:val="315E4576"/>
    <w:lvl w:ilvl="0" w:tplc="8D0217E4">
      <w:start w:val="1"/>
      <w:numFmt w:val="lowerLetter"/>
      <w:lvlText w:val="%1)"/>
      <w:lvlJc w:val="left"/>
      <w:pPr>
        <w:ind w:left="720" w:hanging="360"/>
      </w:pPr>
      <w:rPr>
        <w:rFonts w:hint="default"/>
        <w:b w:val="0"/>
        <w:i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3"/>
  </w:num>
  <w:num w:numId="2">
    <w:abstractNumId w:val="45"/>
  </w:num>
  <w:num w:numId="3">
    <w:abstractNumId w:val="6"/>
  </w:num>
  <w:num w:numId="4">
    <w:abstractNumId w:val="35"/>
  </w:num>
  <w:num w:numId="5">
    <w:abstractNumId w:val="1"/>
  </w:num>
  <w:num w:numId="6">
    <w:abstractNumId w:val="25"/>
  </w:num>
  <w:num w:numId="7">
    <w:abstractNumId w:val="37"/>
  </w:num>
  <w:num w:numId="8">
    <w:abstractNumId w:val="41"/>
  </w:num>
  <w:num w:numId="9">
    <w:abstractNumId w:val="38"/>
  </w:num>
  <w:num w:numId="10">
    <w:abstractNumId w:val="31"/>
  </w:num>
  <w:num w:numId="11">
    <w:abstractNumId w:val="42"/>
  </w:num>
  <w:num w:numId="12">
    <w:abstractNumId w:val="36"/>
  </w:num>
  <w:num w:numId="13">
    <w:abstractNumId w:val="39"/>
  </w:num>
  <w:num w:numId="14">
    <w:abstractNumId w:val="43"/>
  </w:num>
  <w:num w:numId="15">
    <w:abstractNumId w:val="23"/>
  </w:num>
  <w:num w:numId="16">
    <w:abstractNumId w:val="10"/>
  </w:num>
  <w:num w:numId="17">
    <w:abstractNumId w:val="44"/>
  </w:num>
  <w:num w:numId="18">
    <w:abstractNumId w:val="30"/>
  </w:num>
  <w:num w:numId="19">
    <w:abstractNumId w:val="48"/>
  </w:num>
  <w:num w:numId="20">
    <w:abstractNumId w:val="20"/>
  </w:num>
  <w:num w:numId="21">
    <w:abstractNumId w:val="4"/>
  </w:num>
  <w:num w:numId="22">
    <w:abstractNumId w:val="11"/>
  </w:num>
  <w:num w:numId="23">
    <w:abstractNumId w:val="19"/>
  </w:num>
  <w:num w:numId="24">
    <w:abstractNumId w:val="21"/>
  </w:num>
  <w:num w:numId="25">
    <w:abstractNumId w:val="18"/>
  </w:num>
  <w:num w:numId="26">
    <w:abstractNumId w:val="46"/>
  </w:num>
  <w:num w:numId="27">
    <w:abstractNumId w:val="3"/>
  </w:num>
  <w:num w:numId="28">
    <w:abstractNumId w:val="7"/>
  </w:num>
  <w:num w:numId="29">
    <w:abstractNumId w:val="27"/>
  </w:num>
  <w:num w:numId="30">
    <w:abstractNumId w:val="29"/>
  </w:num>
  <w:num w:numId="31">
    <w:abstractNumId w:val="47"/>
  </w:num>
  <w:num w:numId="32">
    <w:abstractNumId w:val="17"/>
  </w:num>
  <w:num w:numId="33">
    <w:abstractNumId w:val="8"/>
  </w:num>
  <w:num w:numId="34">
    <w:abstractNumId w:val="28"/>
  </w:num>
  <w:num w:numId="35">
    <w:abstractNumId w:val="22"/>
  </w:num>
  <w:num w:numId="36">
    <w:abstractNumId w:val="13"/>
  </w:num>
  <w:num w:numId="37">
    <w:abstractNumId w:val="2"/>
  </w:num>
  <w:num w:numId="38">
    <w:abstractNumId w:val="0"/>
  </w:num>
  <w:num w:numId="39">
    <w:abstractNumId w:val="40"/>
  </w:num>
  <w:num w:numId="40">
    <w:abstractNumId w:val="12"/>
  </w:num>
  <w:num w:numId="41">
    <w:abstractNumId w:val="34"/>
  </w:num>
  <w:num w:numId="42">
    <w:abstractNumId w:val="49"/>
  </w:num>
  <w:num w:numId="43">
    <w:abstractNumId w:val="5"/>
  </w:num>
  <w:num w:numId="44">
    <w:abstractNumId w:val="24"/>
  </w:num>
  <w:num w:numId="45">
    <w:abstractNumId w:val="15"/>
  </w:num>
  <w:num w:numId="46">
    <w:abstractNumId w:val="9"/>
  </w:num>
  <w:num w:numId="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2"/>
  </w:num>
  <w:num w:numId="49">
    <w:abstractNumId w:val="16"/>
  </w:num>
  <w:num w:numId="50">
    <w:abstractNumId w:val="26"/>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proofState w:spelling="clean" w:grammar="clean"/>
  <w:defaultTabStop w:val="708"/>
  <w:hyphenationZone w:val="425"/>
  <w:characterSpacingControl w:val="doNotCompress"/>
  <w:footnotePr>
    <w:footnote w:id="-1"/>
    <w:footnote w:id="0"/>
  </w:footnotePr>
  <w:endnotePr>
    <w:endnote w:id="-1"/>
    <w:endnote w:id="0"/>
  </w:endnotePr>
  <w:compat/>
  <w:rsids>
    <w:rsidRoot w:val="009C24F4"/>
    <w:rsid w:val="00006D61"/>
    <w:rsid w:val="00077519"/>
    <w:rsid w:val="000B73A8"/>
    <w:rsid w:val="00101175"/>
    <w:rsid w:val="00117510"/>
    <w:rsid w:val="001313E8"/>
    <w:rsid w:val="0016721E"/>
    <w:rsid w:val="001A4B86"/>
    <w:rsid w:val="001F3A0F"/>
    <w:rsid w:val="00240049"/>
    <w:rsid w:val="00260C2E"/>
    <w:rsid w:val="0029004F"/>
    <w:rsid w:val="002B3539"/>
    <w:rsid w:val="002D34B5"/>
    <w:rsid w:val="002D42E5"/>
    <w:rsid w:val="00301EE8"/>
    <w:rsid w:val="00302C99"/>
    <w:rsid w:val="00335000"/>
    <w:rsid w:val="00340BB6"/>
    <w:rsid w:val="0036048D"/>
    <w:rsid w:val="00363B92"/>
    <w:rsid w:val="00377D65"/>
    <w:rsid w:val="003C7795"/>
    <w:rsid w:val="00442488"/>
    <w:rsid w:val="00445B10"/>
    <w:rsid w:val="00450958"/>
    <w:rsid w:val="00490136"/>
    <w:rsid w:val="00492D79"/>
    <w:rsid w:val="004C5488"/>
    <w:rsid w:val="004D064C"/>
    <w:rsid w:val="00505D5F"/>
    <w:rsid w:val="0051706B"/>
    <w:rsid w:val="005219CF"/>
    <w:rsid w:val="00530E93"/>
    <w:rsid w:val="00535344"/>
    <w:rsid w:val="00535FF7"/>
    <w:rsid w:val="005A3D18"/>
    <w:rsid w:val="005B3E08"/>
    <w:rsid w:val="005B7338"/>
    <w:rsid w:val="00612866"/>
    <w:rsid w:val="006505C9"/>
    <w:rsid w:val="00692E21"/>
    <w:rsid w:val="006A7AA3"/>
    <w:rsid w:val="006B1D36"/>
    <w:rsid w:val="006D32E4"/>
    <w:rsid w:val="006D68A0"/>
    <w:rsid w:val="006E6438"/>
    <w:rsid w:val="006F3F2B"/>
    <w:rsid w:val="00712CB5"/>
    <w:rsid w:val="0074197B"/>
    <w:rsid w:val="00757132"/>
    <w:rsid w:val="007645B0"/>
    <w:rsid w:val="00775E1C"/>
    <w:rsid w:val="00780749"/>
    <w:rsid w:val="007852BA"/>
    <w:rsid w:val="007B2F42"/>
    <w:rsid w:val="007E2C9E"/>
    <w:rsid w:val="00820781"/>
    <w:rsid w:val="008263D9"/>
    <w:rsid w:val="00842DC2"/>
    <w:rsid w:val="00851B52"/>
    <w:rsid w:val="00852FD6"/>
    <w:rsid w:val="00855E5F"/>
    <w:rsid w:val="0086330B"/>
    <w:rsid w:val="008703CA"/>
    <w:rsid w:val="008716F9"/>
    <w:rsid w:val="00890039"/>
    <w:rsid w:val="008E1704"/>
    <w:rsid w:val="00941C7C"/>
    <w:rsid w:val="00961DFF"/>
    <w:rsid w:val="00983BE8"/>
    <w:rsid w:val="00993790"/>
    <w:rsid w:val="009C031D"/>
    <w:rsid w:val="009C24F4"/>
    <w:rsid w:val="009E1151"/>
    <w:rsid w:val="009E6F7F"/>
    <w:rsid w:val="00A35670"/>
    <w:rsid w:val="00A37694"/>
    <w:rsid w:val="00A570B9"/>
    <w:rsid w:val="00A720F4"/>
    <w:rsid w:val="00AB0720"/>
    <w:rsid w:val="00AC4A44"/>
    <w:rsid w:val="00AC604B"/>
    <w:rsid w:val="00AE6E9C"/>
    <w:rsid w:val="00B0396A"/>
    <w:rsid w:val="00B4275B"/>
    <w:rsid w:val="00B7019F"/>
    <w:rsid w:val="00B745D2"/>
    <w:rsid w:val="00BF0178"/>
    <w:rsid w:val="00C00742"/>
    <w:rsid w:val="00C27B33"/>
    <w:rsid w:val="00C40A5E"/>
    <w:rsid w:val="00C53658"/>
    <w:rsid w:val="00C61EFC"/>
    <w:rsid w:val="00C75427"/>
    <w:rsid w:val="00C80C1F"/>
    <w:rsid w:val="00CE43AE"/>
    <w:rsid w:val="00D109A1"/>
    <w:rsid w:val="00D23C16"/>
    <w:rsid w:val="00D353C0"/>
    <w:rsid w:val="00D36754"/>
    <w:rsid w:val="00D40C22"/>
    <w:rsid w:val="00DB2CE9"/>
    <w:rsid w:val="00E1361D"/>
    <w:rsid w:val="00E444F9"/>
    <w:rsid w:val="00E44E3F"/>
    <w:rsid w:val="00E95617"/>
    <w:rsid w:val="00EB5F24"/>
    <w:rsid w:val="00EE5756"/>
    <w:rsid w:val="00F42398"/>
    <w:rsid w:val="00F46820"/>
    <w:rsid w:val="00F83B92"/>
    <w:rsid w:val="00F97EBB"/>
    <w:rsid w:val="00FB052D"/>
    <w:rsid w:val="00FB2505"/>
    <w:rsid w:val="00FC7155"/>
    <w:rsid w:val="00FD4D1B"/>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C2E"/>
    <w:pPr>
      <w:spacing w:after="0" w:line="240" w:lineRule="auto"/>
    </w:pPr>
    <w:rPr>
      <w:rFonts w:ascii="Arial" w:eastAsia="Times New Roman" w:hAnsi="Arial" w:cs="Times New Roman"/>
      <w:sz w:val="24"/>
      <w:szCs w:val="20"/>
      <w:lang w:val="es-ES_tradnl" w:eastAsia="es-ES"/>
    </w:rPr>
  </w:style>
  <w:style w:type="paragraph" w:styleId="Ttulo1">
    <w:name w:val="heading 1"/>
    <w:basedOn w:val="Normal"/>
    <w:next w:val="Normal"/>
    <w:link w:val="Ttulo1Car"/>
    <w:qFormat/>
    <w:rsid w:val="00AE6E9C"/>
    <w:pPr>
      <w:keepNext/>
      <w:jc w:val="both"/>
      <w:outlineLvl w:val="0"/>
    </w:pPr>
    <w:rPr>
      <w:rFonts w:ascii="Times New Roman" w:hAnsi="Times New Roman"/>
      <w:b/>
      <w:lang w:val="es-GT"/>
    </w:rPr>
  </w:style>
  <w:style w:type="paragraph" w:styleId="Ttulo2">
    <w:name w:val="heading 2"/>
    <w:basedOn w:val="Normal"/>
    <w:next w:val="Normal"/>
    <w:link w:val="Ttulo2Car"/>
    <w:qFormat/>
    <w:rsid w:val="008703CA"/>
    <w:pPr>
      <w:keepNext/>
      <w:widowControl w:val="0"/>
      <w:spacing w:line="480" w:lineRule="auto"/>
      <w:jc w:val="both"/>
      <w:outlineLvl w:val="1"/>
    </w:pPr>
    <w:rPr>
      <w:rFonts w:ascii="Verdana" w:hAnsi="Verdana"/>
      <w:b/>
      <w:snapToGrid w:val="0"/>
    </w:rPr>
  </w:style>
  <w:style w:type="paragraph" w:styleId="Ttulo3">
    <w:name w:val="heading 3"/>
    <w:basedOn w:val="Normal"/>
    <w:next w:val="Normal"/>
    <w:link w:val="Ttulo3Car"/>
    <w:qFormat/>
    <w:rsid w:val="00AE6E9C"/>
    <w:pPr>
      <w:keepNext/>
      <w:ind w:firstLine="708"/>
      <w:jc w:val="both"/>
      <w:outlineLvl w:val="2"/>
    </w:pPr>
    <w:rPr>
      <w:b/>
      <w:lang w:val="es-GT"/>
    </w:rPr>
  </w:style>
  <w:style w:type="paragraph" w:styleId="Ttulo4">
    <w:name w:val="heading 4"/>
    <w:basedOn w:val="Normal"/>
    <w:next w:val="Normal"/>
    <w:link w:val="Ttulo4Car"/>
    <w:uiPriority w:val="9"/>
    <w:semiHidden/>
    <w:unhideWhenUsed/>
    <w:qFormat/>
    <w:rsid w:val="00260C2E"/>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260C2E"/>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6D68A0"/>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6D68A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E6E9C"/>
    <w:rPr>
      <w:rFonts w:ascii="Times New Roman" w:eastAsia="Times New Roman" w:hAnsi="Times New Roman" w:cs="Times New Roman"/>
      <w:b/>
      <w:sz w:val="24"/>
      <w:szCs w:val="20"/>
      <w:lang w:val="es-GT" w:eastAsia="es-ES"/>
    </w:rPr>
  </w:style>
  <w:style w:type="character" w:customStyle="1" w:styleId="Ttulo3Car">
    <w:name w:val="Título 3 Car"/>
    <w:basedOn w:val="Fuentedeprrafopredeter"/>
    <w:link w:val="Ttulo3"/>
    <w:rsid w:val="00AE6E9C"/>
    <w:rPr>
      <w:rFonts w:ascii="Arial" w:eastAsia="Times New Roman" w:hAnsi="Arial" w:cs="Times New Roman"/>
      <w:b/>
      <w:sz w:val="24"/>
      <w:szCs w:val="20"/>
      <w:lang w:val="es-GT" w:eastAsia="es-ES"/>
    </w:rPr>
  </w:style>
  <w:style w:type="paragraph" w:styleId="Sinespaciado">
    <w:name w:val="No Spacing"/>
    <w:uiPriority w:val="1"/>
    <w:qFormat/>
    <w:rsid w:val="00AE6E9C"/>
    <w:pPr>
      <w:spacing w:after="0" w:line="240" w:lineRule="auto"/>
    </w:pPr>
    <w:rPr>
      <w:rFonts w:ascii="Calibri" w:eastAsia="Times New Roman" w:hAnsi="Calibri" w:cs="Times New Roman"/>
      <w:vertAlign w:val="superscript"/>
      <w:lang w:val="es-SV"/>
    </w:rPr>
  </w:style>
  <w:style w:type="paragraph" w:styleId="Prrafodelista">
    <w:name w:val="List Paragraph"/>
    <w:basedOn w:val="Normal"/>
    <w:link w:val="PrrafodelistaCar"/>
    <w:uiPriority w:val="34"/>
    <w:qFormat/>
    <w:rsid w:val="00AE6E9C"/>
    <w:pPr>
      <w:ind w:left="708"/>
    </w:pPr>
  </w:style>
  <w:style w:type="character" w:customStyle="1" w:styleId="PrrafodelistaCar">
    <w:name w:val="Párrafo de lista Car"/>
    <w:basedOn w:val="Fuentedeprrafopredeter"/>
    <w:link w:val="Prrafodelista"/>
    <w:uiPriority w:val="34"/>
    <w:rsid w:val="00AE6E9C"/>
    <w:rPr>
      <w:rFonts w:ascii="Arial" w:eastAsia="Times New Roman" w:hAnsi="Arial" w:cs="Times New Roman"/>
      <w:sz w:val="24"/>
      <w:szCs w:val="20"/>
      <w:lang w:val="es-ES_tradnl" w:eastAsia="es-ES"/>
    </w:rPr>
  </w:style>
  <w:style w:type="paragraph" w:styleId="TDC1">
    <w:name w:val="toc 1"/>
    <w:basedOn w:val="Normal"/>
    <w:next w:val="Normal"/>
    <w:autoRedefine/>
    <w:uiPriority w:val="39"/>
    <w:unhideWhenUsed/>
    <w:qFormat/>
    <w:rsid w:val="00AE6E9C"/>
    <w:pPr>
      <w:numPr>
        <w:numId w:val="1"/>
      </w:numPr>
      <w:tabs>
        <w:tab w:val="right" w:leader="dot" w:pos="8830"/>
      </w:tabs>
      <w:spacing w:after="100"/>
    </w:pPr>
    <w:rPr>
      <w:rFonts w:eastAsiaTheme="minorEastAsia"/>
      <w:lang w:val="es-MX" w:eastAsia="es-MX"/>
    </w:rPr>
  </w:style>
  <w:style w:type="paragraph" w:styleId="TDC2">
    <w:name w:val="toc 2"/>
    <w:basedOn w:val="Normal"/>
    <w:next w:val="Normal"/>
    <w:autoRedefine/>
    <w:uiPriority w:val="39"/>
    <w:semiHidden/>
    <w:unhideWhenUsed/>
    <w:qFormat/>
    <w:rsid w:val="00AE6E9C"/>
    <w:pPr>
      <w:spacing w:after="100"/>
      <w:ind w:left="220"/>
    </w:pPr>
    <w:rPr>
      <w:rFonts w:eastAsiaTheme="minorEastAsia"/>
      <w:lang w:val="es-MX" w:eastAsia="es-MX"/>
    </w:rPr>
  </w:style>
  <w:style w:type="paragraph" w:styleId="TDC3">
    <w:name w:val="toc 3"/>
    <w:basedOn w:val="Normal"/>
    <w:next w:val="Normal"/>
    <w:autoRedefine/>
    <w:uiPriority w:val="39"/>
    <w:semiHidden/>
    <w:unhideWhenUsed/>
    <w:qFormat/>
    <w:rsid w:val="00AE6E9C"/>
    <w:pPr>
      <w:spacing w:after="100"/>
      <w:ind w:left="440"/>
    </w:pPr>
    <w:rPr>
      <w:rFonts w:eastAsiaTheme="minorEastAsia"/>
      <w:lang w:val="es-MX" w:eastAsia="es-MX"/>
    </w:rPr>
  </w:style>
  <w:style w:type="paragraph" w:styleId="TtulodeTDC">
    <w:name w:val="TOC Heading"/>
    <w:basedOn w:val="Ttulo1"/>
    <w:next w:val="Normal"/>
    <w:uiPriority w:val="39"/>
    <w:semiHidden/>
    <w:unhideWhenUsed/>
    <w:qFormat/>
    <w:rsid w:val="00AE6E9C"/>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lang w:val="es-MX" w:eastAsia="es-MX"/>
    </w:rPr>
  </w:style>
  <w:style w:type="paragraph" w:customStyle="1" w:styleId="Default">
    <w:name w:val="Default"/>
    <w:rsid w:val="009C24F4"/>
    <w:pPr>
      <w:autoSpaceDE w:val="0"/>
      <w:autoSpaceDN w:val="0"/>
      <w:adjustRightInd w:val="0"/>
      <w:spacing w:after="0" w:line="240" w:lineRule="auto"/>
    </w:pPr>
    <w:rPr>
      <w:rFonts w:ascii="Arial" w:hAnsi="Arial" w:cs="Arial"/>
      <w:color w:val="000000"/>
      <w:sz w:val="24"/>
      <w:szCs w:val="24"/>
      <w:lang w:val="es-CL"/>
    </w:rPr>
  </w:style>
  <w:style w:type="paragraph" w:styleId="Encabezado">
    <w:name w:val="header"/>
    <w:basedOn w:val="Normal"/>
    <w:link w:val="EncabezadoCar"/>
    <w:uiPriority w:val="99"/>
    <w:unhideWhenUsed/>
    <w:rsid w:val="009C24F4"/>
    <w:pPr>
      <w:tabs>
        <w:tab w:val="center" w:pos="4419"/>
        <w:tab w:val="right" w:pos="8838"/>
      </w:tabs>
    </w:pPr>
  </w:style>
  <w:style w:type="character" w:customStyle="1" w:styleId="EncabezadoCar">
    <w:name w:val="Encabezado Car"/>
    <w:basedOn w:val="Fuentedeprrafopredeter"/>
    <w:link w:val="Encabezado"/>
    <w:uiPriority w:val="99"/>
    <w:rsid w:val="009C24F4"/>
    <w:rPr>
      <w:lang w:val="es-SV"/>
    </w:rPr>
  </w:style>
  <w:style w:type="paragraph" w:styleId="Piedepgina">
    <w:name w:val="footer"/>
    <w:basedOn w:val="Normal"/>
    <w:link w:val="PiedepginaCar"/>
    <w:unhideWhenUsed/>
    <w:rsid w:val="009C24F4"/>
    <w:pPr>
      <w:tabs>
        <w:tab w:val="center" w:pos="4419"/>
        <w:tab w:val="right" w:pos="8838"/>
      </w:tabs>
    </w:pPr>
  </w:style>
  <w:style w:type="character" w:customStyle="1" w:styleId="PiedepginaCar">
    <w:name w:val="Pie de página Car"/>
    <w:basedOn w:val="Fuentedeprrafopredeter"/>
    <w:link w:val="Piedepgina"/>
    <w:rsid w:val="009C24F4"/>
    <w:rPr>
      <w:lang w:val="es-SV"/>
    </w:rPr>
  </w:style>
  <w:style w:type="table" w:customStyle="1" w:styleId="Tablaconcuadrcula1">
    <w:name w:val="Tabla con cuadrícula1"/>
    <w:basedOn w:val="Tablanormal"/>
    <w:uiPriority w:val="59"/>
    <w:rsid w:val="009C24F4"/>
    <w:pPr>
      <w:spacing w:after="0" w:line="240" w:lineRule="auto"/>
    </w:pPr>
    <w:rPr>
      <w:rFonts w:ascii="Calibri" w:eastAsia="Times New Roman" w:hAnsi="Calibri" w:cs="Times New Roman"/>
      <w:sz w:val="20"/>
      <w:szCs w:val="20"/>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C24F4"/>
    <w:rPr>
      <w:rFonts w:ascii="Tahoma" w:hAnsi="Tahoma" w:cs="Tahoma"/>
      <w:sz w:val="16"/>
      <w:szCs w:val="16"/>
    </w:rPr>
  </w:style>
  <w:style w:type="character" w:customStyle="1" w:styleId="TextodegloboCar">
    <w:name w:val="Texto de globo Car"/>
    <w:basedOn w:val="Fuentedeprrafopredeter"/>
    <w:link w:val="Textodeglobo"/>
    <w:uiPriority w:val="99"/>
    <w:semiHidden/>
    <w:rsid w:val="009C24F4"/>
    <w:rPr>
      <w:rFonts w:ascii="Tahoma" w:hAnsi="Tahoma" w:cs="Tahoma"/>
      <w:sz w:val="16"/>
      <w:szCs w:val="16"/>
      <w:lang w:val="es-SV"/>
    </w:rPr>
  </w:style>
  <w:style w:type="paragraph" w:customStyle="1" w:styleId="0AcapiteIN">
    <w:name w:val="0. Acapite IN"/>
    <w:basedOn w:val="Epgrafe"/>
    <w:link w:val="0AcapiteINCar"/>
    <w:qFormat/>
    <w:rsid w:val="000B73A8"/>
    <w:pPr>
      <w:widowControl w:val="0"/>
      <w:jc w:val="center"/>
    </w:pPr>
    <w:rPr>
      <w:rFonts w:ascii="Arial Narrow" w:eastAsiaTheme="majorEastAsia" w:hAnsi="Arial Narrow"/>
      <w:bCs w:val="0"/>
      <w:noProof/>
      <w:snapToGrid w:val="0"/>
      <w:color w:val="auto"/>
      <w:sz w:val="24"/>
      <w:szCs w:val="20"/>
      <w:lang w:val="es-ES"/>
    </w:rPr>
  </w:style>
  <w:style w:type="paragraph" w:customStyle="1" w:styleId="1luegodel">
    <w:name w:val="1. luego del :"/>
    <w:basedOn w:val="Normal"/>
    <w:link w:val="1luegodelCar"/>
    <w:qFormat/>
    <w:rsid w:val="000B73A8"/>
    <w:pPr>
      <w:spacing w:after="120"/>
      <w:jc w:val="both"/>
    </w:pPr>
    <w:rPr>
      <w:rFonts w:ascii="Arial Narrow" w:eastAsiaTheme="majorEastAsia" w:hAnsi="Arial Narrow" w:cstheme="majorBidi"/>
      <w:iCs/>
      <w:noProof/>
      <w:color w:val="000000" w:themeColor="text1"/>
      <w:szCs w:val="24"/>
      <w:lang w:eastAsia="es-MX"/>
    </w:rPr>
  </w:style>
  <w:style w:type="character" w:customStyle="1" w:styleId="0AcapiteINCar">
    <w:name w:val="0. Acapite IN Car"/>
    <w:basedOn w:val="Fuentedeprrafopredeter"/>
    <w:link w:val="0AcapiteIN"/>
    <w:rsid w:val="000B73A8"/>
    <w:rPr>
      <w:rFonts w:ascii="Arial Narrow" w:eastAsiaTheme="majorEastAsia" w:hAnsi="Arial Narrow" w:cs="Times New Roman"/>
      <w:b/>
      <w:noProof/>
      <w:snapToGrid w:val="0"/>
      <w:sz w:val="24"/>
      <w:szCs w:val="20"/>
      <w:lang w:val="es-ES" w:eastAsia="es-ES"/>
    </w:rPr>
  </w:style>
  <w:style w:type="paragraph" w:customStyle="1" w:styleId="2nivel1">
    <w:name w:val="2.nivel 1"/>
    <w:basedOn w:val="Normal"/>
    <w:link w:val="2nivel1Car"/>
    <w:qFormat/>
    <w:rsid w:val="000B73A8"/>
    <w:pPr>
      <w:ind w:left="425" w:hanging="425"/>
      <w:jc w:val="both"/>
    </w:pPr>
    <w:rPr>
      <w:rFonts w:ascii="Arial Narrow" w:eastAsiaTheme="majorEastAsia" w:hAnsi="Arial Narrow" w:cstheme="majorBidi"/>
      <w:iCs/>
      <w:noProof/>
      <w:color w:val="000000" w:themeColor="text1"/>
      <w:szCs w:val="24"/>
      <w:lang w:eastAsia="es-MX"/>
    </w:rPr>
  </w:style>
  <w:style w:type="character" w:customStyle="1" w:styleId="1luegodelCar">
    <w:name w:val="1. luego del : Car"/>
    <w:basedOn w:val="Fuentedeprrafopredeter"/>
    <w:link w:val="1luegodel"/>
    <w:rsid w:val="000B73A8"/>
    <w:rPr>
      <w:rFonts w:ascii="Arial Narrow" w:eastAsiaTheme="majorEastAsia" w:hAnsi="Arial Narrow" w:cstheme="majorBidi"/>
      <w:iCs/>
      <w:noProof/>
      <w:color w:val="000000" w:themeColor="text1"/>
      <w:sz w:val="24"/>
      <w:szCs w:val="24"/>
      <w:lang w:val="es-SV" w:eastAsia="es-MX"/>
    </w:rPr>
  </w:style>
  <w:style w:type="character" w:customStyle="1" w:styleId="2nivel1Car">
    <w:name w:val="2.nivel 1 Car"/>
    <w:basedOn w:val="Fuentedeprrafopredeter"/>
    <w:link w:val="2nivel1"/>
    <w:rsid w:val="000B73A8"/>
    <w:rPr>
      <w:rFonts w:ascii="Arial Narrow" w:eastAsiaTheme="majorEastAsia" w:hAnsi="Arial Narrow" w:cstheme="majorBidi"/>
      <w:iCs/>
      <w:noProof/>
      <w:color w:val="000000" w:themeColor="text1"/>
      <w:sz w:val="24"/>
      <w:szCs w:val="24"/>
      <w:lang w:val="es-SV" w:eastAsia="es-MX"/>
    </w:rPr>
  </w:style>
  <w:style w:type="paragraph" w:styleId="Epgrafe">
    <w:name w:val="caption"/>
    <w:basedOn w:val="Normal"/>
    <w:next w:val="Normal"/>
    <w:uiPriority w:val="35"/>
    <w:semiHidden/>
    <w:unhideWhenUsed/>
    <w:qFormat/>
    <w:rsid w:val="000B73A8"/>
    <w:rPr>
      <w:b/>
      <w:bCs/>
      <w:color w:val="4F81BD" w:themeColor="accent1"/>
      <w:sz w:val="18"/>
      <w:szCs w:val="18"/>
    </w:rPr>
  </w:style>
  <w:style w:type="paragraph" w:styleId="Textoindependiente">
    <w:name w:val="Body Text"/>
    <w:basedOn w:val="Normal"/>
    <w:link w:val="TextoindependienteCar"/>
    <w:qFormat/>
    <w:rsid w:val="009E1151"/>
    <w:pPr>
      <w:jc w:val="both"/>
    </w:pPr>
    <w:rPr>
      <w:rFonts w:ascii="Times New Roman" w:hAnsi="Times New Roman"/>
      <w:lang w:val="es-GT"/>
    </w:rPr>
  </w:style>
  <w:style w:type="character" w:customStyle="1" w:styleId="TextoindependienteCar">
    <w:name w:val="Texto independiente Car"/>
    <w:basedOn w:val="Fuentedeprrafopredeter"/>
    <w:link w:val="Textoindependiente"/>
    <w:rsid w:val="009E1151"/>
    <w:rPr>
      <w:rFonts w:ascii="Times New Roman" w:eastAsia="Times New Roman" w:hAnsi="Times New Roman" w:cs="Times New Roman"/>
      <w:sz w:val="24"/>
      <w:szCs w:val="20"/>
      <w:lang w:val="es-GT" w:eastAsia="es-ES"/>
    </w:rPr>
  </w:style>
  <w:style w:type="table" w:styleId="Tablaconcuadrcula">
    <w:name w:val="Table Grid"/>
    <w:basedOn w:val="Tablanormal"/>
    <w:uiPriority w:val="59"/>
    <w:rsid w:val="009E11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uiPriority w:val="99"/>
    <w:semiHidden/>
    <w:unhideWhenUsed/>
    <w:rsid w:val="008703CA"/>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8703CA"/>
    <w:rPr>
      <w:sz w:val="16"/>
      <w:szCs w:val="16"/>
      <w:lang w:val="es-SV"/>
    </w:rPr>
  </w:style>
  <w:style w:type="paragraph" w:styleId="Sangra2detindependiente">
    <w:name w:val="Body Text Indent 2"/>
    <w:basedOn w:val="Normal"/>
    <w:link w:val="Sangra2detindependienteCar"/>
    <w:uiPriority w:val="99"/>
    <w:semiHidden/>
    <w:unhideWhenUsed/>
    <w:rsid w:val="008703C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8703CA"/>
    <w:rPr>
      <w:lang w:val="es-SV"/>
    </w:rPr>
  </w:style>
  <w:style w:type="paragraph" w:styleId="Textoindependiente2">
    <w:name w:val="Body Text 2"/>
    <w:basedOn w:val="Normal"/>
    <w:link w:val="Textoindependiente2Car"/>
    <w:uiPriority w:val="99"/>
    <w:unhideWhenUsed/>
    <w:rsid w:val="008703CA"/>
    <w:pPr>
      <w:spacing w:after="120" w:line="480" w:lineRule="auto"/>
    </w:pPr>
  </w:style>
  <w:style w:type="character" w:customStyle="1" w:styleId="Textoindependiente2Car">
    <w:name w:val="Texto independiente 2 Car"/>
    <w:basedOn w:val="Fuentedeprrafopredeter"/>
    <w:link w:val="Textoindependiente2"/>
    <w:uiPriority w:val="99"/>
    <w:rsid w:val="008703CA"/>
    <w:rPr>
      <w:lang w:val="es-SV"/>
    </w:rPr>
  </w:style>
  <w:style w:type="paragraph" w:styleId="Sangradetextonormal">
    <w:name w:val="Body Text Indent"/>
    <w:basedOn w:val="Normal"/>
    <w:link w:val="SangradetextonormalCar"/>
    <w:uiPriority w:val="99"/>
    <w:semiHidden/>
    <w:unhideWhenUsed/>
    <w:rsid w:val="008703CA"/>
    <w:pPr>
      <w:spacing w:after="120"/>
      <w:ind w:left="283"/>
    </w:pPr>
  </w:style>
  <w:style w:type="character" w:customStyle="1" w:styleId="SangradetextonormalCar">
    <w:name w:val="Sangría de texto normal Car"/>
    <w:basedOn w:val="Fuentedeprrafopredeter"/>
    <w:link w:val="Sangradetextonormal"/>
    <w:uiPriority w:val="99"/>
    <w:semiHidden/>
    <w:rsid w:val="008703CA"/>
    <w:rPr>
      <w:lang w:val="es-SV"/>
    </w:rPr>
  </w:style>
  <w:style w:type="character" w:customStyle="1" w:styleId="Ttulo2Car">
    <w:name w:val="Título 2 Car"/>
    <w:basedOn w:val="Fuentedeprrafopredeter"/>
    <w:link w:val="Ttulo2"/>
    <w:rsid w:val="008703CA"/>
    <w:rPr>
      <w:rFonts w:ascii="Verdana" w:eastAsia="Times New Roman" w:hAnsi="Verdana" w:cs="Times New Roman"/>
      <w:b/>
      <w:snapToGrid w:val="0"/>
      <w:sz w:val="24"/>
      <w:szCs w:val="20"/>
      <w:lang w:val="es-ES_tradnl" w:eastAsia="es-ES"/>
    </w:rPr>
  </w:style>
  <w:style w:type="character" w:customStyle="1" w:styleId="Ttulo4Car">
    <w:name w:val="Título 4 Car"/>
    <w:basedOn w:val="Fuentedeprrafopredeter"/>
    <w:link w:val="Ttulo4"/>
    <w:uiPriority w:val="9"/>
    <w:semiHidden/>
    <w:rsid w:val="00260C2E"/>
    <w:rPr>
      <w:rFonts w:asciiTheme="majorHAnsi" w:eastAsiaTheme="majorEastAsia" w:hAnsiTheme="majorHAnsi" w:cstheme="majorBidi"/>
      <w:b/>
      <w:bCs/>
      <w:i/>
      <w:iCs/>
      <w:color w:val="4F81BD" w:themeColor="accent1"/>
      <w:lang w:val="es-SV"/>
    </w:rPr>
  </w:style>
  <w:style w:type="character" w:customStyle="1" w:styleId="Ttulo5Car">
    <w:name w:val="Título 5 Car"/>
    <w:basedOn w:val="Fuentedeprrafopredeter"/>
    <w:link w:val="Ttulo5"/>
    <w:uiPriority w:val="9"/>
    <w:semiHidden/>
    <w:rsid w:val="00260C2E"/>
    <w:rPr>
      <w:rFonts w:asciiTheme="majorHAnsi" w:eastAsiaTheme="majorEastAsia" w:hAnsiTheme="majorHAnsi" w:cstheme="majorBidi"/>
      <w:color w:val="243F60" w:themeColor="accent1" w:themeShade="7F"/>
      <w:lang w:val="es-SV"/>
    </w:rPr>
  </w:style>
  <w:style w:type="character" w:customStyle="1" w:styleId="Ttulo6Car">
    <w:name w:val="Título 6 Car"/>
    <w:basedOn w:val="Fuentedeprrafopredeter"/>
    <w:link w:val="Ttulo6"/>
    <w:uiPriority w:val="9"/>
    <w:semiHidden/>
    <w:rsid w:val="006D68A0"/>
    <w:rPr>
      <w:rFonts w:asciiTheme="majorHAnsi" w:eastAsiaTheme="majorEastAsia" w:hAnsiTheme="majorHAnsi" w:cstheme="majorBidi"/>
      <w:i/>
      <w:iCs/>
      <w:color w:val="243F60" w:themeColor="accent1" w:themeShade="7F"/>
      <w:sz w:val="24"/>
      <w:szCs w:val="20"/>
      <w:lang w:val="es-ES_tradnl" w:eastAsia="es-ES"/>
    </w:rPr>
  </w:style>
  <w:style w:type="character" w:customStyle="1" w:styleId="Ttulo7Car">
    <w:name w:val="Título 7 Car"/>
    <w:basedOn w:val="Fuentedeprrafopredeter"/>
    <w:link w:val="Ttulo7"/>
    <w:uiPriority w:val="9"/>
    <w:rsid w:val="006D68A0"/>
    <w:rPr>
      <w:rFonts w:asciiTheme="majorHAnsi" w:eastAsiaTheme="majorEastAsia" w:hAnsiTheme="majorHAnsi" w:cstheme="majorBidi"/>
      <w:i/>
      <w:iCs/>
      <w:color w:val="404040" w:themeColor="text1" w:themeTint="BF"/>
      <w:sz w:val="24"/>
      <w:szCs w:val="20"/>
      <w:lang w:val="es-ES_tradnl" w:eastAsia="es-ES"/>
    </w:rPr>
  </w:style>
  <w:style w:type="paragraph" w:styleId="Textonotapie">
    <w:name w:val="footnote text"/>
    <w:basedOn w:val="Normal"/>
    <w:link w:val="TextonotapieCar"/>
    <w:semiHidden/>
    <w:rsid w:val="006D68A0"/>
    <w:rPr>
      <w:rFonts w:ascii="Times New Roman" w:hAnsi="Times New Roman"/>
      <w:sz w:val="20"/>
      <w:lang w:val="es-ES"/>
    </w:rPr>
  </w:style>
  <w:style w:type="character" w:customStyle="1" w:styleId="TextonotapieCar">
    <w:name w:val="Texto nota pie Car"/>
    <w:basedOn w:val="Fuentedeprrafopredeter"/>
    <w:link w:val="Textonotapie"/>
    <w:semiHidden/>
    <w:rsid w:val="006D68A0"/>
    <w:rPr>
      <w:rFonts w:ascii="Times New Roman" w:eastAsia="Times New Roman" w:hAnsi="Times New Roman" w:cs="Times New Roman"/>
      <w:sz w:val="20"/>
      <w:szCs w:val="20"/>
      <w:lang w:val="es-ES" w:eastAsia="es-ES"/>
    </w:rPr>
  </w:style>
  <w:style w:type="paragraph" w:styleId="Textoindependiente3">
    <w:name w:val="Body Text 3"/>
    <w:basedOn w:val="Normal"/>
    <w:link w:val="Textoindependiente3Car"/>
    <w:uiPriority w:val="99"/>
    <w:rsid w:val="00D40C22"/>
    <w:pPr>
      <w:spacing w:after="120"/>
    </w:pPr>
    <w:rPr>
      <w:rFonts w:ascii="Times New Roman" w:hAnsi="Times New Roman"/>
      <w:sz w:val="16"/>
      <w:szCs w:val="16"/>
      <w:lang w:val="es-ES"/>
    </w:rPr>
  </w:style>
  <w:style w:type="character" w:customStyle="1" w:styleId="Textoindependiente3Car">
    <w:name w:val="Texto independiente 3 Car"/>
    <w:basedOn w:val="Fuentedeprrafopredeter"/>
    <w:link w:val="Textoindependiente3"/>
    <w:uiPriority w:val="99"/>
    <w:rsid w:val="00D40C22"/>
    <w:rPr>
      <w:rFonts w:ascii="Times New Roman" w:eastAsia="Times New Roman" w:hAnsi="Times New Roman" w:cs="Times New Roman"/>
      <w:sz w:val="16"/>
      <w:szCs w:val="16"/>
      <w:lang w:val="es-ES" w:eastAsia="es-ES"/>
    </w:rPr>
  </w:style>
  <w:style w:type="character" w:styleId="Hipervnculo">
    <w:name w:val="Hyperlink"/>
    <w:basedOn w:val="Fuentedeprrafopredeter"/>
    <w:rsid w:val="00AC604B"/>
    <w:rPr>
      <w:color w:val="0000FF"/>
      <w:u w:val="single"/>
    </w:rPr>
  </w:style>
  <w:style w:type="paragraph" w:styleId="NormalWeb">
    <w:name w:val="Normal (Web)"/>
    <w:basedOn w:val="Normal"/>
    <w:uiPriority w:val="99"/>
    <w:rsid w:val="00AB0720"/>
    <w:pPr>
      <w:spacing w:before="100" w:beforeAutospacing="1" w:after="100" w:afterAutospacing="1"/>
    </w:pPr>
    <w:rPr>
      <w:rFonts w:ascii="Arial Unicode MS" w:eastAsia="Arial Unicode MS" w:hAnsi="Arial Unicode MS" w:cs="Arial Unicode MS"/>
      <w:szCs w:val="24"/>
      <w:lang w:val="en-US" w:eastAsia="en-US"/>
    </w:rPr>
  </w:style>
  <w:style w:type="paragraph" w:customStyle="1" w:styleId="ensbustermenu">
    <w:name w:val="ensbustermenu"/>
    <w:basedOn w:val="Normal"/>
    <w:uiPriority w:val="99"/>
    <w:rsid w:val="00C61EFC"/>
    <w:pPr>
      <w:spacing w:before="100" w:beforeAutospacing="1" w:after="100" w:afterAutospacing="1"/>
    </w:pPr>
    <w:rPr>
      <w:rFonts w:eastAsia="Arial Unicode MS" w:cs="Arial"/>
      <w:color w:val="333333"/>
      <w:sz w:val="16"/>
      <w:szCs w:val="16"/>
      <w:lang w:val="es-ES"/>
    </w:rPr>
  </w:style>
  <w:style w:type="paragraph" w:customStyle="1" w:styleId="Estilo2SSF">
    <w:name w:val="Estilo2SSF"/>
    <w:basedOn w:val="Normal"/>
    <w:uiPriority w:val="99"/>
    <w:rsid w:val="00C61EFC"/>
    <w:pPr>
      <w:jc w:val="both"/>
    </w:pPr>
    <w:rPr>
      <w:rFonts w:ascii="Trebuchet MS" w:hAnsi="Trebuchet MS" w:cs="Trebuchet MS"/>
      <w:b/>
      <w:bCs/>
      <w:sz w:val="20"/>
      <w:lang w:val="es-ES"/>
    </w:rPr>
  </w:style>
  <w:style w:type="paragraph" w:customStyle="1" w:styleId="Estilo1MSSF">
    <w:name w:val="Estilo1MSSF"/>
    <w:basedOn w:val="Ttulo1"/>
    <w:uiPriority w:val="99"/>
    <w:rsid w:val="00C61EFC"/>
    <w:pPr>
      <w:keepNext w:val="0"/>
      <w:autoSpaceDE w:val="0"/>
      <w:autoSpaceDN w:val="0"/>
      <w:adjustRightInd w:val="0"/>
      <w:jc w:val="center"/>
    </w:pPr>
    <w:rPr>
      <w:rFonts w:ascii="Trebuchet MS" w:hAnsi="Trebuchet MS" w:cs="Trebuchet MS"/>
      <w:bCs/>
      <w:sz w:val="20"/>
      <w:lang w:val="es-ES"/>
    </w:rPr>
  </w:style>
  <w:style w:type="paragraph" w:customStyle="1" w:styleId="Default1">
    <w:name w:val="Default1"/>
    <w:basedOn w:val="Normal"/>
    <w:next w:val="Normal"/>
    <w:uiPriority w:val="99"/>
    <w:rsid w:val="00993790"/>
    <w:pPr>
      <w:autoSpaceDE w:val="0"/>
      <w:autoSpaceDN w:val="0"/>
      <w:adjustRightInd w:val="0"/>
    </w:pPr>
    <w:rPr>
      <w:rFonts w:cs="Arial"/>
      <w:szCs w:val="24"/>
      <w:lang w:val="es-SV" w:eastAsia="es-SV"/>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25361b9-3a0c-4c35-ae0e-5f5ef97db517">TAK2XWSQXAVX-1145086337-169</_dlc_DocId>
    <_dlc_DocIdUrl xmlns="925361b9-3a0c-4c35-ae0e-5f5ef97db517">
      <Url>http://sis/dn/_layouts/15/DocIdRedir.aspx?ID=TAK2XWSQXAVX-1145086337-169</Url>
      <Description>TAK2XWSQXAVX-1145086337-169</Description>
    </_dlc_DocIdUrl>
    <Fecha_x0020_Derogaci_x00f3_n_x002f_Vencimiento xmlns="9e5966bb-7ca3-4eb2-a69f-bb1ff11d5c22" xsi:nil="true"/>
    <Estado_x0020_de_x0020_normativa xmlns="9e5966bb-7ca3-4eb2-a69f-bb1ff11d5c22">Vigente</Estado_x0020_de_x0020_normativa>
    <Derogado_x0020_por xmlns="9e5966bb-7ca3-4eb2-a69f-bb1ff11d5c2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o" ma:contentTypeID="0x010100C919F7CC23A1BF428143C6B4792B5B53" ma:contentTypeVersion="5" ma:contentTypeDescription="Crear nuevo documento." ma:contentTypeScope="" ma:versionID="84dc9856f4ebce1a3b5ec1794d9f5441">
  <xsd:schema xmlns:xsd="http://www.w3.org/2001/XMLSchema" xmlns:xs="http://www.w3.org/2001/XMLSchema" xmlns:p="http://schemas.microsoft.com/office/2006/metadata/properties" xmlns:ns2="925361b9-3a0c-4c35-ae0e-5f5ef97db517" xmlns:ns3="9e5966bb-7ca3-4eb2-a69f-bb1ff11d5c22" targetNamespace="http://schemas.microsoft.com/office/2006/metadata/properties" ma:root="true" ma:fieldsID="f47c37eb2976bdb94fc6de6d1fbcdca0" ns2:_="" ns3:_="">
    <xsd:import namespace="925361b9-3a0c-4c35-ae0e-5f5ef97db517"/>
    <xsd:import namespace="9e5966bb-7ca3-4eb2-a69f-bb1ff11d5c22"/>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3:Estado_x0020_de_x0020_normativa" minOccurs="0"/>
                <xsd:element ref="ns3:Fecha_x0020_Derogaci_x00f3_n_x002f_Vencimiento" minOccurs="0"/>
                <xsd:element ref="ns3:Derogado_x0020_p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361b9-3a0c-4c35-ae0e-5f5ef97db517"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element name="SharedWithUsers" ma:index="11"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e5966bb-7ca3-4eb2-a69f-bb1ff11d5c22" elementFormDefault="qualified">
    <xsd:import namespace="http://schemas.microsoft.com/office/2006/documentManagement/types"/>
    <xsd:import namespace="http://schemas.microsoft.com/office/infopath/2007/PartnerControls"/>
    <xsd:element name="Estado_x0020_de_x0020_normativa" ma:index="12" nillable="true" ma:displayName="Estado de normativa" ma:default="Vigente" ma:format="Dropdown" ma:internalName="Estado_x0020_de_x0020_normativa">
      <xsd:simpleType>
        <xsd:restriction base="dms:Choice">
          <xsd:enumeration value="Vigente"/>
          <xsd:enumeration value="Derogada"/>
          <xsd:enumeration value="Vencida"/>
        </xsd:restriction>
      </xsd:simpleType>
    </xsd:element>
    <xsd:element name="Fecha_x0020_Derogaci_x00f3_n_x002f_Vencimiento" ma:index="13" nillable="true" ma:displayName="Fecha Derogación/Vencimiento" ma:format="DateOnly" ma:internalName="Fecha_x0020_Derogaci_x00f3_n_x002f_Vencimiento">
      <xsd:simpleType>
        <xsd:restriction base="dms:DateTime"/>
      </xsd:simpleType>
    </xsd:element>
    <xsd:element name="Derogado_x0020_por" ma:index="14" nillable="true" ma:displayName="Derogado por" ma:internalName="Derogado_x0020_po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02F9C3-BDAD-48DE-A983-5658FE7FF051}">
  <ds:schemaRefs>
    <ds:schemaRef ds:uri="http://schemas.microsoft.com/office/2006/metadata/properties"/>
    <ds:schemaRef ds:uri="http://schemas.microsoft.com/office/infopath/2007/PartnerControls"/>
    <ds:schemaRef ds:uri="925361b9-3a0c-4c35-ae0e-5f5ef97db517"/>
    <ds:schemaRef ds:uri="9e5966bb-7ca3-4eb2-a69f-bb1ff11d5c22"/>
  </ds:schemaRefs>
</ds:datastoreItem>
</file>

<file path=customXml/itemProps2.xml><?xml version="1.0" encoding="utf-8"?>
<ds:datastoreItem xmlns:ds="http://schemas.openxmlformats.org/officeDocument/2006/customXml" ds:itemID="{1DDF2219-430B-446D-812E-3A3AC0677A0B}">
  <ds:schemaRefs>
    <ds:schemaRef ds:uri="http://schemas.microsoft.com/sharepoint/v3/contenttype/forms"/>
  </ds:schemaRefs>
</ds:datastoreItem>
</file>

<file path=customXml/itemProps3.xml><?xml version="1.0" encoding="utf-8"?>
<ds:datastoreItem xmlns:ds="http://schemas.openxmlformats.org/officeDocument/2006/customXml" ds:itemID="{C499B1B2-EC10-41F6-80CA-4E8A7AD9189B}">
  <ds:schemaRefs>
    <ds:schemaRef ds:uri="http://schemas.microsoft.com/sharepoint/events"/>
  </ds:schemaRefs>
</ds:datastoreItem>
</file>

<file path=customXml/itemProps4.xml><?xml version="1.0" encoding="utf-8"?>
<ds:datastoreItem xmlns:ds="http://schemas.openxmlformats.org/officeDocument/2006/customXml" ds:itemID="{12B8AE36-4A72-484A-8215-DD2C990A5C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361b9-3a0c-4c35-ae0e-5f5ef97db517"/>
    <ds:schemaRef ds:uri="9e5966bb-7ca3-4eb2-a69f-bb1ff11d5c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F39F31C-9B9A-45DB-990E-7F74CD1E7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2604</Words>
  <Characters>14325</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Banco Central de Reserva</Company>
  <LinksUpToDate>false</LinksUpToDate>
  <CharactersWithSpaces>16896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dnwendy</dc:creator>
  <cp:lastModifiedBy>cacarpio</cp:lastModifiedBy>
  <cp:revision>2</cp:revision>
  <dcterms:created xsi:type="dcterms:W3CDTF">2021-06-15T21:17:00Z</dcterms:created>
  <dcterms:modified xsi:type="dcterms:W3CDTF">2021-06-15T21:17:00Z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0x010100C919F7CC23A1BF428143C6B4792B5B53</vt:lpwstr>
  </property>
  <property fmtid="{D5CDD505-2E9C-101B-9397-08002B2CF9AE}" pid="3" name="_dlc_DocIdItemGuid">
    <vt:lpwstr>e6e584e1-6315-451a-ae68-d6fd4b3da177</vt:lpwstr>
  </property>
</Properties>
</file>