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B2" w:rsidRDefault="009833B2" w:rsidP="009833B2">
      <w:pPr>
        <w:pStyle w:val="Default"/>
        <w:keepNext/>
        <w:widowControl w:val="0"/>
        <w:jc w:val="both"/>
        <w:rPr>
          <w:rFonts w:ascii="Arial Narrow" w:hAnsi="Arial Narrow" w:cs="Times New Roman"/>
          <w:color w:val="auto"/>
        </w:rPr>
      </w:pPr>
      <w:r w:rsidRPr="003C6467">
        <w:rPr>
          <w:rFonts w:ascii="Arial Narrow" w:hAnsi="Arial Narrow" w:cs="Times New Roman"/>
          <w:color w:val="auto"/>
        </w:rPr>
        <w:t>El Consejo Directivo de la Superintendencia del Sistema Financiero, en uso de la potestad que le confiere el literal k) del artículo 10 de la Ley Orgánica de la Superintendencia del Sistema Financiero y con base al artículo 2 de la Ley Contra el Lavado de Dinero y de Activos</w:t>
      </w:r>
      <w:r w:rsidR="00FC445B" w:rsidRPr="003C6467">
        <w:rPr>
          <w:rFonts w:ascii="Arial Narrow" w:hAnsi="Arial Narrow" w:cs="Times New Roman"/>
          <w:color w:val="auto"/>
        </w:rPr>
        <w:t xml:space="preserve"> </w:t>
      </w:r>
      <w:r w:rsidRPr="003C6467">
        <w:rPr>
          <w:rFonts w:ascii="Arial Narrow" w:hAnsi="Arial Narrow" w:cs="Times New Roman"/>
          <w:color w:val="auto"/>
        </w:rPr>
        <w:t>y los artículos 63 y 66 inciso último de la Ley de Bancos, acuerda emitir las:</w:t>
      </w:r>
    </w:p>
    <w:p w:rsidR="003F115A" w:rsidRPr="003C6467" w:rsidRDefault="003F115A" w:rsidP="009833B2">
      <w:pPr>
        <w:pStyle w:val="Default"/>
        <w:keepNext/>
        <w:widowControl w:val="0"/>
        <w:jc w:val="both"/>
        <w:rPr>
          <w:rFonts w:ascii="Arial Narrow" w:hAnsi="Arial Narrow" w:cs="Times New Roman"/>
          <w:color w:val="auto"/>
        </w:rPr>
      </w:pPr>
    </w:p>
    <w:p w:rsidR="00304DCE" w:rsidRPr="003C6467" w:rsidRDefault="00304DCE" w:rsidP="003F115A">
      <w:pPr>
        <w:pStyle w:val="Default"/>
        <w:keepNext/>
        <w:widowControl w:val="0"/>
        <w:jc w:val="center"/>
        <w:rPr>
          <w:rFonts w:ascii="Arial Narrow" w:hAnsi="Arial Narrow" w:cs="Times New Roman"/>
          <w:b/>
          <w:color w:val="auto"/>
        </w:rPr>
      </w:pPr>
      <w:r w:rsidRPr="003C6467">
        <w:rPr>
          <w:rFonts w:ascii="Arial Narrow" w:hAnsi="Arial Narrow" w:cs="Times New Roman"/>
          <w:b/>
          <w:color w:val="auto"/>
        </w:rPr>
        <w:t>NORMAS PARA LA PRESTACIÓN DEL SERVICIO DE BANCA CORRESPONSAL</w:t>
      </w:r>
    </w:p>
    <w:p w:rsidR="00304DCE" w:rsidRPr="003C6467" w:rsidRDefault="00304DCE" w:rsidP="00304DCE">
      <w:pPr>
        <w:pStyle w:val="Default"/>
        <w:keepNext/>
        <w:widowControl w:val="0"/>
        <w:jc w:val="center"/>
        <w:rPr>
          <w:rFonts w:ascii="Arial Narrow" w:hAnsi="Arial Narrow" w:cs="Times New Roman"/>
          <w:b/>
          <w:color w:val="auto"/>
        </w:rPr>
      </w:pPr>
    </w:p>
    <w:p w:rsidR="00304DCE" w:rsidRPr="003C6467" w:rsidRDefault="00304DCE" w:rsidP="00304DCE">
      <w:pPr>
        <w:pStyle w:val="Default"/>
        <w:jc w:val="center"/>
        <w:rPr>
          <w:rFonts w:ascii="Arial Narrow" w:hAnsi="Arial Narrow" w:cs="Times New Roman"/>
          <w:b/>
          <w:color w:val="auto"/>
        </w:rPr>
      </w:pPr>
      <w:r w:rsidRPr="003C6467">
        <w:rPr>
          <w:rFonts w:ascii="Arial Narrow" w:hAnsi="Arial Narrow" w:cs="Times New Roman"/>
          <w:b/>
          <w:bCs/>
          <w:color w:val="auto"/>
        </w:rPr>
        <w:t xml:space="preserve">CAPÍTULO I </w:t>
      </w:r>
    </w:p>
    <w:p w:rsidR="00304DCE" w:rsidRPr="003C6467" w:rsidRDefault="00304DCE" w:rsidP="00304DCE">
      <w:pPr>
        <w:pStyle w:val="Default"/>
        <w:jc w:val="center"/>
        <w:rPr>
          <w:rFonts w:ascii="Arial Narrow" w:hAnsi="Arial Narrow" w:cs="Times New Roman"/>
          <w:b/>
          <w:color w:val="auto"/>
        </w:rPr>
      </w:pPr>
      <w:r w:rsidRPr="003C6467">
        <w:rPr>
          <w:rFonts w:ascii="Arial Narrow" w:hAnsi="Arial Narrow" w:cs="Times New Roman"/>
          <w:b/>
          <w:bCs/>
          <w:color w:val="auto"/>
        </w:rPr>
        <w:t xml:space="preserve">OBJETO Y SUJETOS </w:t>
      </w:r>
    </w:p>
    <w:p w:rsidR="00304DCE" w:rsidRPr="003C6467" w:rsidRDefault="00304DCE" w:rsidP="00304DCE">
      <w:pPr>
        <w:pStyle w:val="Default"/>
        <w:keepNext/>
        <w:widowControl w:val="0"/>
        <w:jc w:val="both"/>
        <w:rPr>
          <w:rFonts w:ascii="Arial Narrow" w:hAnsi="Arial Narrow" w:cs="Times New Roman"/>
          <w:b/>
          <w:bCs/>
          <w:color w:val="auto"/>
        </w:rPr>
      </w:pPr>
      <w:r w:rsidRPr="003C6467">
        <w:rPr>
          <w:rFonts w:ascii="Arial Narrow" w:hAnsi="Arial Narrow" w:cs="Times New Roman"/>
          <w:b/>
          <w:bCs/>
          <w:color w:val="auto"/>
        </w:rPr>
        <w:t>Objeto</w:t>
      </w:r>
    </w:p>
    <w:p w:rsidR="00304DCE" w:rsidRPr="003C6467" w:rsidRDefault="00304DCE" w:rsidP="00304DCE">
      <w:pPr>
        <w:pStyle w:val="Default"/>
        <w:jc w:val="both"/>
        <w:rPr>
          <w:rFonts w:ascii="Arial Narrow" w:hAnsi="Arial Narrow" w:cs="Times New Roman"/>
          <w:color w:val="auto"/>
        </w:rPr>
      </w:pPr>
      <w:r w:rsidRPr="003C6467">
        <w:rPr>
          <w:rFonts w:ascii="Arial Narrow" w:hAnsi="Arial Narrow" w:cs="Times New Roman"/>
          <w:b/>
          <w:color w:val="auto"/>
        </w:rPr>
        <w:t>Art. 1.-</w:t>
      </w:r>
      <w:r w:rsidRPr="003C6467">
        <w:rPr>
          <w:rFonts w:ascii="Arial Narrow" w:hAnsi="Arial Narrow" w:cs="Times New Roman"/>
          <w:color w:val="auto"/>
        </w:rPr>
        <w:t xml:space="preserve"> El objeto de estas Normas es establecer lineamientos mínimos para que las entidades financieras que actúen como corresponsales locales de bancos extranjeros gestionen el riesgo de lavado de dinero y de activos, así como de financiamiento al terrorismo, en las operaciones que se originan en este tipo de servicio.</w:t>
      </w:r>
    </w:p>
    <w:p w:rsidR="00304DCE" w:rsidRPr="003C6467" w:rsidRDefault="00304DCE" w:rsidP="00304DCE">
      <w:pPr>
        <w:pStyle w:val="Default"/>
        <w:ind w:firstLine="708"/>
        <w:jc w:val="both"/>
        <w:rPr>
          <w:rFonts w:ascii="Arial Narrow" w:hAnsi="Arial Narrow" w:cs="Times New Roman"/>
          <w:color w:val="auto"/>
        </w:rPr>
      </w:pPr>
    </w:p>
    <w:p w:rsidR="00304DCE" w:rsidRPr="003C6467" w:rsidRDefault="00304DCE" w:rsidP="00304DCE">
      <w:pPr>
        <w:pStyle w:val="Default"/>
        <w:jc w:val="both"/>
        <w:rPr>
          <w:rFonts w:ascii="Arial Narrow" w:hAnsi="Arial Narrow" w:cs="Times New Roman"/>
          <w:color w:val="auto"/>
        </w:rPr>
      </w:pPr>
      <w:r w:rsidRPr="003C6467">
        <w:rPr>
          <w:rFonts w:ascii="Arial Narrow" w:hAnsi="Arial Narrow" w:cs="Times New Roman"/>
          <w:color w:val="auto"/>
        </w:rPr>
        <w:t>Estas Normas se complementan con las disposiciones establecidas en las Normas para la Gestión Integral de Riesgos de las Entidades Financieras (NPB4-47) y las Normas de Gobierno Corporativo para las Entidades Financieras (NPB4-48), en lo que corresponda.</w:t>
      </w:r>
    </w:p>
    <w:p w:rsidR="00304DCE" w:rsidRPr="003C6467" w:rsidRDefault="00304DCE" w:rsidP="00304DCE">
      <w:pPr>
        <w:pStyle w:val="Default"/>
        <w:ind w:firstLine="708"/>
        <w:jc w:val="both"/>
        <w:rPr>
          <w:rFonts w:ascii="Arial Narrow" w:hAnsi="Arial Narrow" w:cs="Times New Roman"/>
          <w:color w:val="auto"/>
        </w:rPr>
      </w:pPr>
    </w:p>
    <w:p w:rsidR="00304DCE" w:rsidRPr="003C6467" w:rsidRDefault="00304DCE" w:rsidP="00304DCE">
      <w:pPr>
        <w:pStyle w:val="Default"/>
        <w:jc w:val="both"/>
        <w:rPr>
          <w:rFonts w:ascii="Arial Narrow" w:hAnsi="Arial Narrow" w:cs="Times New Roman"/>
          <w:b/>
          <w:color w:val="auto"/>
        </w:rPr>
      </w:pPr>
      <w:r w:rsidRPr="003C6467">
        <w:rPr>
          <w:rFonts w:ascii="Arial Narrow" w:hAnsi="Arial Narrow" w:cs="Times New Roman"/>
          <w:b/>
          <w:bCs/>
          <w:color w:val="auto"/>
        </w:rPr>
        <w:t xml:space="preserve">Sujetos obligados </w:t>
      </w:r>
    </w:p>
    <w:p w:rsidR="00304DCE" w:rsidRPr="003C6467" w:rsidRDefault="00304DCE" w:rsidP="00304DCE">
      <w:pPr>
        <w:pStyle w:val="Default"/>
        <w:jc w:val="both"/>
        <w:rPr>
          <w:rFonts w:ascii="Arial Narrow" w:hAnsi="Arial Narrow" w:cs="Times New Roman"/>
          <w:color w:val="auto"/>
        </w:rPr>
      </w:pPr>
      <w:r w:rsidRPr="003C6467">
        <w:rPr>
          <w:rFonts w:ascii="Arial Narrow" w:hAnsi="Arial Narrow" w:cs="Times New Roman"/>
          <w:b/>
          <w:color w:val="auto"/>
        </w:rPr>
        <w:t>Art. 2.-</w:t>
      </w:r>
      <w:r w:rsidRPr="003C6467">
        <w:rPr>
          <w:rFonts w:ascii="Arial Narrow" w:hAnsi="Arial Narrow" w:cs="Times New Roman"/>
          <w:color w:val="auto"/>
        </w:rPr>
        <w:t xml:space="preserve"> Los sujetos obligados a estas Normas son los bancos, los bancos cooperativos y las sociedades de ahorro y crédito, los cuales deben contar previamente con la autorización al respecto del Banco Central de Reserva de El Salvador de conformidad a las leyes respectivas.</w:t>
      </w:r>
    </w:p>
    <w:p w:rsidR="00304DCE" w:rsidRPr="003C6467" w:rsidRDefault="00304DCE" w:rsidP="00304DCE">
      <w:pPr>
        <w:pStyle w:val="Default"/>
        <w:jc w:val="both"/>
        <w:rPr>
          <w:rFonts w:ascii="Arial Narrow" w:hAnsi="Arial Narrow" w:cs="Times New Roman"/>
          <w:color w:val="auto"/>
        </w:rPr>
      </w:pPr>
    </w:p>
    <w:p w:rsidR="00304DCE" w:rsidRPr="003C6467" w:rsidRDefault="00304DCE" w:rsidP="00304DCE">
      <w:pPr>
        <w:pStyle w:val="Default"/>
        <w:jc w:val="center"/>
        <w:rPr>
          <w:rFonts w:ascii="Arial Narrow" w:hAnsi="Arial Narrow" w:cs="Times New Roman"/>
          <w:b/>
          <w:color w:val="auto"/>
        </w:rPr>
      </w:pPr>
      <w:r w:rsidRPr="003C6467">
        <w:rPr>
          <w:rFonts w:ascii="Arial Narrow" w:hAnsi="Arial Narrow" w:cs="Times New Roman"/>
          <w:b/>
          <w:bCs/>
          <w:color w:val="auto"/>
        </w:rPr>
        <w:t>CAPÍTULO II</w:t>
      </w:r>
    </w:p>
    <w:p w:rsidR="00304DCE" w:rsidRPr="003C6467" w:rsidRDefault="00304DCE" w:rsidP="00304DCE">
      <w:pPr>
        <w:pStyle w:val="Default"/>
        <w:jc w:val="center"/>
        <w:rPr>
          <w:rFonts w:ascii="Arial Narrow" w:hAnsi="Arial Narrow" w:cs="Times New Roman"/>
          <w:b/>
          <w:color w:val="auto"/>
        </w:rPr>
      </w:pPr>
      <w:r w:rsidRPr="003C6467">
        <w:rPr>
          <w:rFonts w:ascii="Arial Narrow" w:hAnsi="Arial Narrow" w:cs="Times New Roman"/>
          <w:b/>
          <w:bCs/>
          <w:color w:val="auto"/>
        </w:rPr>
        <w:t>DE LA BANCA CORRESPONSAL</w:t>
      </w:r>
    </w:p>
    <w:p w:rsidR="00304DCE" w:rsidRPr="003C6467" w:rsidRDefault="00304DCE" w:rsidP="00304DCE">
      <w:pPr>
        <w:pStyle w:val="Default"/>
        <w:jc w:val="both"/>
        <w:rPr>
          <w:rFonts w:ascii="Arial Narrow" w:hAnsi="Arial Narrow" w:cs="Times New Roman"/>
          <w:b/>
          <w:bCs/>
          <w:color w:val="auto"/>
        </w:rPr>
      </w:pPr>
    </w:p>
    <w:p w:rsidR="00304DCE" w:rsidRPr="003C6467" w:rsidRDefault="00304DCE" w:rsidP="00304DCE">
      <w:pPr>
        <w:pStyle w:val="Default"/>
        <w:jc w:val="both"/>
        <w:rPr>
          <w:rFonts w:ascii="Arial Narrow" w:hAnsi="Arial Narrow" w:cs="Times New Roman"/>
          <w:b/>
          <w:color w:val="auto"/>
        </w:rPr>
      </w:pPr>
      <w:r w:rsidRPr="003C6467">
        <w:rPr>
          <w:rFonts w:ascii="Arial Narrow" w:hAnsi="Arial Narrow" w:cs="Times New Roman"/>
          <w:b/>
          <w:bCs/>
          <w:color w:val="auto"/>
        </w:rPr>
        <w:t xml:space="preserve">Definiciones </w:t>
      </w:r>
    </w:p>
    <w:p w:rsidR="00304DCE" w:rsidRPr="003C6467" w:rsidRDefault="00304DCE" w:rsidP="00AB1766">
      <w:pPr>
        <w:pStyle w:val="Default"/>
        <w:spacing w:after="120"/>
        <w:jc w:val="both"/>
        <w:rPr>
          <w:rFonts w:ascii="Arial Narrow" w:hAnsi="Arial Narrow" w:cs="Times New Roman"/>
          <w:color w:val="auto"/>
        </w:rPr>
      </w:pPr>
      <w:r w:rsidRPr="003C6467">
        <w:rPr>
          <w:rFonts w:ascii="Arial Narrow" w:hAnsi="Arial Narrow" w:cs="Times New Roman"/>
          <w:b/>
          <w:color w:val="auto"/>
        </w:rPr>
        <w:t xml:space="preserve">Art. 3.- </w:t>
      </w:r>
      <w:r w:rsidRPr="003C6467">
        <w:rPr>
          <w:rFonts w:ascii="Arial Narrow" w:hAnsi="Arial Narrow" w:cs="Times New Roman"/>
          <w:color w:val="auto"/>
        </w:rPr>
        <w:t xml:space="preserve">Para los fines de aplicación de estas Normas, los términos que se detallan a continuación tendrán los significados siguientes: </w:t>
      </w:r>
    </w:p>
    <w:p w:rsidR="00304DCE" w:rsidRPr="003C6467" w:rsidRDefault="00304DCE" w:rsidP="00B369C9">
      <w:pPr>
        <w:numPr>
          <w:ilvl w:val="0"/>
          <w:numId w:val="15"/>
        </w:numPr>
        <w:ind w:left="426" w:hanging="426"/>
        <w:jc w:val="both"/>
        <w:rPr>
          <w:rFonts w:ascii="Arial Narrow" w:hAnsi="Arial Narrow"/>
          <w:szCs w:val="24"/>
        </w:rPr>
      </w:pPr>
      <w:r w:rsidRPr="003C6467">
        <w:rPr>
          <w:rFonts w:ascii="Arial Narrow" w:hAnsi="Arial Narrow"/>
          <w:b/>
          <w:szCs w:val="24"/>
        </w:rPr>
        <w:t xml:space="preserve">Acreedor o beneficiario: </w:t>
      </w:r>
      <w:r w:rsidRPr="003C6467">
        <w:rPr>
          <w:rFonts w:ascii="Arial Narrow" w:hAnsi="Arial Narrow"/>
          <w:szCs w:val="24"/>
        </w:rPr>
        <w:t>Persona natural o jurídica a cuyo favor se realiza un pago proveniente de un banco corresponsal cliente y ordenado por otra persona situada en un país o localidad extranjera;</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bCs/>
          <w:color w:val="auto"/>
        </w:rPr>
        <w:t>Banco corresponsal cliente</w:t>
      </w:r>
      <w:r w:rsidRPr="003C6467">
        <w:rPr>
          <w:rFonts w:ascii="Arial Narrow" w:hAnsi="Arial Narrow" w:cs="Times New Roman"/>
          <w:bCs/>
          <w:color w:val="auto"/>
        </w:rPr>
        <w:t xml:space="preserve">: </w:t>
      </w:r>
      <w:r w:rsidRPr="003C6467">
        <w:rPr>
          <w:rFonts w:ascii="Arial Narrow" w:hAnsi="Arial Narrow" w:cs="Times New Roman"/>
          <w:color w:val="auto"/>
        </w:rPr>
        <w:t xml:space="preserve">Es la entidad domiciliada en el extranjero que usa los servicios de banca corresponsal local para realizar transacciones de sus clientes; </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bCs/>
          <w:color w:val="auto"/>
        </w:rPr>
        <w:t>Banco corresponsal local</w:t>
      </w:r>
      <w:r w:rsidRPr="003C6467">
        <w:rPr>
          <w:rFonts w:ascii="Arial Narrow" w:hAnsi="Arial Narrow" w:cs="Times New Roman"/>
          <w:bCs/>
          <w:color w:val="auto"/>
        </w:rPr>
        <w:t xml:space="preserve">: </w:t>
      </w:r>
      <w:r w:rsidRPr="003C6467">
        <w:rPr>
          <w:rFonts w:ascii="Arial Narrow" w:hAnsi="Arial Narrow" w:cs="Times New Roman"/>
          <w:color w:val="auto"/>
        </w:rPr>
        <w:t>Es la entidad local que recibe y/o efectúa pagos y proporciona otros servicios a nombre del banco corresponsal cliente; este concepto aplica a los bancos, a los bancos cooperativos y a las sociedades de ahorro y crédito</w:t>
      </w:r>
      <w:r w:rsidR="00B369C9" w:rsidRPr="003C6467">
        <w:rPr>
          <w:rFonts w:ascii="Arial Narrow" w:hAnsi="Arial Narrow" w:cs="Times New Roman"/>
          <w:color w:val="auto"/>
        </w:rPr>
        <w:t>;</w:t>
      </w:r>
    </w:p>
    <w:p w:rsidR="00304DCE" w:rsidRPr="003C6467" w:rsidRDefault="00304DCE" w:rsidP="00B369C9">
      <w:pPr>
        <w:pStyle w:val="Default"/>
        <w:numPr>
          <w:ilvl w:val="0"/>
          <w:numId w:val="15"/>
        </w:numPr>
        <w:spacing w:after="120"/>
        <w:ind w:left="426" w:hanging="426"/>
        <w:jc w:val="both"/>
        <w:rPr>
          <w:rFonts w:ascii="Arial Narrow" w:hAnsi="Arial Narrow" w:cs="Times New Roman"/>
          <w:bCs/>
          <w:color w:val="auto"/>
        </w:rPr>
      </w:pPr>
      <w:r w:rsidRPr="003C6467">
        <w:rPr>
          <w:rFonts w:ascii="Arial Narrow" w:hAnsi="Arial Narrow" w:cs="Times New Roman"/>
          <w:b/>
          <w:bCs/>
          <w:color w:val="auto"/>
        </w:rPr>
        <w:t xml:space="preserve">Banco pantalla o </w:t>
      </w:r>
      <w:proofErr w:type="spellStart"/>
      <w:r w:rsidRPr="003C6467">
        <w:rPr>
          <w:rFonts w:ascii="Arial Narrow" w:hAnsi="Arial Narrow" w:cs="Times New Roman"/>
          <w:b/>
          <w:bCs/>
          <w:color w:val="auto"/>
        </w:rPr>
        <w:t>shell</w:t>
      </w:r>
      <w:proofErr w:type="spellEnd"/>
      <w:r w:rsidRPr="003C6467">
        <w:rPr>
          <w:rFonts w:ascii="Arial Narrow" w:hAnsi="Arial Narrow" w:cs="Times New Roman"/>
          <w:b/>
          <w:bCs/>
          <w:color w:val="auto"/>
        </w:rPr>
        <w:t xml:space="preserve"> </w:t>
      </w:r>
      <w:proofErr w:type="spellStart"/>
      <w:r w:rsidRPr="003C6467">
        <w:rPr>
          <w:rFonts w:ascii="Arial Narrow" w:hAnsi="Arial Narrow" w:cs="Times New Roman"/>
          <w:b/>
          <w:bCs/>
          <w:color w:val="auto"/>
        </w:rPr>
        <w:t>bank</w:t>
      </w:r>
      <w:proofErr w:type="spellEnd"/>
      <w:r w:rsidRPr="003C6467">
        <w:rPr>
          <w:rFonts w:ascii="Arial Narrow" w:hAnsi="Arial Narrow" w:cs="Times New Roman"/>
          <w:b/>
          <w:bCs/>
          <w:color w:val="auto"/>
        </w:rPr>
        <w:t xml:space="preserve">: </w:t>
      </w:r>
      <w:r w:rsidRPr="003C6467">
        <w:rPr>
          <w:rFonts w:ascii="Arial Narrow" w:hAnsi="Arial Narrow" w:cs="Times New Roman"/>
          <w:bCs/>
          <w:color w:val="auto"/>
        </w:rPr>
        <w:t xml:space="preserve">Es un banco constituido en un país o jurisdicción en el que no tiene presencia física y no es filial de un grupo financiero regulado. Adicionalmente, un banco pantalla es aquel que: </w:t>
      </w:r>
    </w:p>
    <w:p w:rsidR="00304DCE" w:rsidRPr="003C6467" w:rsidRDefault="00304DCE" w:rsidP="00F832BB">
      <w:pPr>
        <w:pStyle w:val="Default"/>
        <w:numPr>
          <w:ilvl w:val="0"/>
          <w:numId w:val="16"/>
        </w:numPr>
        <w:ind w:left="993" w:hanging="284"/>
        <w:jc w:val="both"/>
        <w:rPr>
          <w:rFonts w:ascii="Arial Narrow" w:hAnsi="Arial Narrow" w:cs="Times New Roman"/>
          <w:bCs/>
          <w:color w:val="auto"/>
        </w:rPr>
      </w:pPr>
      <w:r w:rsidRPr="003C6467">
        <w:rPr>
          <w:rFonts w:ascii="Arial Narrow" w:hAnsi="Arial Narrow" w:cs="Times New Roman"/>
          <w:bCs/>
          <w:color w:val="auto"/>
        </w:rPr>
        <w:lastRenderedPageBreak/>
        <w:t xml:space="preserve">No emplea a tiempo completo a uno o más empleados; </w:t>
      </w:r>
    </w:p>
    <w:p w:rsidR="00304DCE" w:rsidRPr="003C6467" w:rsidRDefault="00304DCE" w:rsidP="00F832BB">
      <w:pPr>
        <w:pStyle w:val="Default"/>
        <w:numPr>
          <w:ilvl w:val="0"/>
          <w:numId w:val="16"/>
        </w:numPr>
        <w:ind w:left="993" w:hanging="284"/>
        <w:jc w:val="both"/>
        <w:rPr>
          <w:rFonts w:ascii="Arial Narrow" w:hAnsi="Arial Narrow" w:cs="Times New Roman"/>
          <w:bCs/>
          <w:color w:val="auto"/>
        </w:rPr>
      </w:pPr>
      <w:r w:rsidRPr="003C6467">
        <w:rPr>
          <w:rFonts w:ascii="Arial Narrow" w:hAnsi="Arial Narrow" w:cs="Times New Roman"/>
          <w:bCs/>
          <w:color w:val="auto"/>
        </w:rPr>
        <w:t xml:space="preserve">No mantiene registros de operaciones en su domicilio; y </w:t>
      </w:r>
    </w:p>
    <w:p w:rsidR="00304DCE" w:rsidRPr="003C6467" w:rsidRDefault="00304DCE" w:rsidP="00F832BB">
      <w:pPr>
        <w:pStyle w:val="Default"/>
        <w:numPr>
          <w:ilvl w:val="0"/>
          <w:numId w:val="16"/>
        </w:numPr>
        <w:ind w:left="993" w:hanging="284"/>
        <w:jc w:val="both"/>
        <w:rPr>
          <w:rFonts w:ascii="Arial Narrow" w:hAnsi="Arial Narrow" w:cs="Times New Roman"/>
          <w:bCs/>
          <w:color w:val="auto"/>
        </w:rPr>
      </w:pPr>
      <w:r w:rsidRPr="003C6467">
        <w:rPr>
          <w:rFonts w:ascii="Arial Narrow" w:hAnsi="Arial Narrow" w:cs="Times New Roman"/>
          <w:bCs/>
          <w:color w:val="auto"/>
        </w:rPr>
        <w:t xml:space="preserve">No está sujeto a inspecciones por parte de la autoridad que le otorgó la licencia de operación. </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bCs/>
          <w:color w:val="auto"/>
        </w:rPr>
        <w:t>Cuentas de transferencias de pagos en otras plazas (</w:t>
      </w:r>
      <w:proofErr w:type="spellStart"/>
      <w:r w:rsidRPr="003C6467">
        <w:rPr>
          <w:rFonts w:ascii="Arial Narrow" w:hAnsi="Arial Narrow" w:cs="Times New Roman"/>
          <w:b/>
          <w:bCs/>
          <w:color w:val="auto"/>
        </w:rPr>
        <w:t>Payable</w:t>
      </w:r>
      <w:proofErr w:type="spellEnd"/>
      <w:r w:rsidRPr="003C6467">
        <w:rPr>
          <w:rFonts w:ascii="Arial Narrow" w:hAnsi="Arial Narrow" w:cs="Times New Roman"/>
          <w:b/>
          <w:bCs/>
          <w:color w:val="auto"/>
        </w:rPr>
        <w:t xml:space="preserve"> </w:t>
      </w:r>
      <w:proofErr w:type="spellStart"/>
      <w:r w:rsidRPr="003C6467">
        <w:rPr>
          <w:rFonts w:ascii="Arial Narrow" w:hAnsi="Arial Narrow" w:cs="Times New Roman"/>
          <w:b/>
          <w:bCs/>
          <w:color w:val="auto"/>
        </w:rPr>
        <w:t>Through</w:t>
      </w:r>
      <w:proofErr w:type="spellEnd"/>
      <w:r w:rsidRPr="003C6467">
        <w:rPr>
          <w:rFonts w:ascii="Arial Narrow" w:hAnsi="Arial Narrow" w:cs="Times New Roman"/>
          <w:b/>
          <w:bCs/>
          <w:color w:val="auto"/>
        </w:rPr>
        <w:t xml:space="preserve"> </w:t>
      </w:r>
      <w:proofErr w:type="spellStart"/>
      <w:r w:rsidRPr="003C6467">
        <w:rPr>
          <w:rFonts w:ascii="Arial Narrow" w:hAnsi="Arial Narrow" w:cs="Times New Roman"/>
          <w:b/>
          <w:bCs/>
          <w:color w:val="auto"/>
        </w:rPr>
        <w:t>Account</w:t>
      </w:r>
      <w:proofErr w:type="spellEnd"/>
      <w:r w:rsidRPr="003C6467">
        <w:rPr>
          <w:rFonts w:ascii="Arial Narrow" w:hAnsi="Arial Narrow" w:cs="Times New Roman"/>
          <w:b/>
          <w:bCs/>
          <w:color w:val="auto"/>
        </w:rPr>
        <w:t>)</w:t>
      </w:r>
      <w:r w:rsidRPr="003C6467">
        <w:rPr>
          <w:rFonts w:ascii="Arial Narrow" w:hAnsi="Arial Narrow" w:cs="Times New Roman"/>
          <w:bCs/>
          <w:color w:val="auto"/>
        </w:rPr>
        <w:t xml:space="preserve">: </w:t>
      </w:r>
      <w:r w:rsidRPr="003C6467">
        <w:rPr>
          <w:rFonts w:ascii="Arial Narrow" w:hAnsi="Arial Narrow" w:cs="Times New Roman"/>
          <w:color w:val="auto"/>
        </w:rPr>
        <w:t xml:space="preserve">Son cuentas del banco corresponsal cliente abiertas en el banco corresponsal local, que son usadas directamente por terceros para realizar operaciones comerciales o de cualquier otra índole por cuenta propia; </w:t>
      </w:r>
    </w:p>
    <w:p w:rsidR="00304DCE" w:rsidRPr="003C6467" w:rsidRDefault="00304DCE" w:rsidP="00B369C9">
      <w:pPr>
        <w:numPr>
          <w:ilvl w:val="0"/>
          <w:numId w:val="15"/>
        </w:numPr>
        <w:ind w:left="426" w:hanging="426"/>
        <w:jc w:val="both"/>
        <w:rPr>
          <w:rFonts w:ascii="Arial Narrow" w:hAnsi="Arial Narrow"/>
          <w:szCs w:val="24"/>
        </w:rPr>
      </w:pPr>
      <w:r w:rsidRPr="003C6467">
        <w:rPr>
          <w:rFonts w:ascii="Arial Narrow" w:hAnsi="Arial Narrow"/>
          <w:b/>
          <w:szCs w:val="24"/>
        </w:rPr>
        <w:t>Entidad o entidades</w:t>
      </w:r>
      <w:r w:rsidRPr="003C6467">
        <w:rPr>
          <w:rFonts w:ascii="Arial Narrow" w:hAnsi="Arial Narrow"/>
          <w:szCs w:val="24"/>
        </w:rPr>
        <w:t>: Sujetos obligados al cumplimiento de estas Normas;</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bCs/>
          <w:color w:val="auto"/>
        </w:rPr>
        <w:t>Filial regulada</w:t>
      </w:r>
      <w:r w:rsidRPr="003C6467">
        <w:rPr>
          <w:rFonts w:ascii="Arial Narrow" w:hAnsi="Arial Narrow" w:cs="Times New Roman"/>
          <w:bCs/>
          <w:color w:val="auto"/>
        </w:rPr>
        <w:t xml:space="preserve">: </w:t>
      </w:r>
      <w:r w:rsidRPr="003C6467">
        <w:rPr>
          <w:rFonts w:ascii="Arial Narrow" w:hAnsi="Arial Narrow" w:cs="Times New Roman"/>
          <w:color w:val="auto"/>
        </w:rPr>
        <w:t>Es un banco cuyo propietario, directo o indirecto,</w:t>
      </w:r>
      <w:r w:rsidR="00FC445B" w:rsidRPr="003C6467">
        <w:rPr>
          <w:rFonts w:ascii="Arial Narrow" w:hAnsi="Arial Narrow" w:cs="Times New Roman"/>
          <w:color w:val="auto"/>
        </w:rPr>
        <w:t xml:space="preserve"> </w:t>
      </w:r>
      <w:r w:rsidRPr="003C6467">
        <w:rPr>
          <w:rFonts w:ascii="Arial Narrow" w:hAnsi="Arial Narrow" w:cs="Times New Roman"/>
          <w:color w:val="auto"/>
        </w:rPr>
        <w:t xml:space="preserve">está autorizado en un país o jurisdicción que cuenta con un marco legal adecuado para impedir el delito de lavado de dinero y de activos, y </w:t>
      </w:r>
      <w:r w:rsidR="00B369C9" w:rsidRPr="003C6467">
        <w:rPr>
          <w:rFonts w:ascii="Arial Narrow" w:hAnsi="Arial Narrow" w:cs="Times New Roman"/>
          <w:color w:val="auto"/>
        </w:rPr>
        <w:t>de financiamiento al terrorismo;</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color w:val="auto"/>
        </w:rPr>
        <w:t xml:space="preserve">GAFI: </w:t>
      </w:r>
      <w:r w:rsidRPr="003C6467">
        <w:rPr>
          <w:rFonts w:ascii="Arial Narrow" w:hAnsi="Arial Narrow" w:cs="Times New Roman"/>
          <w:color w:val="auto"/>
        </w:rPr>
        <w:t>Siglas que denominan al</w:t>
      </w:r>
      <w:r w:rsidRPr="003C6467">
        <w:rPr>
          <w:rFonts w:ascii="Arial Narrow" w:hAnsi="Arial Narrow" w:cs="Times New Roman"/>
          <w:b/>
          <w:color w:val="auto"/>
        </w:rPr>
        <w:t xml:space="preserve"> </w:t>
      </w:r>
      <w:r w:rsidRPr="003C6467">
        <w:rPr>
          <w:rFonts w:ascii="Arial Narrow" w:hAnsi="Arial Narrow" w:cs="Times New Roman"/>
          <w:color w:val="auto"/>
        </w:rPr>
        <w:t>Grupo de Acción Financiera Internacional, que es un organismo internacional generador de las 40 + 9 recomendaciones sobre lavado de dinero y financiamiento al terrorismo, su</w:t>
      </w:r>
      <w:r w:rsidR="00B369C9" w:rsidRPr="003C6467">
        <w:rPr>
          <w:rFonts w:ascii="Arial Narrow" w:hAnsi="Arial Narrow" w:cs="Times New Roman"/>
          <w:color w:val="auto"/>
        </w:rPr>
        <w:t xml:space="preserve"> sitio web es www.fatf-gafi.org;</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bCs/>
          <w:color w:val="auto"/>
        </w:rPr>
        <w:t>Personas expuestas políticamente</w:t>
      </w:r>
      <w:r w:rsidRPr="003C6467">
        <w:rPr>
          <w:rFonts w:ascii="Arial Narrow" w:hAnsi="Arial Narrow" w:cs="Times New Roman"/>
          <w:bCs/>
          <w:color w:val="auto"/>
        </w:rPr>
        <w:t xml:space="preserve">: </w:t>
      </w:r>
      <w:r w:rsidRPr="003C6467">
        <w:rPr>
          <w:rFonts w:ascii="Arial Narrow" w:hAnsi="Arial Narrow" w:cs="Times New Roman"/>
          <w:color w:val="auto"/>
        </w:rPr>
        <w:t>Para los efectos de lo indicado en el literal c) del artículo 8</w:t>
      </w:r>
      <w:r w:rsidR="00FC445B" w:rsidRPr="003C6467">
        <w:rPr>
          <w:rFonts w:ascii="Arial Narrow" w:hAnsi="Arial Narrow" w:cs="Times New Roman"/>
          <w:color w:val="auto"/>
        </w:rPr>
        <w:t xml:space="preserve"> </w:t>
      </w:r>
      <w:r w:rsidRPr="003C6467">
        <w:rPr>
          <w:rFonts w:ascii="Arial Narrow" w:hAnsi="Arial Narrow" w:cs="Times New Roman"/>
          <w:color w:val="auto"/>
        </w:rPr>
        <w:t>de las presentes Normas es el miembro de la administración ejecutiva del banco corresponsal cliente que se desempeña o se ha desempeñado como funcionario público de alta jerarquía en el país extranjero, incluyendo a sus parientes dentro del primer grado de consa</w:t>
      </w:r>
      <w:r w:rsidR="00B369C9" w:rsidRPr="003C6467">
        <w:rPr>
          <w:rFonts w:ascii="Arial Narrow" w:hAnsi="Arial Narrow" w:cs="Times New Roman"/>
          <w:color w:val="auto"/>
        </w:rPr>
        <w:t>nguinidad y segundo de afinidad;</w:t>
      </w:r>
      <w:r w:rsidRPr="003C6467">
        <w:rPr>
          <w:rFonts w:ascii="Arial Narrow" w:hAnsi="Arial Narrow" w:cs="Times New Roman"/>
          <w:color w:val="auto"/>
        </w:rPr>
        <w:t xml:space="preserve"> </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color w:val="auto"/>
        </w:rPr>
        <w:t xml:space="preserve">Servicio de banca corresponsal: </w:t>
      </w:r>
      <w:r w:rsidRPr="003C6467">
        <w:rPr>
          <w:rFonts w:ascii="Arial Narrow" w:hAnsi="Arial Narrow" w:cs="Times New Roman"/>
          <w:color w:val="auto"/>
        </w:rPr>
        <w:t>Es la prestación de servicios bancarios de una entidad financiera local</w:t>
      </w:r>
      <w:r w:rsidR="00FC445B" w:rsidRPr="003C6467">
        <w:rPr>
          <w:rFonts w:ascii="Arial Narrow" w:hAnsi="Arial Narrow" w:cs="Times New Roman"/>
          <w:color w:val="auto"/>
        </w:rPr>
        <w:t xml:space="preserve"> </w:t>
      </w:r>
      <w:r w:rsidRPr="003C6467">
        <w:rPr>
          <w:rFonts w:ascii="Arial Narrow" w:hAnsi="Arial Narrow" w:cs="Times New Roman"/>
          <w:color w:val="auto"/>
        </w:rPr>
        <w:t xml:space="preserve">a otra entidad financiera ubicada fuera de su territorio, denominada en estas Normas como Banco corresponsal cliente; </w:t>
      </w:r>
    </w:p>
    <w:p w:rsidR="00304DCE" w:rsidRPr="003C6467" w:rsidRDefault="00304DCE" w:rsidP="00B369C9">
      <w:pPr>
        <w:pStyle w:val="Default"/>
        <w:numPr>
          <w:ilvl w:val="0"/>
          <w:numId w:val="15"/>
        </w:numPr>
        <w:ind w:left="426" w:hanging="426"/>
        <w:jc w:val="both"/>
        <w:rPr>
          <w:rFonts w:ascii="Arial Narrow" w:hAnsi="Arial Narrow" w:cs="Times New Roman"/>
          <w:color w:val="auto"/>
        </w:rPr>
      </w:pPr>
      <w:r w:rsidRPr="003C6467">
        <w:rPr>
          <w:rFonts w:ascii="Arial Narrow" w:hAnsi="Arial Narrow" w:cs="Times New Roman"/>
          <w:b/>
          <w:color w:val="auto"/>
        </w:rPr>
        <w:t>Superintendencia</w:t>
      </w:r>
      <w:r w:rsidRPr="003C6467">
        <w:rPr>
          <w:rFonts w:ascii="Arial Narrow" w:hAnsi="Arial Narrow" w:cs="Times New Roman"/>
          <w:color w:val="auto"/>
        </w:rPr>
        <w:t xml:space="preserve">: Superintendencia del Sistema Financiero; y </w:t>
      </w:r>
    </w:p>
    <w:p w:rsidR="00304DCE" w:rsidRPr="003C6467" w:rsidRDefault="00304DCE" w:rsidP="00B369C9">
      <w:pPr>
        <w:numPr>
          <w:ilvl w:val="0"/>
          <w:numId w:val="15"/>
        </w:numPr>
        <w:ind w:left="426" w:hanging="426"/>
        <w:jc w:val="both"/>
        <w:rPr>
          <w:rFonts w:ascii="Arial Narrow" w:hAnsi="Arial Narrow"/>
          <w:szCs w:val="24"/>
        </w:rPr>
      </w:pPr>
      <w:r w:rsidRPr="003C6467">
        <w:rPr>
          <w:rFonts w:ascii="Arial Narrow" w:hAnsi="Arial Narrow"/>
          <w:b/>
          <w:szCs w:val="24"/>
        </w:rPr>
        <w:t>Usuario u ordenante:</w:t>
      </w:r>
      <w:r w:rsidRPr="003C6467">
        <w:rPr>
          <w:rFonts w:ascii="Arial Narrow" w:hAnsi="Arial Narrow"/>
          <w:szCs w:val="24"/>
        </w:rPr>
        <w:t xml:space="preserve"> Persona natural o jurídica que solicita, mediante un banco corresponsal cliente, el pago de una transacción a terceros utilizando un banco corresponsal local.</w:t>
      </w:r>
    </w:p>
    <w:p w:rsidR="00304DCE" w:rsidRPr="003C6467" w:rsidRDefault="00304DCE" w:rsidP="00304DCE">
      <w:pPr>
        <w:pStyle w:val="Default"/>
        <w:ind w:left="426"/>
        <w:jc w:val="both"/>
        <w:rPr>
          <w:rFonts w:ascii="Arial Narrow" w:hAnsi="Arial Narrow" w:cs="Times New Roman"/>
          <w:color w:val="auto"/>
        </w:rPr>
      </w:pPr>
    </w:p>
    <w:p w:rsidR="00304DCE" w:rsidRPr="003C6467" w:rsidRDefault="00304DCE" w:rsidP="00304DCE">
      <w:pPr>
        <w:pStyle w:val="Default"/>
        <w:jc w:val="both"/>
        <w:rPr>
          <w:rFonts w:ascii="Arial Narrow" w:hAnsi="Arial Narrow" w:cs="Times New Roman"/>
          <w:b/>
          <w:color w:val="auto"/>
        </w:rPr>
      </w:pPr>
      <w:r w:rsidRPr="003C6467">
        <w:rPr>
          <w:rFonts w:ascii="Arial Narrow" w:hAnsi="Arial Narrow" w:cs="Times New Roman"/>
          <w:b/>
          <w:color w:val="auto"/>
        </w:rPr>
        <w:t xml:space="preserve">Debida </w:t>
      </w:r>
      <w:r w:rsidR="00B369C9" w:rsidRPr="003C6467">
        <w:rPr>
          <w:rFonts w:ascii="Arial Narrow" w:hAnsi="Arial Narrow" w:cs="Times New Roman"/>
          <w:b/>
          <w:color w:val="auto"/>
        </w:rPr>
        <w:t>d</w:t>
      </w:r>
      <w:r w:rsidRPr="003C6467">
        <w:rPr>
          <w:rFonts w:ascii="Arial Narrow" w:hAnsi="Arial Narrow" w:cs="Times New Roman"/>
          <w:b/>
          <w:color w:val="auto"/>
        </w:rPr>
        <w:t>iligencia</w:t>
      </w:r>
    </w:p>
    <w:p w:rsidR="00304DCE" w:rsidRPr="003C6467" w:rsidRDefault="00304DCE" w:rsidP="006B61FA">
      <w:pPr>
        <w:pStyle w:val="Default"/>
        <w:jc w:val="both"/>
        <w:rPr>
          <w:rFonts w:ascii="Arial Narrow" w:hAnsi="Arial Narrow" w:cs="Times New Roman"/>
          <w:color w:val="auto"/>
        </w:rPr>
      </w:pPr>
      <w:r w:rsidRPr="003C6467">
        <w:rPr>
          <w:rFonts w:ascii="Arial Narrow" w:hAnsi="Arial Narrow" w:cs="Times New Roman"/>
          <w:b/>
          <w:color w:val="auto"/>
        </w:rPr>
        <w:t>Art. 4.-</w:t>
      </w:r>
      <w:r w:rsidRPr="003C6467">
        <w:rPr>
          <w:rFonts w:ascii="Arial Narrow" w:hAnsi="Arial Narrow"/>
          <w:b/>
          <w:color w:val="auto"/>
        </w:rPr>
        <w:t xml:space="preserve"> </w:t>
      </w:r>
      <w:r w:rsidRPr="003C6467">
        <w:rPr>
          <w:rFonts w:ascii="Arial Narrow" w:hAnsi="Arial Narrow" w:cs="Times New Roman"/>
          <w:color w:val="auto"/>
        </w:rPr>
        <w:t xml:space="preserve">Los bancos corresponsales locales deben tener conocimiento de que los bancos corresponsales clientes apliquen la debida diligencia en la detección y prevención del lavado de dinero y de activos, así como del financiamiento al terrorismo, que establecen las prácticas y recomendaciones internacionales al respecto para las operaciones de banca corresponsal. </w:t>
      </w:r>
    </w:p>
    <w:p w:rsidR="00304DCE" w:rsidRPr="003C6467" w:rsidRDefault="00304DCE" w:rsidP="00304DCE">
      <w:pPr>
        <w:pStyle w:val="Default"/>
        <w:ind w:firstLine="708"/>
        <w:jc w:val="both"/>
        <w:rPr>
          <w:rFonts w:ascii="Arial Narrow" w:hAnsi="Arial Narrow" w:cs="Times New Roman"/>
          <w:color w:val="auto"/>
        </w:rPr>
      </w:pPr>
    </w:p>
    <w:p w:rsidR="00304DCE" w:rsidRPr="003C6467" w:rsidRDefault="006B61FA" w:rsidP="00304DCE">
      <w:pPr>
        <w:autoSpaceDE w:val="0"/>
        <w:autoSpaceDN w:val="0"/>
        <w:adjustRightInd w:val="0"/>
        <w:jc w:val="both"/>
        <w:rPr>
          <w:rFonts w:ascii="Arial Narrow" w:hAnsi="Arial Narrow"/>
          <w:b/>
          <w:iCs/>
          <w:szCs w:val="24"/>
        </w:rPr>
      </w:pPr>
      <w:r w:rsidRPr="003C6467">
        <w:rPr>
          <w:rFonts w:ascii="Arial Narrow" w:hAnsi="Arial Narrow"/>
          <w:b/>
          <w:iCs/>
          <w:szCs w:val="24"/>
        </w:rPr>
        <w:t>Políticas</w:t>
      </w:r>
      <w:r w:rsidR="00304DCE" w:rsidRPr="003C6467">
        <w:rPr>
          <w:rFonts w:ascii="Arial Narrow" w:hAnsi="Arial Narrow"/>
          <w:b/>
          <w:iCs/>
          <w:szCs w:val="24"/>
        </w:rPr>
        <w:t xml:space="preserve"> de banca corresponsal local</w:t>
      </w:r>
    </w:p>
    <w:p w:rsidR="00304DCE" w:rsidRPr="003C6467" w:rsidRDefault="00304DCE" w:rsidP="006B61FA">
      <w:pPr>
        <w:jc w:val="both"/>
        <w:rPr>
          <w:rFonts w:ascii="Arial Narrow" w:hAnsi="Arial Narrow"/>
          <w:szCs w:val="24"/>
        </w:rPr>
      </w:pPr>
      <w:r w:rsidRPr="003C6467">
        <w:rPr>
          <w:rFonts w:ascii="Arial Narrow" w:hAnsi="Arial Narrow"/>
          <w:b/>
          <w:szCs w:val="24"/>
        </w:rPr>
        <w:t xml:space="preserve">Art. 5.- </w:t>
      </w:r>
      <w:r w:rsidRPr="003C6467">
        <w:rPr>
          <w:rFonts w:ascii="Arial Narrow" w:hAnsi="Arial Narrow"/>
          <w:szCs w:val="24"/>
        </w:rPr>
        <w:t xml:space="preserve">La Junta Directiva u órgano equivalente del banco corresponsal local es la responsable de velar por la adecuada gestión del riesgo de lavado de dinero y de activos, así como de financiamiento al terrorismo, por lo que deben aprobar políticas, procedimientos y controles internos para identificar y gestionar el referido riesgo en los servicios de banca corresponsal que preste. </w:t>
      </w:r>
    </w:p>
    <w:p w:rsidR="00304DCE" w:rsidRPr="003C6467" w:rsidRDefault="00304DCE" w:rsidP="00304DCE">
      <w:pPr>
        <w:ind w:firstLine="708"/>
        <w:jc w:val="both"/>
        <w:rPr>
          <w:rFonts w:ascii="Arial Narrow" w:hAnsi="Arial Narrow"/>
          <w:szCs w:val="24"/>
        </w:rPr>
      </w:pPr>
    </w:p>
    <w:p w:rsidR="00304DCE" w:rsidRPr="003C6467" w:rsidRDefault="00304DCE" w:rsidP="006B61FA">
      <w:pPr>
        <w:jc w:val="both"/>
        <w:rPr>
          <w:rFonts w:ascii="Arial Narrow" w:hAnsi="Arial Narrow"/>
          <w:szCs w:val="24"/>
        </w:rPr>
      </w:pPr>
      <w:r w:rsidRPr="003C6467">
        <w:rPr>
          <w:rFonts w:ascii="Arial Narrow" w:hAnsi="Arial Narrow"/>
          <w:szCs w:val="24"/>
        </w:rPr>
        <w:t xml:space="preserve">En las políticas debe establecerse expresamente que la entidad no contratará ni prestará servicios de banca corresponsal con bancos pantalla. </w:t>
      </w:r>
    </w:p>
    <w:p w:rsidR="003F115A" w:rsidRDefault="003F115A"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lastRenderedPageBreak/>
        <w:t xml:space="preserve">Principios sobre banca corresponsal </w:t>
      </w:r>
    </w:p>
    <w:p w:rsidR="00304DCE" w:rsidRPr="003C6467" w:rsidRDefault="00304DCE" w:rsidP="006B61FA">
      <w:pPr>
        <w:jc w:val="both"/>
        <w:rPr>
          <w:rFonts w:ascii="Arial Narrow" w:hAnsi="Arial Narrow"/>
          <w:szCs w:val="24"/>
        </w:rPr>
      </w:pPr>
      <w:r w:rsidRPr="003C6467">
        <w:rPr>
          <w:rFonts w:ascii="Arial Narrow" w:hAnsi="Arial Narrow"/>
          <w:b/>
          <w:szCs w:val="24"/>
        </w:rPr>
        <w:t>Art. 6.-</w:t>
      </w:r>
      <w:r w:rsidRPr="003C6467">
        <w:rPr>
          <w:rFonts w:ascii="Arial Narrow" w:hAnsi="Arial Narrow"/>
          <w:szCs w:val="24"/>
        </w:rPr>
        <w:t xml:space="preserve"> Con el objeto de prevenir el riesgo de lavado de dinero y de activos y de financiamiento al terrorismo los bancos corresponsales locales en sus relaciones con la banca corresponsal cliente, deben mantener relaciones transparentes, claras, documentadas y que no pongan en riesgo a la entidad, clientes, sus accionistas y como consecuencia la estabilidad financiera del país.</w:t>
      </w:r>
    </w:p>
    <w:p w:rsidR="00304DCE" w:rsidRPr="003C6467" w:rsidRDefault="00304DCE" w:rsidP="00304DCE">
      <w:pPr>
        <w:ind w:firstLine="708"/>
        <w:jc w:val="both"/>
        <w:rPr>
          <w:rFonts w:ascii="Arial Narrow" w:hAnsi="Arial Narrow"/>
          <w:szCs w:val="24"/>
        </w:rPr>
      </w:pPr>
    </w:p>
    <w:p w:rsidR="00304DCE" w:rsidRPr="003C6467" w:rsidRDefault="00304DCE" w:rsidP="00304DCE">
      <w:pPr>
        <w:jc w:val="both"/>
        <w:rPr>
          <w:rFonts w:ascii="Arial Narrow" w:hAnsi="Arial Narrow"/>
          <w:szCs w:val="24"/>
          <w:lang w:val="es-MX"/>
        </w:rPr>
      </w:pPr>
      <w:r w:rsidRPr="003C6467">
        <w:rPr>
          <w:rFonts w:ascii="Arial Narrow" w:hAnsi="Arial Narrow"/>
          <w:szCs w:val="24"/>
          <w:lang w:val="es-MX"/>
        </w:rPr>
        <w:t>Las entidades deberán prestar atención especial a las relaciones comerciales y transacciones con personas naturales o jurídicas y otras instituciones financieras que realicen operaciones en países que no apliquen las recomendaciones del GAFI o lo hagan de manera insuficiente. Al efecto, una lista actualizada de estos países podrá ser consultada en el sitio web del GAFI. (1)</w:t>
      </w:r>
    </w:p>
    <w:p w:rsidR="00304DCE" w:rsidRPr="003C6467" w:rsidRDefault="00304DCE" w:rsidP="00304DCE">
      <w:pPr>
        <w:jc w:val="both"/>
        <w:rPr>
          <w:rFonts w:ascii="Arial Narrow" w:hAnsi="Arial Narrow"/>
          <w:b/>
          <w:szCs w:val="24"/>
          <w:lang w:val="es-MX"/>
        </w:rPr>
      </w:pPr>
    </w:p>
    <w:p w:rsidR="00304DCE" w:rsidRPr="003C6467" w:rsidRDefault="00304DCE" w:rsidP="00304DCE">
      <w:pPr>
        <w:jc w:val="both"/>
        <w:rPr>
          <w:rFonts w:ascii="Arial Narrow" w:hAnsi="Arial Narrow"/>
          <w:bCs/>
          <w:szCs w:val="24"/>
          <w:vertAlign w:val="superscript"/>
        </w:rPr>
      </w:pPr>
      <w:r w:rsidRPr="003C6467">
        <w:rPr>
          <w:rFonts w:ascii="Arial Narrow" w:hAnsi="Arial Narrow"/>
          <w:b/>
          <w:szCs w:val="24"/>
          <w:lang w:val="es-MX"/>
        </w:rPr>
        <w:t>Art. 6-A.-</w:t>
      </w:r>
      <w:r w:rsidRPr="003C6467">
        <w:rPr>
          <w:rFonts w:ascii="Arial Narrow" w:hAnsi="Arial Narrow"/>
          <w:b/>
          <w:szCs w:val="24"/>
          <w:vertAlign w:val="superscript"/>
          <w:lang w:val="es-MX"/>
        </w:rPr>
        <w:t xml:space="preserve"> </w:t>
      </w:r>
      <w:r w:rsidRPr="003C6467">
        <w:rPr>
          <w:rFonts w:ascii="Arial Narrow" w:hAnsi="Arial Narrow"/>
          <w:szCs w:val="24"/>
          <w:lang w:val="es-MX"/>
        </w:rPr>
        <w:t>En caso que las entidades detecten transacciones inusuales o inconsistentes con el tipo de actividad económica del cliente, deberán examinar, en la mayor medida posible, los antecedentes y el objetivo de dichas transacciones. Si luego del análisis se concluye que se trata de una operación sospechosa, deberán remitir el reporte correspondiente según se define en las “</w:t>
      </w:r>
      <w:r w:rsidRPr="003C6467">
        <w:rPr>
          <w:rFonts w:ascii="Arial Narrow" w:hAnsi="Arial Narrow"/>
          <w:bCs/>
          <w:szCs w:val="24"/>
        </w:rPr>
        <w:t>Normas sobre el Procedimiento de Recolección y Remisión de Información Electrónica de Operaciones Irregulares o Sospechosas” (NPB4-41). (1)</w:t>
      </w:r>
    </w:p>
    <w:p w:rsidR="00304DCE" w:rsidRPr="003C6467" w:rsidRDefault="00304DCE" w:rsidP="00304DCE">
      <w:pPr>
        <w:jc w:val="both"/>
        <w:rPr>
          <w:rFonts w:ascii="Arial Narrow" w:hAnsi="Arial Narrow"/>
          <w:bCs/>
          <w:szCs w:val="24"/>
          <w:vertAlign w:val="superscript"/>
        </w:rPr>
      </w:pPr>
    </w:p>
    <w:p w:rsidR="00304DCE" w:rsidRPr="003C6467" w:rsidRDefault="00304DCE" w:rsidP="00F832BB">
      <w:pPr>
        <w:spacing w:after="120"/>
        <w:jc w:val="both"/>
        <w:rPr>
          <w:rFonts w:ascii="Arial Narrow" w:hAnsi="Arial Narrow"/>
          <w:szCs w:val="24"/>
        </w:rPr>
      </w:pPr>
      <w:r w:rsidRPr="003C6467">
        <w:rPr>
          <w:rFonts w:ascii="Arial Narrow" w:hAnsi="Arial Narrow"/>
          <w:b/>
          <w:szCs w:val="24"/>
        </w:rPr>
        <w:t xml:space="preserve">Art. 6-B.- </w:t>
      </w:r>
      <w:r w:rsidRPr="003C6467">
        <w:rPr>
          <w:rFonts w:ascii="Arial Narrow" w:hAnsi="Arial Narrow"/>
          <w:szCs w:val="24"/>
        </w:rPr>
        <w:t>La Superintendencia, por sí misma o a requerimiento de la Unidad de Investigación Financiera de la Fiscalía General de la República, cuando determine que un país que no aplica las Recomendaciones del GAFI o lo hacen de manera insuficiente, tomando como base la lista actualizada de estos países publicada en el sitio web (</w:t>
      </w:r>
      <w:hyperlink r:id="rId11" w:history="1">
        <w:r w:rsidRPr="003C6467">
          <w:rPr>
            <w:rStyle w:val="Hipervnculo"/>
            <w:rFonts w:ascii="Arial Narrow" w:hAnsi="Arial Narrow"/>
            <w:color w:val="auto"/>
            <w:szCs w:val="24"/>
          </w:rPr>
          <w:t>www.fatf-gafi.org</w:t>
        </w:r>
      </w:hyperlink>
      <w:r w:rsidRPr="003C6467">
        <w:rPr>
          <w:rFonts w:ascii="Arial Narrow" w:hAnsi="Arial Narrow"/>
          <w:szCs w:val="24"/>
        </w:rPr>
        <w:t>), requerirá a las entidades que desarrollen las siguientes medidas: (1)</w:t>
      </w:r>
    </w:p>
    <w:p w:rsidR="00304DCE" w:rsidRPr="003C6467" w:rsidRDefault="00F832BB" w:rsidP="00F832BB">
      <w:pPr>
        <w:ind w:left="425" w:hanging="425"/>
        <w:jc w:val="both"/>
        <w:rPr>
          <w:rFonts w:ascii="Arial Narrow" w:hAnsi="Arial Narrow"/>
          <w:szCs w:val="24"/>
        </w:rPr>
      </w:pPr>
      <w:r w:rsidRPr="003C6467">
        <w:rPr>
          <w:rFonts w:ascii="Arial Narrow" w:hAnsi="Arial Narrow"/>
          <w:szCs w:val="24"/>
        </w:rPr>
        <w:t>a)</w:t>
      </w:r>
      <w:r w:rsidR="00B369C9" w:rsidRPr="003C6467">
        <w:rPr>
          <w:rFonts w:ascii="Arial Narrow" w:hAnsi="Arial Narrow"/>
          <w:szCs w:val="24"/>
        </w:rPr>
        <w:tab/>
      </w:r>
      <w:r w:rsidR="00304DCE" w:rsidRPr="003C6467">
        <w:rPr>
          <w:rFonts w:ascii="Arial Narrow" w:hAnsi="Arial Narrow"/>
          <w:szCs w:val="24"/>
        </w:rPr>
        <w:t>Requisitos estrictos para identificar a los clientes, y mejora de advertencias, incluyendo las financieras específicas para determinadas jurisdicciones, con el objetivo de que las entidades identifiquen a los beneficiarios reales antes de que se establezcan relaciones comerciales con personas naturales o jurídicas procedentes de esos países; (1)</w:t>
      </w:r>
    </w:p>
    <w:p w:rsidR="00304DCE" w:rsidRPr="003C6467" w:rsidRDefault="00F832BB" w:rsidP="00F832BB">
      <w:pPr>
        <w:ind w:left="425" w:hanging="425"/>
        <w:jc w:val="both"/>
        <w:rPr>
          <w:rFonts w:ascii="Arial Narrow" w:hAnsi="Arial Narrow"/>
          <w:szCs w:val="24"/>
        </w:rPr>
      </w:pPr>
      <w:r w:rsidRPr="003C6467">
        <w:rPr>
          <w:rFonts w:ascii="Arial Narrow" w:hAnsi="Arial Narrow"/>
          <w:szCs w:val="24"/>
        </w:rPr>
        <w:t>b)</w:t>
      </w:r>
      <w:r w:rsidRPr="003C6467">
        <w:rPr>
          <w:rFonts w:ascii="Arial Narrow" w:hAnsi="Arial Narrow"/>
          <w:szCs w:val="24"/>
        </w:rPr>
        <w:tab/>
      </w:r>
      <w:r w:rsidR="00304DCE" w:rsidRPr="003C6467">
        <w:rPr>
          <w:rFonts w:ascii="Arial Narrow" w:hAnsi="Arial Narrow"/>
          <w:szCs w:val="24"/>
        </w:rPr>
        <w:t>Mejora de los mecanismos de reporte o instruir el reporte sistemático de todas las transacciones financieras, sobre la base de que es más probable que las transacciones financieras con estos países sean sospechosas; (1)</w:t>
      </w:r>
    </w:p>
    <w:p w:rsidR="00304DCE" w:rsidRPr="003C6467" w:rsidRDefault="00F832BB" w:rsidP="00F832BB">
      <w:pPr>
        <w:ind w:left="425" w:hanging="425"/>
        <w:jc w:val="both"/>
        <w:rPr>
          <w:rFonts w:ascii="Arial Narrow" w:hAnsi="Arial Narrow"/>
          <w:szCs w:val="24"/>
        </w:rPr>
      </w:pPr>
      <w:r w:rsidRPr="003C6467">
        <w:rPr>
          <w:rFonts w:ascii="Arial Narrow" w:hAnsi="Arial Narrow"/>
          <w:szCs w:val="24"/>
        </w:rPr>
        <w:t>c)</w:t>
      </w:r>
      <w:r w:rsidRPr="003C6467">
        <w:rPr>
          <w:rFonts w:ascii="Arial Narrow" w:hAnsi="Arial Narrow"/>
          <w:szCs w:val="24"/>
        </w:rPr>
        <w:tab/>
      </w:r>
      <w:r w:rsidR="00304DCE" w:rsidRPr="003C6467">
        <w:rPr>
          <w:rFonts w:ascii="Arial Narrow" w:hAnsi="Arial Narrow"/>
          <w:szCs w:val="24"/>
        </w:rPr>
        <w:t xml:space="preserve">Advertir a los negocios del sector no financiero, que las transacciones con personas naturales o jurídicas dentro de un país determinado, pudieran correr el riesgo de lavado de dinero; </w:t>
      </w:r>
      <w:r w:rsidR="000A1F7A" w:rsidRPr="003C6467">
        <w:rPr>
          <w:rFonts w:ascii="Arial Narrow" w:hAnsi="Arial Narrow"/>
          <w:szCs w:val="24"/>
        </w:rPr>
        <w:t xml:space="preserve">y </w:t>
      </w:r>
      <w:r w:rsidR="00304DCE" w:rsidRPr="003C6467">
        <w:rPr>
          <w:rFonts w:ascii="Arial Narrow" w:hAnsi="Arial Narrow"/>
          <w:szCs w:val="24"/>
        </w:rPr>
        <w:t>(1)</w:t>
      </w:r>
    </w:p>
    <w:p w:rsidR="00304DCE" w:rsidRPr="003C6467" w:rsidRDefault="00F832BB" w:rsidP="00F832BB">
      <w:pPr>
        <w:ind w:left="425" w:hanging="425"/>
        <w:jc w:val="both"/>
        <w:rPr>
          <w:rFonts w:ascii="Arial Narrow" w:hAnsi="Arial Narrow"/>
          <w:szCs w:val="24"/>
        </w:rPr>
      </w:pPr>
      <w:r w:rsidRPr="003C6467">
        <w:rPr>
          <w:rFonts w:ascii="Arial Narrow" w:hAnsi="Arial Narrow"/>
          <w:szCs w:val="24"/>
        </w:rPr>
        <w:t>d)</w:t>
      </w:r>
      <w:r w:rsidRPr="003C6467">
        <w:rPr>
          <w:rFonts w:ascii="Arial Narrow" w:hAnsi="Arial Narrow"/>
          <w:szCs w:val="24"/>
        </w:rPr>
        <w:tab/>
      </w:r>
      <w:r w:rsidR="00304DCE" w:rsidRPr="003C6467">
        <w:rPr>
          <w:rFonts w:ascii="Arial Narrow" w:hAnsi="Arial Narrow"/>
          <w:szCs w:val="24"/>
        </w:rPr>
        <w:t>Limitar las relaciones comerciales o transacciones financieras con países o personas que representen un riesgo latente de lavado de dinero y activos o de financiamiento al terrorismo. (1)</w:t>
      </w:r>
    </w:p>
    <w:p w:rsidR="00304DCE" w:rsidRPr="003C6467" w:rsidRDefault="00304DCE" w:rsidP="00F832BB">
      <w:pPr>
        <w:ind w:left="425" w:hanging="425"/>
        <w:jc w:val="both"/>
        <w:rPr>
          <w:rFonts w:ascii="Arial Narrow" w:hAnsi="Arial Narrow"/>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Art.</w:t>
      </w:r>
      <w:r w:rsidR="000A1F7A" w:rsidRPr="003C6467">
        <w:rPr>
          <w:rFonts w:ascii="Arial Narrow" w:hAnsi="Arial Narrow"/>
          <w:b/>
          <w:szCs w:val="24"/>
        </w:rPr>
        <w:t xml:space="preserve"> </w:t>
      </w:r>
      <w:r w:rsidRPr="003C6467">
        <w:rPr>
          <w:rFonts w:ascii="Arial Narrow" w:hAnsi="Arial Narrow"/>
          <w:b/>
          <w:szCs w:val="24"/>
        </w:rPr>
        <w:t>6-C.-</w:t>
      </w:r>
      <w:r w:rsidRPr="003C6467">
        <w:rPr>
          <w:rFonts w:ascii="Arial Narrow" w:hAnsi="Arial Narrow"/>
          <w:b/>
          <w:szCs w:val="24"/>
          <w:vertAlign w:val="superscript"/>
        </w:rPr>
        <w:t xml:space="preserve"> </w:t>
      </w:r>
      <w:r w:rsidRPr="003C6467">
        <w:rPr>
          <w:rFonts w:ascii="Arial Narrow" w:hAnsi="Arial Narrow"/>
          <w:szCs w:val="24"/>
        </w:rPr>
        <w:t>La Superintendencia no autorizará el establecimiento de subsidiarias o sucursales u oficinas representativas de instituciones financieras procedentes de un país que no cuenta con sistemas adecuados anti-lavado de dinero y de activos y financiamiento del terrorismo. (1)</w:t>
      </w:r>
    </w:p>
    <w:p w:rsidR="00304DCE" w:rsidRDefault="00304DCE" w:rsidP="00304DCE">
      <w:pPr>
        <w:jc w:val="both"/>
        <w:rPr>
          <w:rFonts w:ascii="Arial Narrow" w:hAnsi="Arial Narrow"/>
          <w:b/>
          <w:szCs w:val="24"/>
        </w:rPr>
      </w:pPr>
    </w:p>
    <w:p w:rsidR="003F115A" w:rsidRPr="003C6467" w:rsidRDefault="003F115A"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lastRenderedPageBreak/>
        <w:t xml:space="preserve">Controles </w:t>
      </w:r>
    </w:p>
    <w:p w:rsidR="00304DCE" w:rsidRPr="003C6467" w:rsidRDefault="00304DCE" w:rsidP="00F832BB">
      <w:pPr>
        <w:jc w:val="both"/>
        <w:rPr>
          <w:rFonts w:ascii="Arial Narrow" w:hAnsi="Arial Narrow"/>
          <w:b/>
          <w:szCs w:val="24"/>
        </w:rPr>
      </w:pPr>
      <w:r w:rsidRPr="003C6467">
        <w:rPr>
          <w:rFonts w:ascii="Arial Narrow" w:hAnsi="Arial Narrow"/>
          <w:b/>
          <w:szCs w:val="24"/>
        </w:rPr>
        <w:t>Art. 7.-</w:t>
      </w:r>
      <w:r w:rsidRPr="003C6467">
        <w:rPr>
          <w:rFonts w:ascii="Arial Narrow" w:hAnsi="Arial Narrow"/>
          <w:szCs w:val="24"/>
        </w:rPr>
        <w:t>Los bancos corresponsables locales deben considerar y evaluar la naturaleza de sus controles contra el lavado de dinero y de activos, y de financiamiento al terrorismo, la manera en que son aplicados, en forma periódica o al menos una vez al año o cuando hayan cambios materiales en el perfil de riesgo del servicio de banca corresponsal.</w:t>
      </w:r>
    </w:p>
    <w:p w:rsidR="00304DCE" w:rsidRPr="003C6467" w:rsidRDefault="00304DCE" w:rsidP="00304DCE">
      <w:pPr>
        <w:ind w:firstLine="708"/>
        <w:jc w:val="both"/>
        <w:rPr>
          <w:rFonts w:ascii="Arial Narrow" w:hAnsi="Arial Narrow"/>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Obtención de información</w:t>
      </w:r>
    </w:p>
    <w:p w:rsidR="00304DCE" w:rsidRPr="003C6467" w:rsidRDefault="00304DCE" w:rsidP="00F832BB">
      <w:pPr>
        <w:spacing w:after="120"/>
        <w:jc w:val="both"/>
        <w:rPr>
          <w:rFonts w:ascii="Arial Narrow" w:hAnsi="Arial Narrow"/>
          <w:szCs w:val="24"/>
        </w:rPr>
      </w:pPr>
      <w:r w:rsidRPr="003C6467">
        <w:rPr>
          <w:rFonts w:ascii="Arial Narrow" w:hAnsi="Arial Narrow"/>
          <w:b/>
          <w:szCs w:val="24"/>
        </w:rPr>
        <w:t>Art. 8.-</w:t>
      </w:r>
      <w:r w:rsidRPr="003C6467">
        <w:rPr>
          <w:rFonts w:ascii="Arial Narrow" w:hAnsi="Arial Narrow"/>
          <w:szCs w:val="24"/>
        </w:rPr>
        <w:t xml:space="preserve"> Previo a suscribir contrato de prestación de servicios de banca corresponsal con un banco corresponsal cliente, la entidad debe recabar información suficiente que le permita verificar la reputación del mismo, así como su sujeción a normas y controles del supervisor de origen sobre la prevención, detección, control y reportes de lavado de dinero y s</w:t>
      </w:r>
      <w:r w:rsidR="00F05C8B" w:rsidRPr="003C6467">
        <w:rPr>
          <w:rFonts w:ascii="Arial Narrow" w:hAnsi="Arial Narrow"/>
          <w:szCs w:val="24"/>
        </w:rPr>
        <w:t>i</w:t>
      </w:r>
      <w:r w:rsidRPr="003C6467">
        <w:rPr>
          <w:rFonts w:ascii="Arial Narrow" w:hAnsi="Arial Narrow"/>
          <w:szCs w:val="24"/>
        </w:rPr>
        <w:t xml:space="preserve"> ha sido objeto de investigaciones por este ilícito, por lo que debe formar</w:t>
      </w:r>
      <w:r w:rsidR="00FC445B" w:rsidRPr="003C6467">
        <w:rPr>
          <w:rFonts w:ascii="Arial Narrow" w:hAnsi="Arial Narrow"/>
          <w:szCs w:val="24"/>
        </w:rPr>
        <w:t xml:space="preserve"> </w:t>
      </w:r>
      <w:r w:rsidRPr="003C6467">
        <w:rPr>
          <w:rFonts w:ascii="Arial Narrow" w:hAnsi="Arial Narrow"/>
          <w:szCs w:val="24"/>
        </w:rPr>
        <w:t>un expediente en el que se documente al menos lo siguiente:</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La determinación del país o jurisdicción en donde está domiciliada la casa matriz del banco corresponsal cliente, el lugar en donde opera y mantiene sus negocios habituales; asimismo, verificar que cuentan con un organismo supervisor que aplique estándares internacionales para la prevención del blanqueo de dinero y de activos, y de</w:t>
      </w:r>
      <w:r w:rsidR="00FC445B" w:rsidRPr="003C6467">
        <w:rPr>
          <w:rFonts w:ascii="Arial Narrow" w:hAnsi="Arial Narrow"/>
          <w:szCs w:val="24"/>
        </w:rPr>
        <w:t xml:space="preserve"> </w:t>
      </w:r>
      <w:r w:rsidRPr="003C6467">
        <w:rPr>
          <w:rFonts w:ascii="Arial Narrow" w:hAnsi="Arial Narrow"/>
          <w:szCs w:val="24"/>
        </w:rPr>
        <w:t xml:space="preserve">financiamiento al terrorismo; </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La entidad debe verificar que el banco corresponsal cliente no se encuentra incluido, por lo menos, en las listas de la Oficina del Control de Activos Extranjero, del Departamento del Tesoro de Estados Unidos de América (OFAC) y de las Naciones Unidas; también deben revisar los pronunciamientos de las agencias reguladoras o supervisoras y/o de organismos internacionales como el GAFI y evaluar el riesgo que presenta el país o jurisdicción en la que el banco corresponsal cliente o su casa matriz están localizados o domiciliados, especialmente cuando se trate de paraísos fiscales o países considerados como no cooperantes por el GAFI;</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Indagación, entre otros aspectos, de la naturaleza jurídica de constitución del banco corresponsal cliente, el domicilio de sus propietarios, experiencia en la conducción de sus negocios, estructura de la propiedad y la participación de personas políticamente expuestas en la propiedad, gestión o administración del banco corresponsal cliente, todo esto con el objeto de evaluar el riesgo a enfrentar en caso de que la entidad local decida ser corresponsal del banco corresponsal cliente;</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Investigación de las clases de negocios, mercados y segmentos en donde mayoritariamente se desempeña el banco corresponsal cliente;</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Declaración jurada del representante legal del banco corresponsal cliente, en la cual se mencione que su representado, en los últimos cinco años, no ha sido objeto de acción legal con resultados adversos en lo administrativo o penal en materia de lavado de dinero y de activos o de financiamiento al terrorismo;</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 xml:space="preserve">Si el banco corresponsal cliente cotiza en bolsa de valores, indagar si sus acciones son transferidas en jurisdicciones con regulación y supervisión adecuadas en materia de lavado de dinero y de activos, y de financiamiento al terrorismo; asimismo, identificar cualquier participación de control significativa; y </w:t>
      </w:r>
    </w:p>
    <w:p w:rsidR="00304DCE" w:rsidRPr="003C6467" w:rsidRDefault="00304DCE" w:rsidP="00F832BB">
      <w:pPr>
        <w:numPr>
          <w:ilvl w:val="0"/>
          <w:numId w:val="13"/>
        </w:numPr>
        <w:ind w:left="425" w:hanging="425"/>
        <w:jc w:val="both"/>
        <w:rPr>
          <w:rFonts w:ascii="Arial Narrow" w:hAnsi="Arial Narrow"/>
          <w:szCs w:val="24"/>
        </w:rPr>
      </w:pPr>
      <w:r w:rsidRPr="003C6467">
        <w:rPr>
          <w:rFonts w:ascii="Arial Narrow" w:hAnsi="Arial Narrow"/>
          <w:szCs w:val="24"/>
        </w:rPr>
        <w:t xml:space="preserve">Certificación del acuerdo de aprobación de la contratación del servicio de banca corresponsal local, emitido por la Junta Directiva o por el funcionario que ésta designe. </w:t>
      </w:r>
    </w:p>
    <w:p w:rsidR="00304DCE" w:rsidRPr="003C6467" w:rsidRDefault="00304DCE" w:rsidP="00304DCE">
      <w:pPr>
        <w:jc w:val="both"/>
        <w:rPr>
          <w:rFonts w:ascii="Arial Narrow" w:hAnsi="Arial Narrow"/>
          <w:b/>
          <w:szCs w:val="24"/>
        </w:rPr>
      </w:pPr>
      <w:r w:rsidRPr="003C6467">
        <w:rPr>
          <w:rFonts w:ascii="Arial Narrow" w:hAnsi="Arial Narrow"/>
          <w:b/>
          <w:szCs w:val="24"/>
        </w:rPr>
        <w:lastRenderedPageBreak/>
        <w:t>Actualización del expediente de los usuarios del banco corresponsal cliente</w:t>
      </w:r>
    </w:p>
    <w:p w:rsidR="00304DCE" w:rsidRPr="003C6467" w:rsidRDefault="00304DCE" w:rsidP="00F832BB">
      <w:pPr>
        <w:jc w:val="both"/>
        <w:rPr>
          <w:rFonts w:ascii="Arial Narrow" w:hAnsi="Arial Narrow"/>
          <w:szCs w:val="24"/>
        </w:rPr>
      </w:pPr>
      <w:r w:rsidRPr="003C6467">
        <w:rPr>
          <w:rFonts w:ascii="Arial Narrow" w:hAnsi="Arial Narrow"/>
          <w:b/>
          <w:szCs w:val="24"/>
        </w:rPr>
        <w:t xml:space="preserve">Art. 9.- </w:t>
      </w:r>
      <w:r w:rsidRPr="003C6467">
        <w:rPr>
          <w:rFonts w:ascii="Arial Narrow" w:hAnsi="Arial Narrow"/>
          <w:szCs w:val="24"/>
        </w:rPr>
        <w:t xml:space="preserve">La entidad corresponsal local debe exigir a los bancos corresponsales clientes que la información de los expedientes de sus usuarios sea revisada y actualizada de manera regular, al menos una vez al año, o cuando hubieren cambios materiales en el perfil de riesgo, lo que deberá figurar en el contrato que se suscriba al efecto. </w:t>
      </w:r>
    </w:p>
    <w:p w:rsidR="00304DCE" w:rsidRPr="003C6467" w:rsidRDefault="00304DCE" w:rsidP="00304DCE">
      <w:pPr>
        <w:ind w:left="709"/>
        <w:jc w:val="both"/>
        <w:rPr>
          <w:rFonts w:ascii="Arial Narrow" w:hAnsi="Arial Narrow"/>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Cuentas de transferencias de pagos en otras plazas</w:t>
      </w:r>
    </w:p>
    <w:p w:rsidR="00304DCE" w:rsidRPr="003C6467" w:rsidRDefault="00304DCE" w:rsidP="00304DCE">
      <w:pPr>
        <w:jc w:val="both"/>
        <w:rPr>
          <w:rFonts w:ascii="Arial Narrow" w:hAnsi="Arial Narrow"/>
          <w:szCs w:val="24"/>
        </w:rPr>
      </w:pPr>
      <w:r w:rsidRPr="003C6467">
        <w:rPr>
          <w:rFonts w:ascii="Arial Narrow" w:hAnsi="Arial Narrow"/>
          <w:b/>
          <w:szCs w:val="24"/>
        </w:rPr>
        <w:t>Art. 10.-</w:t>
      </w:r>
      <w:r w:rsidRPr="003C6467">
        <w:rPr>
          <w:rFonts w:ascii="Arial Narrow" w:hAnsi="Arial Narrow"/>
          <w:szCs w:val="24"/>
        </w:rPr>
        <w:t xml:space="preserve"> Cuando el servicio de banca corresponsal incluya cuentas de transferencias de pagos a otras plazas, el banco corresponsal local debe contar con una certificación del banco corresponsal cliente que avale que ha verificado la identidad y ha realizado el procedimiento de la debida diligencia del usuario que tiene acceso a las cuentas del banco corresponsal cliente y que está en condiciones de suministrar los datos de identificación de los mismos.</w:t>
      </w:r>
    </w:p>
    <w:p w:rsidR="00304DCE" w:rsidRPr="003C6467" w:rsidRDefault="00304DCE"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Base de datos</w:t>
      </w:r>
    </w:p>
    <w:p w:rsidR="00304DCE" w:rsidRPr="003C6467" w:rsidRDefault="00304DCE" w:rsidP="00F832BB">
      <w:pPr>
        <w:jc w:val="both"/>
        <w:rPr>
          <w:rFonts w:ascii="Arial Narrow" w:hAnsi="Arial Narrow"/>
          <w:szCs w:val="24"/>
        </w:rPr>
      </w:pPr>
      <w:r w:rsidRPr="003C6467">
        <w:rPr>
          <w:rFonts w:ascii="Arial Narrow" w:hAnsi="Arial Narrow"/>
          <w:b/>
          <w:szCs w:val="24"/>
        </w:rPr>
        <w:t>Art. 11.-</w:t>
      </w:r>
      <w:r w:rsidRPr="003C6467">
        <w:rPr>
          <w:rFonts w:ascii="Arial Narrow" w:hAnsi="Arial Narrow"/>
          <w:szCs w:val="24"/>
        </w:rPr>
        <w:t xml:space="preserve"> Con la finalidad de tener un perfil de riesgo de los bancos corresponsales clientes, el banco corresponsal local debe crear una base de datos con la documentación y justificativos electrónicos de las operaciones o transacciones que aquellos realizan con éste.</w:t>
      </w:r>
      <w:r w:rsidR="00FC445B" w:rsidRPr="003C6467">
        <w:rPr>
          <w:rFonts w:ascii="Arial Narrow" w:hAnsi="Arial Narrow"/>
          <w:szCs w:val="24"/>
        </w:rPr>
        <w:t xml:space="preserve"> </w:t>
      </w:r>
      <w:r w:rsidRPr="003C6467">
        <w:rPr>
          <w:rFonts w:ascii="Arial Narrow" w:hAnsi="Arial Narrow"/>
          <w:szCs w:val="24"/>
        </w:rPr>
        <w:t>La base estadística deberá contar con datos, no solamente de cifras monetarias, sino mencionar cuáles del total de las transacciones han sido consideradas irregulares o sospechosas, la frecuencia de las mismas y por qué han sido consideradas como tales.</w:t>
      </w:r>
    </w:p>
    <w:p w:rsidR="00304DCE" w:rsidRPr="003C6467" w:rsidRDefault="00304DCE" w:rsidP="00304DCE">
      <w:pPr>
        <w:jc w:val="both"/>
        <w:rPr>
          <w:rFonts w:ascii="Arial Narrow" w:hAnsi="Arial Narrow"/>
          <w:szCs w:val="24"/>
        </w:rPr>
      </w:pPr>
    </w:p>
    <w:p w:rsidR="00304DCE" w:rsidRPr="003C6467" w:rsidRDefault="00304DCE" w:rsidP="00F832BB">
      <w:pPr>
        <w:spacing w:after="120"/>
        <w:jc w:val="both"/>
        <w:rPr>
          <w:rFonts w:ascii="Arial Narrow" w:hAnsi="Arial Narrow"/>
          <w:szCs w:val="24"/>
        </w:rPr>
      </w:pPr>
      <w:r w:rsidRPr="003C6467">
        <w:rPr>
          <w:rFonts w:ascii="Arial Narrow" w:hAnsi="Arial Narrow"/>
          <w:szCs w:val="24"/>
        </w:rPr>
        <w:t>Para cumplir con dicho cometido,</w:t>
      </w:r>
      <w:r w:rsidR="00FC445B" w:rsidRPr="003C6467">
        <w:rPr>
          <w:rFonts w:ascii="Arial Narrow" w:hAnsi="Arial Narrow"/>
          <w:szCs w:val="24"/>
        </w:rPr>
        <w:t xml:space="preserve"> </w:t>
      </w:r>
      <w:r w:rsidRPr="003C6467">
        <w:rPr>
          <w:rFonts w:ascii="Arial Narrow" w:hAnsi="Arial Narrow"/>
          <w:szCs w:val="24"/>
        </w:rPr>
        <w:t>la base estadística de las entidades locales en su rol de corresponsal debe, como mínimo, contener la información siguiente:</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Nombre del usuario u ordenante de la operación;</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Nombre del beneficiario;</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Si el usuario o el beneficiario es una persona expuesta políticamente;</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Si el usuario es cliente frecuente del banco corresponsal cliente y el grado de frecuencia con que requiere de sus servicios o productos (diario, semanal</w:t>
      </w:r>
      <w:r w:rsidR="00F05C8B" w:rsidRPr="003C6467">
        <w:rPr>
          <w:rFonts w:ascii="Arial Narrow" w:hAnsi="Arial Narrow"/>
          <w:szCs w:val="24"/>
        </w:rPr>
        <w:t>,</w:t>
      </w:r>
      <w:r w:rsidRPr="003C6467">
        <w:rPr>
          <w:rFonts w:ascii="Arial Narrow" w:hAnsi="Arial Narrow"/>
          <w:szCs w:val="24"/>
        </w:rPr>
        <w:t xml:space="preserve"> mensual, etc.);</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Clase</w:t>
      </w:r>
      <w:r w:rsidR="00FC445B" w:rsidRPr="003C6467">
        <w:rPr>
          <w:rFonts w:ascii="Arial Narrow" w:hAnsi="Arial Narrow"/>
          <w:szCs w:val="24"/>
        </w:rPr>
        <w:t xml:space="preserve"> </w:t>
      </w:r>
      <w:r w:rsidRPr="003C6467">
        <w:rPr>
          <w:rFonts w:ascii="Arial Narrow" w:hAnsi="Arial Narrow"/>
          <w:szCs w:val="24"/>
        </w:rPr>
        <w:t>de producto, servicio u operación; y</w:t>
      </w:r>
    </w:p>
    <w:p w:rsidR="00304DCE" w:rsidRPr="003C6467" w:rsidRDefault="00304DCE" w:rsidP="00F832BB">
      <w:pPr>
        <w:pStyle w:val="Prrafodelista"/>
        <w:numPr>
          <w:ilvl w:val="0"/>
          <w:numId w:val="14"/>
        </w:numPr>
        <w:ind w:left="425" w:hanging="425"/>
        <w:contextualSpacing/>
        <w:jc w:val="both"/>
        <w:rPr>
          <w:rFonts w:ascii="Arial Narrow" w:hAnsi="Arial Narrow"/>
          <w:szCs w:val="24"/>
        </w:rPr>
      </w:pPr>
      <w:r w:rsidRPr="003C6467">
        <w:rPr>
          <w:rFonts w:ascii="Arial Narrow" w:hAnsi="Arial Narrow"/>
          <w:szCs w:val="24"/>
        </w:rPr>
        <w:t>Monto de la transacción u operación.</w:t>
      </w:r>
    </w:p>
    <w:p w:rsidR="00304DCE" w:rsidRPr="003C6467" w:rsidRDefault="00304DCE" w:rsidP="00304DCE">
      <w:pPr>
        <w:jc w:val="both"/>
        <w:rPr>
          <w:rFonts w:ascii="Arial Narrow" w:hAnsi="Arial Narrow"/>
          <w:szCs w:val="24"/>
        </w:rPr>
      </w:pPr>
    </w:p>
    <w:p w:rsidR="00304DCE" w:rsidRPr="003C6467" w:rsidRDefault="00304DCE" w:rsidP="00F832BB">
      <w:pPr>
        <w:jc w:val="both"/>
        <w:rPr>
          <w:rFonts w:ascii="Arial Narrow" w:hAnsi="Arial Narrow"/>
          <w:szCs w:val="24"/>
        </w:rPr>
      </w:pPr>
      <w:r w:rsidRPr="003C6467">
        <w:rPr>
          <w:rFonts w:ascii="Arial Narrow" w:hAnsi="Arial Narrow"/>
          <w:szCs w:val="24"/>
        </w:rPr>
        <w:t>La base de datos y el perfil de riesgo de los bancos corresponsales clientes, debidamente documentado, debe en cualquier momento estar a disposición de la Superintendencia y de la Unidad de Investigación Financiera (UIF) adscrita a la Fiscalía General de la República, para los efectos que estimen convenientes.</w:t>
      </w:r>
    </w:p>
    <w:p w:rsidR="00997B27" w:rsidRPr="003C6467" w:rsidRDefault="00997B27" w:rsidP="00304DCE">
      <w:pPr>
        <w:jc w:val="both"/>
        <w:rPr>
          <w:rFonts w:ascii="Arial Narrow" w:hAnsi="Arial Narrow"/>
          <w:szCs w:val="24"/>
        </w:rPr>
      </w:pPr>
    </w:p>
    <w:p w:rsidR="00304DCE" w:rsidRPr="003C6467" w:rsidRDefault="00304DCE" w:rsidP="00304DCE">
      <w:pPr>
        <w:jc w:val="center"/>
        <w:rPr>
          <w:rFonts w:ascii="Arial Narrow" w:hAnsi="Arial Narrow"/>
          <w:b/>
          <w:szCs w:val="24"/>
        </w:rPr>
      </w:pPr>
      <w:r w:rsidRPr="003C6467">
        <w:rPr>
          <w:rFonts w:ascii="Arial Narrow" w:hAnsi="Arial Narrow"/>
          <w:b/>
          <w:szCs w:val="24"/>
        </w:rPr>
        <w:t>CAPÍTULO III</w:t>
      </w:r>
    </w:p>
    <w:p w:rsidR="00304DCE" w:rsidRPr="003C6467" w:rsidRDefault="00304DCE" w:rsidP="00304DCE">
      <w:pPr>
        <w:jc w:val="center"/>
        <w:rPr>
          <w:rFonts w:ascii="Arial Narrow" w:hAnsi="Arial Narrow"/>
          <w:b/>
          <w:szCs w:val="24"/>
        </w:rPr>
      </w:pPr>
      <w:r w:rsidRPr="003C6467">
        <w:rPr>
          <w:rFonts w:ascii="Arial Narrow" w:hAnsi="Arial Narrow"/>
          <w:b/>
          <w:szCs w:val="24"/>
        </w:rPr>
        <w:t>OTRAS DISPOSICIONES Y VIGENCIA</w:t>
      </w:r>
    </w:p>
    <w:p w:rsidR="00304DCE" w:rsidRPr="003C6467" w:rsidRDefault="00304DCE"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Bancos Centrales y Organismos Supranacionales</w:t>
      </w:r>
    </w:p>
    <w:p w:rsidR="00304DCE" w:rsidRPr="003C6467" w:rsidRDefault="00304DCE" w:rsidP="003F115A">
      <w:pPr>
        <w:widowControl w:val="0"/>
        <w:jc w:val="both"/>
        <w:rPr>
          <w:rFonts w:ascii="Arial Narrow" w:hAnsi="Arial Narrow"/>
          <w:b/>
          <w:szCs w:val="24"/>
        </w:rPr>
      </w:pPr>
      <w:bookmarkStart w:id="0" w:name="_GoBack"/>
      <w:bookmarkEnd w:id="0"/>
      <w:r w:rsidRPr="003C6467">
        <w:rPr>
          <w:rFonts w:ascii="Arial Narrow" w:hAnsi="Arial Narrow"/>
          <w:b/>
          <w:szCs w:val="24"/>
        </w:rPr>
        <w:t>Art. 12.-</w:t>
      </w:r>
      <w:r w:rsidRPr="003C6467">
        <w:rPr>
          <w:rFonts w:ascii="Arial Narrow" w:hAnsi="Arial Narrow"/>
          <w:szCs w:val="24"/>
        </w:rPr>
        <w:t xml:space="preserve"> Estas Normas no serán de aplicación a las relaciones contractuales con Bancos Centrales y </w:t>
      </w:r>
      <w:r w:rsidRPr="003C6467">
        <w:rPr>
          <w:rFonts w:ascii="Arial Narrow" w:hAnsi="Arial Narrow"/>
          <w:szCs w:val="24"/>
        </w:rPr>
        <w:lastRenderedPageBreak/>
        <w:t>autoridades monetarias de los países miembros del GAFI u organismos supranacionales, ni a las operaciones que se realicen por medio del sistema de interconexión de pagos regionales desarrollado por el Banco Central de Reserva de El Salvador.</w:t>
      </w:r>
    </w:p>
    <w:p w:rsidR="00304DCE" w:rsidRPr="003C6467" w:rsidRDefault="00304DCE"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Transitorio</w:t>
      </w:r>
    </w:p>
    <w:p w:rsidR="00304DCE" w:rsidRPr="003C6467" w:rsidRDefault="00304DCE" w:rsidP="00F832BB">
      <w:pPr>
        <w:jc w:val="both"/>
        <w:rPr>
          <w:rFonts w:ascii="Arial Narrow" w:hAnsi="Arial Narrow"/>
          <w:b/>
          <w:szCs w:val="24"/>
        </w:rPr>
      </w:pPr>
      <w:r w:rsidRPr="003C6467">
        <w:rPr>
          <w:rFonts w:ascii="Arial Narrow" w:hAnsi="Arial Narrow"/>
          <w:b/>
          <w:szCs w:val="24"/>
        </w:rPr>
        <w:t>Art. 13.-</w:t>
      </w:r>
      <w:r w:rsidRPr="003C6467">
        <w:rPr>
          <w:rFonts w:ascii="Arial Narrow" w:hAnsi="Arial Narrow"/>
          <w:szCs w:val="24"/>
        </w:rPr>
        <w:t xml:space="preserve"> En caso hubiese alguna entidad que actualmente se encuentre prestando el servicio de banca corresponsal, deberá evaluar su relación con cada uno de los bancos corresponsales clientes, verificando si cumplen con las disposiciones de estas</w:t>
      </w:r>
      <w:r w:rsidR="00FC445B" w:rsidRPr="003C6467">
        <w:rPr>
          <w:rFonts w:ascii="Arial Narrow" w:hAnsi="Arial Narrow"/>
          <w:szCs w:val="24"/>
        </w:rPr>
        <w:t xml:space="preserve"> </w:t>
      </w:r>
      <w:r w:rsidRPr="003C6467">
        <w:rPr>
          <w:rFonts w:ascii="Arial Narrow" w:hAnsi="Arial Narrow"/>
          <w:szCs w:val="24"/>
        </w:rPr>
        <w:t>Normas y contarán con</w:t>
      </w:r>
      <w:r w:rsidR="00FC445B" w:rsidRPr="003C6467">
        <w:rPr>
          <w:rFonts w:ascii="Arial Narrow" w:hAnsi="Arial Narrow"/>
          <w:szCs w:val="24"/>
        </w:rPr>
        <w:t xml:space="preserve"> </w:t>
      </w:r>
      <w:r w:rsidRPr="003C6467">
        <w:rPr>
          <w:rFonts w:ascii="Arial Narrow" w:hAnsi="Arial Narrow"/>
          <w:szCs w:val="24"/>
        </w:rPr>
        <w:t>treinta días a partir de la vigencia de las mismas para solicitar la autorización al Banco Central de Reserva de El Salvador.</w:t>
      </w:r>
    </w:p>
    <w:p w:rsidR="00304DCE" w:rsidRPr="003C6467" w:rsidRDefault="00304DCE" w:rsidP="00304DCE">
      <w:pPr>
        <w:jc w:val="both"/>
        <w:rPr>
          <w:rFonts w:ascii="Arial Narrow" w:hAnsi="Arial Narrow"/>
          <w:b/>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Lo no previsto</w:t>
      </w:r>
    </w:p>
    <w:p w:rsidR="00304DCE" w:rsidRPr="003C6467" w:rsidRDefault="00304DCE" w:rsidP="00F832BB">
      <w:pPr>
        <w:jc w:val="both"/>
        <w:rPr>
          <w:rFonts w:ascii="Arial Narrow" w:hAnsi="Arial Narrow"/>
          <w:szCs w:val="24"/>
        </w:rPr>
      </w:pPr>
      <w:r w:rsidRPr="003C6467">
        <w:rPr>
          <w:rFonts w:ascii="Arial Narrow" w:hAnsi="Arial Narrow"/>
          <w:b/>
          <w:szCs w:val="24"/>
        </w:rPr>
        <w:t>Art. 14.-</w:t>
      </w:r>
      <w:r w:rsidRPr="003C6467">
        <w:rPr>
          <w:rFonts w:ascii="Arial Narrow" w:hAnsi="Arial Narrow"/>
          <w:szCs w:val="24"/>
        </w:rPr>
        <w:t xml:space="preserve"> Lo no previsto en las presentes Normas será resuelto por el Consejo Directivo de la Superintendencia.</w:t>
      </w:r>
    </w:p>
    <w:p w:rsidR="00304DCE" w:rsidRPr="003C6467" w:rsidRDefault="00304DCE" w:rsidP="00304DCE">
      <w:pPr>
        <w:ind w:firstLine="709"/>
        <w:jc w:val="both"/>
        <w:rPr>
          <w:rFonts w:ascii="Arial Narrow" w:hAnsi="Arial Narrow"/>
          <w:szCs w:val="24"/>
        </w:rPr>
      </w:pPr>
    </w:p>
    <w:p w:rsidR="00304DCE" w:rsidRPr="003C6467" w:rsidRDefault="00304DCE" w:rsidP="00304DCE">
      <w:pPr>
        <w:jc w:val="both"/>
        <w:rPr>
          <w:rFonts w:ascii="Arial Narrow" w:hAnsi="Arial Narrow"/>
          <w:b/>
          <w:szCs w:val="24"/>
        </w:rPr>
      </w:pPr>
      <w:r w:rsidRPr="003C6467">
        <w:rPr>
          <w:rFonts w:ascii="Arial Narrow" w:hAnsi="Arial Narrow"/>
          <w:b/>
          <w:szCs w:val="24"/>
        </w:rPr>
        <w:t>Vigencia</w:t>
      </w:r>
    </w:p>
    <w:p w:rsidR="00304DCE" w:rsidRPr="003C6467" w:rsidRDefault="00304DCE" w:rsidP="00F832BB">
      <w:pPr>
        <w:jc w:val="both"/>
        <w:rPr>
          <w:rFonts w:ascii="Arial Narrow" w:hAnsi="Arial Narrow"/>
          <w:szCs w:val="24"/>
        </w:rPr>
      </w:pPr>
      <w:r w:rsidRPr="003C6467">
        <w:rPr>
          <w:rFonts w:ascii="Arial Narrow" w:hAnsi="Arial Narrow"/>
          <w:b/>
          <w:szCs w:val="24"/>
        </w:rPr>
        <w:t>Art. 15.-</w:t>
      </w:r>
      <w:r w:rsidRPr="003C6467">
        <w:rPr>
          <w:rFonts w:ascii="Arial Narrow" w:hAnsi="Arial Narrow"/>
          <w:szCs w:val="24"/>
        </w:rPr>
        <w:t xml:space="preserve"> Las presentes Normas entrarán en vigencia el uno de agosto de dos mil once.</w:t>
      </w:r>
      <w:r w:rsidR="00FC445B" w:rsidRPr="003C6467">
        <w:rPr>
          <w:rFonts w:ascii="Arial Narrow" w:hAnsi="Arial Narrow"/>
          <w:szCs w:val="24"/>
        </w:rPr>
        <w:t xml:space="preserve"> </w:t>
      </w:r>
    </w:p>
    <w:p w:rsidR="00304DCE" w:rsidRPr="003C6467" w:rsidRDefault="00304DCE" w:rsidP="00997B27">
      <w:pPr>
        <w:rPr>
          <w:rFonts w:ascii="Arial Narrow" w:hAnsi="Arial Narrow"/>
          <w:szCs w:val="24"/>
        </w:rPr>
      </w:pPr>
    </w:p>
    <w:p w:rsidR="00304DCE" w:rsidRPr="003C6467" w:rsidRDefault="00304DCE" w:rsidP="00F832BB">
      <w:pPr>
        <w:jc w:val="both"/>
        <w:rPr>
          <w:rFonts w:ascii="Arial Narrow" w:hAnsi="Arial Narrow"/>
          <w:b/>
          <w:szCs w:val="24"/>
        </w:rPr>
      </w:pPr>
    </w:p>
    <w:p w:rsidR="00304DCE" w:rsidRPr="003C6467" w:rsidRDefault="00304DCE" w:rsidP="00F832BB">
      <w:pPr>
        <w:jc w:val="both"/>
        <w:rPr>
          <w:rFonts w:ascii="Arial Narrow" w:hAnsi="Arial Narrow"/>
          <w:b/>
          <w:szCs w:val="24"/>
        </w:rPr>
      </w:pPr>
    </w:p>
    <w:p w:rsidR="00F832BB" w:rsidRPr="003C6467" w:rsidRDefault="00F832BB" w:rsidP="00F832BB">
      <w:pPr>
        <w:jc w:val="both"/>
        <w:rPr>
          <w:rFonts w:ascii="Arial Narrow" w:hAnsi="Arial Narrow"/>
          <w:b/>
          <w:sz w:val="22"/>
          <w:szCs w:val="22"/>
        </w:rPr>
      </w:pPr>
      <w:r w:rsidRPr="003C6467">
        <w:rPr>
          <w:rFonts w:ascii="Arial Narrow" w:hAnsi="Arial Narrow"/>
          <w:b/>
          <w:sz w:val="22"/>
          <w:szCs w:val="22"/>
        </w:rPr>
        <w:t>MODIFICACIONES:</w:t>
      </w:r>
    </w:p>
    <w:p w:rsidR="00304DCE" w:rsidRPr="003C6467" w:rsidRDefault="00F832BB" w:rsidP="00F832BB">
      <w:pPr>
        <w:ind w:left="425" w:hanging="425"/>
        <w:jc w:val="both"/>
        <w:rPr>
          <w:rFonts w:ascii="Arial Narrow" w:hAnsi="Arial Narrow"/>
          <w:b/>
          <w:sz w:val="22"/>
          <w:szCs w:val="22"/>
        </w:rPr>
      </w:pPr>
      <w:r w:rsidRPr="003C6467">
        <w:rPr>
          <w:rFonts w:ascii="Arial Narrow" w:hAnsi="Arial Narrow"/>
          <w:b/>
          <w:sz w:val="22"/>
          <w:szCs w:val="22"/>
        </w:rPr>
        <w:t>(1)</w:t>
      </w:r>
      <w:r w:rsidRPr="003C6467">
        <w:rPr>
          <w:rFonts w:ascii="Arial Narrow" w:hAnsi="Arial Narrow"/>
          <w:b/>
          <w:sz w:val="22"/>
          <w:szCs w:val="22"/>
        </w:rPr>
        <w:tab/>
      </w:r>
      <w:r w:rsidR="00304DCE" w:rsidRPr="003C6467">
        <w:rPr>
          <w:rFonts w:ascii="Arial Narrow" w:hAnsi="Arial Narrow"/>
          <w:b/>
          <w:sz w:val="22"/>
          <w:szCs w:val="22"/>
        </w:rPr>
        <w:t>Modificaciones Aprobadas por el Comité de Normas del Banco Central de Reserva de El Salvador, en Sesión No. CN-05/2012 de fecha 27 de abril de 2012, con vigencia a partir del día 14 de mayo de dos mil doce.</w:t>
      </w:r>
    </w:p>
    <w:p w:rsidR="00993790" w:rsidRPr="003C6467" w:rsidRDefault="00993790" w:rsidP="00304DCE">
      <w:pPr>
        <w:pStyle w:val="Textoindependiente"/>
        <w:jc w:val="center"/>
        <w:rPr>
          <w:rFonts w:ascii="Arial Narrow" w:hAnsi="Arial Narrow"/>
          <w:szCs w:val="24"/>
          <w:lang w:val="es-ES_tradnl"/>
        </w:rPr>
      </w:pPr>
    </w:p>
    <w:sectPr w:rsidR="00993790" w:rsidRPr="003C6467" w:rsidSect="00C41F4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A1" w:rsidRDefault="00E806A1" w:rsidP="009C24F4">
      <w:r>
        <w:separator/>
      </w:r>
    </w:p>
    <w:p w:rsidR="00E806A1" w:rsidRDefault="00E806A1"/>
  </w:endnote>
  <w:endnote w:type="continuationSeparator" w:id="0">
    <w:p w:rsidR="00E806A1" w:rsidRDefault="00E806A1" w:rsidP="009C24F4">
      <w:r>
        <w:continuationSeparator/>
      </w:r>
    </w:p>
    <w:p w:rsidR="00E806A1" w:rsidRDefault="00E806A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jc w:val="center"/>
      <w:tblBorders>
        <w:top w:val="triple" w:sz="4" w:space="0" w:color="A6A6A6" w:themeColor="background1" w:themeShade="A6"/>
      </w:tblBorders>
      <w:tblLook w:val="04A0"/>
    </w:tblPr>
    <w:tblGrid>
      <w:gridCol w:w="1985"/>
      <w:gridCol w:w="6521"/>
      <w:gridCol w:w="2126"/>
    </w:tblGrid>
    <w:tr w:rsidR="00B11766" w:rsidRPr="00B11766" w:rsidTr="00DD59D3">
      <w:trPr>
        <w:trHeight w:val="822"/>
        <w:jc w:val="center"/>
      </w:trPr>
      <w:tc>
        <w:tcPr>
          <w:tcW w:w="1985" w:type="dxa"/>
          <w:tcBorders>
            <w:top w:val="nil"/>
            <w:left w:val="nil"/>
            <w:bottom w:val="nil"/>
            <w:right w:val="nil"/>
          </w:tcBorders>
          <w:vAlign w:val="bottom"/>
        </w:tcPr>
        <w:p w:rsidR="009C24F4" w:rsidRPr="00AB1766" w:rsidRDefault="009C24F4" w:rsidP="00DD59D3">
          <w:pPr>
            <w:pStyle w:val="Piedepgina"/>
            <w:ind w:firstLine="34"/>
            <w:jc w:val="center"/>
            <w:rPr>
              <w:rFonts w:ascii="Arial Narrow" w:hAnsi="Arial Narrow"/>
              <w:color w:val="808080" w:themeColor="background1" w:themeShade="80"/>
              <w:sz w:val="20"/>
            </w:rPr>
          </w:pPr>
        </w:p>
        <w:p w:rsidR="009C24F4" w:rsidRPr="00AB1766" w:rsidRDefault="009C24F4" w:rsidP="00DD59D3">
          <w:pPr>
            <w:pStyle w:val="Piedepgina"/>
            <w:ind w:firstLine="34"/>
            <w:jc w:val="center"/>
            <w:rPr>
              <w:rFonts w:ascii="Arial Narrow" w:hAnsi="Arial Narrow"/>
              <w:color w:val="808080" w:themeColor="background1" w:themeShade="80"/>
              <w:sz w:val="20"/>
            </w:rPr>
          </w:pPr>
        </w:p>
        <w:p w:rsidR="009C24F4" w:rsidRPr="00AB1766" w:rsidRDefault="009C24F4" w:rsidP="00DD59D3">
          <w:pPr>
            <w:pStyle w:val="Piedepgina"/>
            <w:ind w:firstLine="34"/>
            <w:rPr>
              <w:rFonts w:ascii="Arial Narrow" w:hAnsi="Arial Narrow"/>
              <w:color w:val="808080" w:themeColor="background1" w:themeShade="80"/>
              <w:sz w:val="20"/>
              <w:lang w:val="es-ES"/>
            </w:rPr>
          </w:pPr>
        </w:p>
      </w:tc>
      <w:tc>
        <w:tcPr>
          <w:tcW w:w="6521" w:type="dxa"/>
          <w:tcBorders>
            <w:top w:val="triple" w:sz="4" w:space="0" w:color="A6A6A6" w:themeColor="background1" w:themeShade="A6"/>
            <w:left w:val="nil"/>
            <w:bottom w:val="nil"/>
            <w:right w:val="nil"/>
          </w:tcBorders>
          <w:vAlign w:val="center"/>
          <w:hideMark/>
        </w:tcPr>
        <w:p w:rsidR="009C24F4" w:rsidRPr="00AB1766" w:rsidRDefault="009C24F4" w:rsidP="00DD59D3">
          <w:pPr>
            <w:pStyle w:val="Piedepgina"/>
            <w:jc w:val="center"/>
            <w:rPr>
              <w:rFonts w:ascii="Arial Narrow" w:hAnsi="Arial Narrow" w:cs="Arial"/>
              <w:color w:val="808080" w:themeColor="background1" w:themeShade="80"/>
              <w:sz w:val="20"/>
              <w:lang w:val="es-MX"/>
            </w:rPr>
          </w:pPr>
          <w:r w:rsidRPr="00AB1766">
            <w:rPr>
              <w:rFonts w:ascii="Arial Narrow" w:hAnsi="Arial Narrow" w:cs="Arial"/>
              <w:color w:val="808080" w:themeColor="background1" w:themeShade="80"/>
              <w:sz w:val="20"/>
              <w:lang w:val="es-MX"/>
            </w:rPr>
            <w:t>Alameda Juan Pablo II, entre 15 y 17 Av. Norte, San Salvador, El Salvador.</w:t>
          </w:r>
        </w:p>
        <w:p w:rsidR="009C24F4" w:rsidRPr="00AB1766" w:rsidRDefault="009C24F4" w:rsidP="00DD59D3">
          <w:pPr>
            <w:pStyle w:val="Piedepgina"/>
            <w:jc w:val="center"/>
            <w:rPr>
              <w:rFonts w:ascii="Arial Narrow" w:hAnsi="Arial Narrow" w:cs="Arial"/>
              <w:color w:val="808080" w:themeColor="background1" w:themeShade="80"/>
              <w:sz w:val="20"/>
              <w:lang w:val="es-ES"/>
            </w:rPr>
          </w:pPr>
          <w:r w:rsidRPr="00AB1766">
            <w:rPr>
              <w:rFonts w:ascii="Arial Narrow" w:hAnsi="Arial Narrow" w:cs="Arial"/>
              <w:color w:val="808080" w:themeColor="background1" w:themeShade="80"/>
              <w:sz w:val="20"/>
            </w:rPr>
            <w:t>Tel. (503) 2281-8000</w:t>
          </w:r>
        </w:p>
        <w:p w:rsidR="009C24F4" w:rsidRPr="00AB1766" w:rsidRDefault="009C24F4" w:rsidP="00DD59D3">
          <w:pPr>
            <w:pStyle w:val="Piedepgina"/>
            <w:jc w:val="center"/>
            <w:rPr>
              <w:rFonts w:ascii="Arial Narrow" w:hAnsi="Arial Narrow" w:cs="Arial"/>
              <w:color w:val="808080" w:themeColor="background1" w:themeShade="80"/>
              <w:sz w:val="20"/>
              <w:lang w:val="es-ES"/>
            </w:rPr>
          </w:pPr>
          <w:r w:rsidRPr="00AB1766">
            <w:rPr>
              <w:rFonts w:ascii="Arial Narrow" w:hAnsi="Arial Narrow" w:cs="Arial"/>
              <w:color w:val="808080" w:themeColor="background1" w:themeShade="80"/>
              <w:sz w:val="20"/>
            </w:rPr>
            <w:t>www.bcr.gob.sv</w:t>
          </w:r>
        </w:p>
      </w:tc>
      <w:tc>
        <w:tcPr>
          <w:tcW w:w="2126" w:type="dxa"/>
          <w:tcBorders>
            <w:top w:val="triple" w:sz="4" w:space="0" w:color="A6A6A6" w:themeColor="background1" w:themeShade="A6"/>
            <w:left w:val="nil"/>
            <w:bottom w:val="nil"/>
            <w:right w:val="nil"/>
          </w:tcBorders>
          <w:vAlign w:val="center"/>
          <w:hideMark/>
        </w:tcPr>
        <w:p w:rsidR="009C24F4" w:rsidRPr="00AB1766" w:rsidRDefault="00C41F41" w:rsidP="00DD59D3">
          <w:pPr>
            <w:pStyle w:val="Piedepgina"/>
            <w:jc w:val="center"/>
            <w:rPr>
              <w:rFonts w:ascii="Arial Narrow" w:hAnsi="Arial Narrow" w:cs="Arial"/>
              <w:color w:val="808080" w:themeColor="background1" w:themeShade="80"/>
              <w:sz w:val="20"/>
              <w:lang w:val="es-ES"/>
            </w:rPr>
          </w:pPr>
          <w:sdt>
            <w:sdtPr>
              <w:rPr>
                <w:rFonts w:ascii="Arial Narrow" w:hAnsi="Arial Narrow" w:cs="Arial"/>
                <w:color w:val="808080" w:themeColor="background1" w:themeShade="80"/>
                <w:sz w:val="20"/>
              </w:rPr>
              <w:id w:val="-2051442318"/>
              <w:docPartObj>
                <w:docPartGallery w:val="Page Numbers (Bottom of Page)"/>
                <w:docPartUnique/>
              </w:docPartObj>
            </w:sdtPr>
            <w:sdtContent>
              <w:sdt>
                <w:sdtPr>
                  <w:rPr>
                    <w:rFonts w:ascii="Arial Narrow" w:hAnsi="Arial Narrow" w:cs="Arial"/>
                    <w:color w:val="808080" w:themeColor="background1" w:themeShade="80"/>
                    <w:sz w:val="20"/>
                  </w:rPr>
                  <w:id w:val="1542401350"/>
                  <w:docPartObj>
                    <w:docPartGallery w:val="Page Numbers (Top of Page)"/>
                    <w:docPartUnique/>
                  </w:docPartObj>
                </w:sdtPr>
                <w:sdtContent>
                  <w:r w:rsidR="009C24F4" w:rsidRPr="00AB1766">
                    <w:rPr>
                      <w:rFonts w:ascii="Arial Narrow" w:hAnsi="Arial Narrow" w:cs="Arial"/>
                      <w:color w:val="808080" w:themeColor="background1" w:themeShade="80"/>
                      <w:sz w:val="20"/>
                    </w:rPr>
                    <w:t xml:space="preserve">Página </w:t>
                  </w:r>
                  <w:r w:rsidRPr="00AB1766">
                    <w:rPr>
                      <w:rFonts w:ascii="Arial Narrow" w:hAnsi="Arial Narrow" w:cs="Arial"/>
                      <w:color w:val="808080" w:themeColor="background1" w:themeShade="80"/>
                      <w:sz w:val="20"/>
                    </w:rPr>
                    <w:fldChar w:fldCharType="begin"/>
                  </w:r>
                  <w:r w:rsidR="009C24F4" w:rsidRPr="00AB1766">
                    <w:rPr>
                      <w:rFonts w:ascii="Arial Narrow" w:hAnsi="Arial Narrow" w:cs="Arial"/>
                      <w:color w:val="808080" w:themeColor="background1" w:themeShade="80"/>
                      <w:sz w:val="20"/>
                    </w:rPr>
                    <w:instrText>PAGE</w:instrText>
                  </w:r>
                  <w:r w:rsidRPr="00AB1766">
                    <w:rPr>
                      <w:rFonts w:ascii="Arial Narrow" w:hAnsi="Arial Narrow" w:cs="Arial"/>
                      <w:color w:val="808080" w:themeColor="background1" w:themeShade="80"/>
                      <w:sz w:val="20"/>
                    </w:rPr>
                    <w:fldChar w:fldCharType="separate"/>
                  </w:r>
                  <w:r w:rsidR="001D5115">
                    <w:rPr>
                      <w:rFonts w:ascii="Arial Narrow" w:hAnsi="Arial Narrow" w:cs="Arial"/>
                      <w:noProof/>
                      <w:color w:val="808080" w:themeColor="background1" w:themeShade="80"/>
                      <w:sz w:val="20"/>
                    </w:rPr>
                    <w:t>5</w:t>
                  </w:r>
                  <w:r w:rsidRPr="00AB1766">
                    <w:rPr>
                      <w:rFonts w:ascii="Arial Narrow" w:hAnsi="Arial Narrow" w:cs="Arial"/>
                      <w:color w:val="808080" w:themeColor="background1" w:themeShade="80"/>
                      <w:sz w:val="20"/>
                    </w:rPr>
                    <w:fldChar w:fldCharType="end"/>
                  </w:r>
                  <w:r w:rsidR="009C24F4" w:rsidRPr="00AB1766">
                    <w:rPr>
                      <w:rFonts w:ascii="Arial Narrow" w:hAnsi="Arial Narrow" w:cs="Arial"/>
                      <w:color w:val="808080" w:themeColor="background1" w:themeShade="80"/>
                      <w:sz w:val="20"/>
                    </w:rPr>
                    <w:t xml:space="preserve"> de </w:t>
                  </w:r>
                  <w:r w:rsidRPr="00AB1766">
                    <w:rPr>
                      <w:rFonts w:ascii="Arial Narrow" w:hAnsi="Arial Narrow" w:cs="Arial"/>
                      <w:color w:val="808080" w:themeColor="background1" w:themeShade="80"/>
                      <w:sz w:val="20"/>
                    </w:rPr>
                    <w:fldChar w:fldCharType="begin"/>
                  </w:r>
                  <w:r w:rsidR="009C24F4" w:rsidRPr="00AB1766">
                    <w:rPr>
                      <w:rFonts w:ascii="Arial Narrow" w:hAnsi="Arial Narrow" w:cs="Arial"/>
                      <w:color w:val="808080" w:themeColor="background1" w:themeShade="80"/>
                      <w:sz w:val="20"/>
                    </w:rPr>
                    <w:instrText>NUMPAGES</w:instrText>
                  </w:r>
                  <w:r w:rsidRPr="00AB1766">
                    <w:rPr>
                      <w:rFonts w:ascii="Arial Narrow" w:hAnsi="Arial Narrow" w:cs="Arial"/>
                      <w:color w:val="808080" w:themeColor="background1" w:themeShade="80"/>
                      <w:sz w:val="20"/>
                    </w:rPr>
                    <w:fldChar w:fldCharType="separate"/>
                  </w:r>
                  <w:r w:rsidR="001D5115">
                    <w:rPr>
                      <w:rFonts w:ascii="Arial Narrow" w:hAnsi="Arial Narrow" w:cs="Arial"/>
                      <w:noProof/>
                      <w:color w:val="808080" w:themeColor="background1" w:themeShade="80"/>
                      <w:sz w:val="20"/>
                    </w:rPr>
                    <w:t>6</w:t>
                  </w:r>
                  <w:r w:rsidRPr="00AB1766">
                    <w:rPr>
                      <w:rFonts w:ascii="Arial Narrow" w:hAnsi="Arial Narrow" w:cs="Arial"/>
                      <w:color w:val="808080" w:themeColor="background1" w:themeShade="80"/>
                      <w:sz w:val="20"/>
                    </w:rPr>
                    <w:fldChar w:fldCharType="end"/>
                  </w:r>
                </w:sdtContent>
              </w:sdt>
            </w:sdtContent>
          </w:sdt>
        </w:p>
      </w:tc>
    </w:tr>
  </w:tbl>
  <w:p w:rsidR="009C24F4" w:rsidRDefault="009C24F4" w:rsidP="003F11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A1" w:rsidRDefault="00E806A1" w:rsidP="009C24F4">
      <w:r>
        <w:separator/>
      </w:r>
    </w:p>
    <w:p w:rsidR="00E806A1" w:rsidRDefault="00E806A1"/>
  </w:footnote>
  <w:footnote w:type="continuationSeparator" w:id="0">
    <w:p w:rsidR="00E806A1" w:rsidRDefault="00E806A1" w:rsidP="009C24F4">
      <w:r>
        <w:continuationSeparator/>
      </w:r>
    </w:p>
    <w:p w:rsidR="00E806A1" w:rsidRDefault="00E806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C2E" w:rsidRDefault="00260C2E"/>
  <w:tbl>
    <w:tblPr>
      <w:tblStyle w:val="Tablaconcuadrcula1"/>
      <w:tblpPr w:leftFromText="141" w:rightFromText="141" w:horzAnchor="margin" w:tblpXSpec="center" w:tblpY="-645"/>
      <w:tblW w:w="10031"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6350"/>
      <w:gridCol w:w="1559"/>
    </w:tblGrid>
    <w:tr w:rsidR="00B11766" w:rsidRPr="00B11766" w:rsidTr="003F115A">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33B2" w:rsidRPr="00B11766" w:rsidRDefault="009833B2" w:rsidP="009833B2">
          <w:pPr>
            <w:widowControl w:val="0"/>
            <w:tabs>
              <w:tab w:val="center" w:pos="4419"/>
              <w:tab w:val="right" w:pos="8838"/>
            </w:tabs>
            <w:jc w:val="center"/>
            <w:rPr>
              <w:rFonts w:ascii="Arial Narrow" w:hAnsi="Arial Narrow" w:cs="Arial"/>
              <w:color w:val="808080" w:themeColor="background1" w:themeShade="80"/>
              <w:sz w:val="20"/>
            </w:rPr>
          </w:pPr>
          <w:r w:rsidRPr="00B11766">
            <w:rPr>
              <w:rFonts w:ascii="Arial Narrow" w:hAnsi="Arial Narrow" w:cs="Arial"/>
              <w:color w:val="808080" w:themeColor="background1" w:themeShade="80"/>
              <w:sz w:val="20"/>
            </w:rPr>
            <w:t>CDSSF-25/2011</w:t>
          </w:r>
        </w:p>
      </w:tc>
      <w:tc>
        <w:tcPr>
          <w:tcW w:w="6350"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rsidR="009833B2" w:rsidRPr="00AB1766" w:rsidRDefault="009833B2" w:rsidP="00A35D5C">
          <w:pPr>
            <w:widowControl w:val="0"/>
            <w:tabs>
              <w:tab w:val="center" w:pos="4419"/>
              <w:tab w:val="right" w:pos="8838"/>
            </w:tabs>
            <w:jc w:val="center"/>
            <w:rPr>
              <w:rFonts w:ascii="Arial Narrow" w:hAnsi="Arial Narrow" w:cs="Arial"/>
              <w:color w:val="808080" w:themeColor="background1" w:themeShade="80"/>
              <w:sz w:val="20"/>
            </w:rPr>
          </w:pPr>
          <w:r w:rsidRPr="00AB1766">
            <w:rPr>
              <w:rFonts w:ascii="Arial Narrow" w:hAnsi="Arial Narrow" w:cs="Arial"/>
              <w:color w:val="808080" w:themeColor="background1" w:themeShade="80"/>
              <w:sz w:val="20"/>
            </w:rPr>
            <w:t>NPB4-51</w:t>
          </w:r>
        </w:p>
        <w:p w:rsidR="009833B2" w:rsidRPr="00AB1766" w:rsidRDefault="009833B2" w:rsidP="00A35D5C">
          <w:pPr>
            <w:widowControl w:val="0"/>
            <w:tabs>
              <w:tab w:val="center" w:pos="4419"/>
              <w:tab w:val="right" w:pos="8838"/>
            </w:tabs>
            <w:jc w:val="center"/>
            <w:rPr>
              <w:rFonts w:ascii="Arial Narrow" w:hAnsi="Arial Narrow" w:cs="Arial"/>
              <w:color w:val="808080" w:themeColor="background1" w:themeShade="80"/>
              <w:sz w:val="20"/>
            </w:rPr>
          </w:pPr>
          <w:r w:rsidRPr="00AB1766">
            <w:rPr>
              <w:rFonts w:ascii="Arial Narrow" w:hAnsi="Arial Narrow" w:cs="Arial"/>
              <w:color w:val="808080" w:themeColor="background1" w:themeShade="80"/>
              <w:sz w:val="20"/>
            </w:rPr>
            <w:t>NORMAS PARA</w:t>
          </w:r>
          <w:r w:rsidR="00FC445B" w:rsidRPr="00AB1766">
            <w:rPr>
              <w:rFonts w:ascii="Arial Narrow" w:hAnsi="Arial Narrow" w:cs="Arial"/>
              <w:color w:val="808080" w:themeColor="background1" w:themeShade="80"/>
              <w:sz w:val="20"/>
            </w:rPr>
            <w:t xml:space="preserve"> </w:t>
          </w:r>
          <w:r w:rsidRPr="00AB1766">
            <w:rPr>
              <w:rFonts w:ascii="Arial Narrow" w:hAnsi="Arial Narrow" w:cs="Arial"/>
              <w:color w:val="808080" w:themeColor="background1" w:themeShade="80"/>
              <w:sz w:val="20"/>
            </w:rPr>
            <w:t>LA PRESTACIÓN DEL SERVICIO DE BANCA CORRESPONSAL</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rsidR="009833B2" w:rsidRPr="00AB1766" w:rsidRDefault="009833B2" w:rsidP="00A35D5C">
          <w:pPr>
            <w:widowControl w:val="0"/>
            <w:tabs>
              <w:tab w:val="center" w:pos="4419"/>
              <w:tab w:val="right" w:pos="8838"/>
            </w:tabs>
            <w:jc w:val="center"/>
            <w:rPr>
              <w:rFonts w:ascii="Arial Narrow" w:hAnsi="Arial Narrow" w:cs="Arial"/>
              <w:color w:val="808080" w:themeColor="background1" w:themeShade="80"/>
              <w:sz w:val="20"/>
            </w:rPr>
          </w:pPr>
        </w:p>
      </w:tc>
    </w:tr>
    <w:tr w:rsidR="00B11766" w:rsidRPr="00B11766" w:rsidTr="003F115A">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33B2" w:rsidRPr="00B11766" w:rsidRDefault="009833B2" w:rsidP="009833B2">
          <w:pPr>
            <w:widowControl w:val="0"/>
            <w:tabs>
              <w:tab w:val="center" w:pos="4419"/>
              <w:tab w:val="right" w:pos="8838"/>
            </w:tabs>
            <w:jc w:val="center"/>
            <w:rPr>
              <w:rFonts w:ascii="Arial Narrow" w:hAnsi="Arial Narrow" w:cs="Arial"/>
              <w:color w:val="808080" w:themeColor="background1" w:themeShade="80"/>
              <w:sz w:val="20"/>
            </w:rPr>
          </w:pPr>
          <w:r w:rsidRPr="00B11766">
            <w:rPr>
              <w:rFonts w:ascii="Arial Narrow" w:hAnsi="Arial Narrow" w:cs="Arial"/>
              <w:color w:val="808080" w:themeColor="background1" w:themeShade="80"/>
              <w:sz w:val="20"/>
            </w:rPr>
            <w:t>Aprobación: 20/07/2011</w:t>
          </w:r>
        </w:p>
      </w:tc>
      <w:tc>
        <w:tcPr>
          <w:tcW w:w="6350" w:type="dxa"/>
          <w:vMerge/>
          <w:tcBorders>
            <w:left w:val="triple" w:sz="4" w:space="0" w:color="A6A6A6" w:themeColor="background1" w:themeShade="A6"/>
            <w:right w:val="triple" w:sz="4" w:space="0" w:color="A6A6A6" w:themeColor="background1" w:themeShade="A6"/>
          </w:tcBorders>
          <w:vAlign w:val="center"/>
          <w:hideMark/>
        </w:tcPr>
        <w:p w:rsidR="009833B2" w:rsidRPr="00AB1766" w:rsidRDefault="009833B2" w:rsidP="00A35D5C">
          <w:pPr>
            <w:rPr>
              <w:rFonts w:ascii="Arial Narrow" w:hAnsi="Arial Narrow" w:cs="Arial"/>
              <w:color w:val="808080" w:themeColor="background1" w:themeShade="80"/>
              <w:sz w:val="20"/>
            </w:rPr>
          </w:pPr>
        </w:p>
      </w:tc>
      <w:tc>
        <w:tcPr>
          <w:tcW w:w="1559" w:type="dxa"/>
          <w:vMerge/>
          <w:tcBorders>
            <w:left w:val="triple" w:sz="4" w:space="0" w:color="A6A6A6" w:themeColor="background1" w:themeShade="A6"/>
            <w:right w:val="triple" w:sz="4" w:space="0" w:color="A6A6A6" w:themeColor="background1" w:themeShade="A6"/>
          </w:tcBorders>
        </w:tcPr>
        <w:p w:rsidR="009833B2" w:rsidRPr="00AB1766" w:rsidRDefault="009833B2" w:rsidP="00A35D5C">
          <w:pPr>
            <w:rPr>
              <w:rFonts w:ascii="Arial Narrow" w:hAnsi="Arial Narrow" w:cs="Arial"/>
              <w:color w:val="808080" w:themeColor="background1" w:themeShade="80"/>
              <w:sz w:val="20"/>
            </w:rPr>
          </w:pPr>
        </w:p>
      </w:tc>
    </w:tr>
    <w:tr w:rsidR="00B11766" w:rsidRPr="00B11766" w:rsidTr="003F115A">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33B2" w:rsidRPr="00B11766" w:rsidRDefault="009833B2" w:rsidP="009833B2">
          <w:pPr>
            <w:widowControl w:val="0"/>
            <w:tabs>
              <w:tab w:val="center" w:pos="4419"/>
              <w:tab w:val="right" w:pos="8838"/>
            </w:tabs>
            <w:jc w:val="center"/>
            <w:rPr>
              <w:rFonts w:ascii="Arial Narrow" w:hAnsi="Arial Narrow" w:cs="Arial"/>
              <w:color w:val="808080" w:themeColor="background1" w:themeShade="80"/>
              <w:sz w:val="20"/>
            </w:rPr>
          </w:pPr>
          <w:r w:rsidRPr="00B11766">
            <w:rPr>
              <w:rFonts w:ascii="Arial Narrow" w:hAnsi="Arial Narrow" w:cs="Arial"/>
              <w:color w:val="808080" w:themeColor="background1" w:themeShade="80"/>
              <w:sz w:val="20"/>
            </w:rPr>
            <w:t>Vigencia: 01/08/2011</w:t>
          </w:r>
        </w:p>
      </w:tc>
      <w:tc>
        <w:tcPr>
          <w:tcW w:w="6350"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rsidR="009833B2" w:rsidRPr="00AB1766" w:rsidRDefault="009833B2" w:rsidP="00A35D5C">
          <w:pPr>
            <w:rPr>
              <w:rFonts w:ascii="Arial Narrow" w:hAnsi="Arial Narrow" w:cs="Arial"/>
              <w:color w:val="808080" w:themeColor="background1" w:themeShade="80"/>
              <w:sz w:val="20"/>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rsidR="009833B2" w:rsidRPr="00AB1766" w:rsidRDefault="009833B2" w:rsidP="00A35D5C">
          <w:pPr>
            <w:rPr>
              <w:rFonts w:ascii="Arial Narrow" w:hAnsi="Arial Narrow" w:cs="Arial"/>
              <w:color w:val="808080" w:themeColor="background1" w:themeShade="80"/>
              <w:sz w:val="20"/>
            </w:rPr>
          </w:pPr>
        </w:p>
      </w:tc>
    </w:tr>
  </w:tbl>
  <w:p w:rsidR="009C24F4" w:rsidRPr="00260C2E" w:rsidRDefault="009C24F4">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0"/>
      </w:rPr>
    </w:pPr>
  </w:p>
  <w:p w:rsidR="00301EE8" w:rsidRPr="00260C2E" w:rsidRDefault="00301EE8">
    <w:pPr>
      <w:pStyle w:val="Encabezado"/>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91B"/>
    <w:multiLevelType w:val="hybridMultilevel"/>
    <w:tmpl w:val="3A5AD710"/>
    <w:lvl w:ilvl="0" w:tplc="FE4659D8">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34B2811"/>
    <w:multiLevelType w:val="hybridMultilevel"/>
    <w:tmpl w:val="8A1A6B2A"/>
    <w:lvl w:ilvl="0" w:tplc="440A0017">
      <w:start w:val="1"/>
      <w:numFmt w:val="lowerLetter"/>
      <w:lvlText w:val="%1)"/>
      <w:lvlJc w:val="left"/>
      <w:pPr>
        <w:ind w:left="1428" w:hanging="360"/>
      </w:pPr>
      <w:rPr>
        <w:rFonts w:cs="Times New Roman"/>
      </w:rPr>
    </w:lvl>
    <w:lvl w:ilvl="1" w:tplc="440A0019" w:tentative="1">
      <w:start w:val="1"/>
      <w:numFmt w:val="lowerLetter"/>
      <w:lvlText w:val="%2."/>
      <w:lvlJc w:val="left"/>
      <w:pPr>
        <w:ind w:left="2148" w:hanging="360"/>
      </w:pPr>
      <w:rPr>
        <w:rFonts w:cs="Times New Roman"/>
      </w:rPr>
    </w:lvl>
    <w:lvl w:ilvl="2" w:tplc="440A001B" w:tentative="1">
      <w:start w:val="1"/>
      <w:numFmt w:val="lowerRoman"/>
      <w:lvlText w:val="%3."/>
      <w:lvlJc w:val="right"/>
      <w:pPr>
        <w:ind w:left="2868" w:hanging="180"/>
      </w:pPr>
      <w:rPr>
        <w:rFonts w:cs="Times New Roman"/>
      </w:rPr>
    </w:lvl>
    <w:lvl w:ilvl="3" w:tplc="440A000F" w:tentative="1">
      <w:start w:val="1"/>
      <w:numFmt w:val="decimal"/>
      <w:lvlText w:val="%4."/>
      <w:lvlJc w:val="left"/>
      <w:pPr>
        <w:ind w:left="3588" w:hanging="360"/>
      </w:pPr>
      <w:rPr>
        <w:rFonts w:cs="Times New Roman"/>
      </w:rPr>
    </w:lvl>
    <w:lvl w:ilvl="4" w:tplc="440A0019" w:tentative="1">
      <w:start w:val="1"/>
      <w:numFmt w:val="lowerLetter"/>
      <w:lvlText w:val="%5."/>
      <w:lvlJc w:val="left"/>
      <w:pPr>
        <w:ind w:left="4308" w:hanging="360"/>
      </w:pPr>
      <w:rPr>
        <w:rFonts w:cs="Times New Roman"/>
      </w:rPr>
    </w:lvl>
    <w:lvl w:ilvl="5" w:tplc="440A001B" w:tentative="1">
      <w:start w:val="1"/>
      <w:numFmt w:val="lowerRoman"/>
      <w:lvlText w:val="%6."/>
      <w:lvlJc w:val="right"/>
      <w:pPr>
        <w:ind w:left="5028" w:hanging="180"/>
      </w:pPr>
      <w:rPr>
        <w:rFonts w:cs="Times New Roman"/>
      </w:rPr>
    </w:lvl>
    <w:lvl w:ilvl="6" w:tplc="440A000F" w:tentative="1">
      <w:start w:val="1"/>
      <w:numFmt w:val="decimal"/>
      <w:lvlText w:val="%7."/>
      <w:lvlJc w:val="left"/>
      <w:pPr>
        <w:ind w:left="5748" w:hanging="360"/>
      </w:pPr>
      <w:rPr>
        <w:rFonts w:cs="Times New Roman"/>
      </w:rPr>
    </w:lvl>
    <w:lvl w:ilvl="7" w:tplc="440A0019" w:tentative="1">
      <w:start w:val="1"/>
      <w:numFmt w:val="lowerLetter"/>
      <w:lvlText w:val="%8."/>
      <w:lvlJc w:val="left"/>
      <w:pPr>
        <w:ind w:left="6468" w:hanging="360"/>
      </w:pPr>
      <w:rPr>
        <w:rFonts w:cs="Times New Roman"/>
      </w:rPr>
    </w:lvl>
    <w:lvl w:ilvl="8" w:tplc="440A001B" w:tentative="1">
      <w:start w:val="1"/>
      <w:numFmt w:val="lowerRoman"/>
      <w:lvlText w:val="%9."/>
      <w:lvlJc w:val="right"/>
      <w:pPr>
        <w:ind w:left="7188" w:hanging="180"/>
      </w:pPr>
      <w:rPr>
        <w:rFonts w:cs="Times New Roman"/>
      </w:rPr>
    </w:lvl>
  </w:abstractNum>
  <w:abstractNum w:abstractNumId="2">
    <w:nsid w:val="318454A6"/>
    <w:multiLevelType w:val="hybridMultilevel"/>
    <w:tmpl w:val="50DEE700"/>
    <w:lvl w:ilvl="0" w:tplc="440A0017">
      <w:start w:val="1"/>
      <w:numFmt w:val="lowerLetter"/>
      <w:lvlText w:val="%1)"/>
      <w:lvlJc w:val="left"/>
      <w:pPr>
        <w:ind w:left="1428" w:hanging="360"/>
      </w:pPr>
      <w:rPr>
        <w:rFonts w:cs="Times New Roman"/>
      </w:rPr>
    </w:lvl>
    <w:lvl w:ilvl="1" w:tplc="440A0019" w:tentative="1">
      <w:start w:val="1"/>
      <w:numFmt w:val="lowerLetter"/>
      <w:lvlText w:val="%2."/>
      <w:lvlJc w:val="left"/>
      <w:pPr>
        <w:ind w:left="2148" w:hanging="360"/>
      </w:pPr>
      <w:rPr>
        <w:rFonts w:cs="Times New Roman"/>
      </w:rPr>
    </w:lvl>
    <w:lvl w:ilvl="2" w:tplc="440A001B" w:tentative="1">
      <w:start w:val="1"/>
      <w:numFmt w:val="lowerRoman"/>
      <w:lvlText w:val="%3."/>
      <w:lvlJc w:val="right"/>
      <w:pPr>
        <w:ind w:left="2868" w:hanging="180"/>
      </w:pPr>
      <w:rPr>
        <w:rFonts w:cs="Times New Roman"/>
      </w:rPr>
    </w:lvl>
    <w:lvl w:ilvl="3" w:tplc="440A000F" w:tentative="1">
      <w:start w:val="1"/>
      <w:numFmt w:val="decimal"/>
      <w:lvlText w:val="%4."/>
      <w:lvlJc w:val="left"/>
      <w:pPr>
        <w:ind w:left="3588" w:hanging="360"/>
      </w:pPr>
      <w:rPr>
        <w:rFonts w:cs="Times New Roman"/>
      </w:rPr>
    </w:lvl>
    <w:lvl w:ilvl="4" w:tplc="440A0019" w:tentative="1">
      <w:start w:val="1"/>
      <w:numFmt w:val="lowerLetter"/>
      <w:lvlText w:val="%5."/>
      <w:lvlJc w:val="left"/>
      <w:pPr>
        <w:ind w:left="4308" w:hanging="360"/>
      </w:pPr>
      <w:rPr>
        <w:rFonts w:cs="Times New Roman"/>
      </w:rPr>
    </w:lvl>
    <w:lvl w:ilvl="5" w:tplc="440A001B" w:tentative="1">
      <w:start w:val="1"/>
      <w:numFmt w:val="lowerRoman"/>
      <w:lvlText w:val="%6."/>
      <w:lvlJc w:val="right"/>
      <w:pPr>
        <w:ind w:left="5028" w:hanging="180"/>
      </w:pPr>
      <w:rPr>
        <w:rFonts w:cs="Times New Roman"/>
      </w:rPr>
    </w:lvl>
    <w:lvl w:ilvl="6" w:tplc="440A000F" w:tentative="1">
      <w:start w:val="1"/>
      <w:numFmt w:val="decimal"/>
      <w:lvlText w:val="%7."/>
      <w:lvlJc w:val="left"/>
      <w:pPr>
        <w:ind w:left="5748" w:hanging="360"/>
      </w:pPr>
      <w:rPr>
        <w:rFonts w:cs="Times New Roman"/>
      </w:rPr>
    </w:lvl>
    <w:lvl w:ilvl="7" w:tplc="440A0019" w:tentative="1">
      <w:start w:val="1"/>
      <w:numFmt w:val="lowerLetter"/>
      <w:lvlText w:val="%8."/>
      <w:lvlJc w:val="left"/>
      <w:pPr>
        <w:ind w:left="6468" w:hanging="360"/>
      </w:pPr>
      <w:rPr>
        <w:rFonts w:cs="Times New Roman"/>
      </w:rPr>
    </w:lvl>
    <w:lvl w:ilvl="8" w:tplc="440A001B" w:tentative="1">
      <w:start w:val="1"/>
      <w:numFmt w:val="lowerRoman"/>
      <w:lvlText w:val="%9."/>
      <w:lvlJc w:val="right"/>
      <w:pPr>
        <w:ind w:left="7188" w:hanging="180"/>
      </w:pPr>
      <w:rPr>
        <w:rFonts w:cs="Times New Roman"/>
      </w:rPr>
    </w:lvl>
  </w:abstractNum>
  <w:abstractNum w:abstractNumId="3">
    <w:nsid w:val="32CD0E25"/>
    <w:multiLevelType w:val="hybridMultilevel"/>
    <w:tmpl w:val="8D7091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4A72252"/>
    <w:multiLevelType w:val="hybridMultilevel"/>
    <w:tmpl w:val="4F7CE10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5">
    <w:nsid w:val="3CC75970"/>
    <w:multiLevelType w:val="hybridMultilevel"/>
    <w:tmpl w:val="4ACA836C"/>
    <w:lvl w:ilvl="0" w:tplc="69405A4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081ACE"/>
    <w:multiLevelType w:val="hybridMultilevel"/>
    <w:tmpl w:val="1B3C3D4C"/>
    <w:lvl w:ilvl="0" w:tplc="0C0A001B">
      <w:start w:val="1"/>
      <w:numFmt w:val="lowerRoman"/>
      <w:lvlText w:val="%1."/>
      <w:lvlJc w:val="right"/>
      <w:pPr>
        <w:ind w:left="1068" w:hanging="360"/>
      </w:pPr>
      <w:rPr>
        <w:rFonts w:cs="Times New Roman" w:hint="default"/>
        <w:sz w:val="24"/>
        <w:szCs w:val="24"/>
      </w:rPr>
    </w:lvl>
    <w:lvl w:ilvl="1" w:tplc="440A0019" w:tentative="1">
      <w:start w:val="1"/>
      <w:numFmt w:val="lowerLetter"/>
      <w:lvlText w:val="%2."/>
      <w:lvlJc w:val="left"/>
      <w:pPr>
        <w:ind w:left="1788" w:hanging="360"/>
      </w:pPr>
      <w:rPr>
        <w:rFonts w:cs="Times New Roman"/>
      </w:rPr>
    </w:lvl>
    <w:lvl w:ilvl="2" w:tplc="440A001B" w:tentative="1">
      <w:start w:val="1"/>
      <w:numFmt w:val="lowerRoman"/>
      <w:lvlText w:val="%3."/>
      <w:lvlJc w:val="right"/>
      <w:pPr>
        <w:ind w:left="2508" w:hanging="180"/>
      </w:pPr>
      <w:rPr>
        <w:rFonts w:cs="Times New Roman"/>
      </w:rPr>
    </w:lvl>
    <w:lvl w:ilvl="3" w:tplc="440A000F" w:tentative="1">
      <w:start w:val="1"/>
      <w:numFmt w:val="decimal"/>
      <w:lvlText w:val="%4."/>
      <w:lvlJc w:val="left"/>
      <w:pPr>
        <w:ind w:left="3228" w:hanging="360"/>
      </w:pPr>
      <w:rPr>
        <w:rFonts w:cs="Times New Roman"/>
      </w:rPr>
    </w:lvl>
    <w:lvl w:ilvl="4" w:tplc="440A0019" w:tentative="1">
      <w:start w:val="1"/>
      <w:numFmt w:val="lowerLetter"/>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7">
    <w:nsid w:val="49842341"/>
    <w:multiLevelType w:val="hybridMultilevel"/>
    <w:tmpl w:val="5E4632F6"/>
    <w:lvl w:ilvl="0" w:tplc="94D41996">
      <w:start w:val="1"/>
      <w:numFmt w:val="lowerLetter"/>
      <w:lvlText w:val="%1)"/>
      <w:lvlJc w:val="left"/>
      <w:pPr>
        <w:ind w:left="1146" w:hanging="360"/>
      </w:pPr>
      <w:rPr>
        <w:rFonts w:hint="default"/>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
    <w:nsid w:val="4DA31A9E"/>
    <w:multiLevelType w:val="hybridMultilevel"/>
    <w:tmpl w:val="01882EDC"/>
    <w:lvl w:ilvl="0" w:tplc="1A2EB650">
      <w:start w:val="1"/>
      <w:numFmt w:val="low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D8403D"/>
    <w:multiLevelType w:val="hybridMultilevel"/>
    <w:tmpl w:val="6ECABBB6"/>
    <w:lvl w:ilvl="0" w:tplc="440A001B">
      <w:start w:val="1"/>
      <w:numFmt w:val="lowerRoman"/>
      <w:lvlText w:val="%1."/>
      <w:lvlJc w:val="right"/>
      <w:pPr>
        <w:ind w:left="2912" w:hanging="360"/>
      </w:pPr>
    </w:lvl>
    <w:lvl w:ilvl="1" w:tplc="440A0019">
      <w:start w:val="1"/>
      <w:numFmt w:val="lowerLetter"/>
      <w:lvlText w:val="%2."/>
      <w:lvlJc w:val="left"/>
      <w:pPr>
        <w:ind w:left="3632" w:hanging="360"/>
      </w:pPr>
    </w:lvl>
    <w:lvl w:ilvl="2" w:tplc="440A001B" w:tentative="1">
      <w:start w:val="1"/>
      <w:numFmt w:val="lowerRoman"/>
      <w:lvlText w:val="%3."/>
      <w:lvlJc w:val="right"/>
      <w:pPr>
        <w:ind w:left="4352" w:hanging="180"/>
      </w:pPr>
    </w:lvl>
    <w:lvl w:ilvl="3" w:tplc="440A000F" w:tentative="1">
      <w:start w:val="1"/>
      <w:numFmt w:val="decimal"/>
      <w:lvlText w:val="%4."/>
      <w:lvlJc w:val="left"/>
      <w:pPr>
        <w:ind w:left="5072" w:hanging="360"/>
      </w:pPr>
    </w:lvl>
    <w:lvl w:ilvl="4" w:tplc="440A0019" w:tentative="1">
      <w:start w:val="1"/>
      <w:numFmt w:val="lowerLetter"/>
      <w:lvlText w:val="%5."/>
      <w:lvlJc w:val="left"/>
      <w:pPr>
        <w:ind w:left="5792" w:hanging="360"/>
      </w:pPr>
    </w:lvl>
    <w:lvl w:ilvl="5" w:tplc="440A001B" w:tentative="1">
      <w:start w:val="1"/>
      <w:numFmt w:val="lowerRoman"/>
      <w:lvlText w:val="%6."/>
      <w:lvlJc w:val="right"/>
      <w:pPr>
        <w:ind w:left="6512" w:hanging="180"/>
      </w:pPr>
    </w:lvl>
    <w:lvl w:ilvl="6" w:tplc="440A000F" w:tentative="1">
      <w:start w:val="1"/>
      <w:numFmt w:val="decimal"/>
      <w:lvlText w:val="%7."/>
      <w:lvlJc w:val="left"/>
      <w:pPr>
        <w:ind w:left="7232" w:hanging="360"/>
      </w:pPr>
    </w:lvl>
    <w:lvl w:ilvl="7" w:tplc="440A0019" w:tentative="1">
      <w:start w:val="1"/>
      <w:numFmt w:val="lowerLetter"/>
      <w:lvlText w:val="%8."/>
      <w:lvlJc w:val="left"/>
      <w:pPr>
        <w:ind w:left="7952" w:hanging="360"/>
      </w:pPr>
    </w:lvl>
    <w:lvl w:ilvl="8" w:tplc="440A001B" w:tentative="1">
      <w:start w:val="1"/>
      <w:numFmt w:val="lowerRoman"/>
      <w:lvlText w:val="%9."/>
      <w:lvlJc w:val="right"/>
      <w:pPr>
        <w:ind w:left="8672" w:hanging="180"/>
      </w:pPr>
    </w:lvl>
  </w:abstractNum>
  <w:abstractNum w:abstractNumId="10">
    <w:nsid w:val="51FB529F"/>
    <w:multiLevelType w:val="hybridMultilevel"/>
    <w:tmpl w:val="C0DAE3B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7EF22A0"/>
    <w:multiLevelType w:val="hybridMultilevel"/>
    <w:tmpl w:val="29A2ABDA"/>
    <w:lvl w:ilvl="0" w:tplc="35F69E90">
      <w:start w:val="1"/>
      <w:numFmt w:val="lowerLetter"/>
      <w:lvlText w:val="%1)"/>
      <w:lvlJc w:val="left"/>
      <w:pPr>
        <w:ind w:left="502" w:hanging="360"/>
      </w:pPr>
      <w:rPr>
        <w:rFonts w:cs="Times New Roman" w:hint="default"/>
        <w:b w:val="0"/>
        <w:sz w:val="24"/>
        <w:szCs w:val="24"/>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F904426"/>
    <w:multiLevelType w:val="hybridMultilevel"/>
    <w:tmpl w:val="3258AA82"/>
    <w:lvl w:ilvl="0" w:tplc="FE861A1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15">
    <w:nsid w:val="6FE73FFB"/>
    <w:multiLevelType w:val="hybridMultilevel"/>
    <w:tmpl w:val="BB6CB41E"/>
    <w:lvl w:ilvl="0" w:tplc="44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13"/>
  </w:num>
  <w:num w:numId="2">
    <w:abstractNumId w:val="8"/>
  </w:num>
  <w:num w:numId="3">
    <w:abstractNumId w:val="12"/>
  </w:num>
  <w:num w:numId="4">
    <w:abstractNumId w:val="5"/>
  </w:num>
  <w:num w:numId="5">
    <w:abstractNumId w:val="0"/>
  </w:num>
  <w:num w:numId="6">
    <w:abstractNumId w:val="7"/>
  </w:num>
  <w:num w:numId="7">
    <w:abstractNumId w:val="4"/>
  </w:num>
  <w:num w:numId="8">
    <w:abstractNumId w:val="14"/>
  </w:num>
  <w:num w:numId="9">
    <w:abstractNumId w:val="10"/>
  </w:num>
  <w:num w:numId="10">
    <w:abstractNumId w:val="3"/>
  </w:num>
  <w:num w:numId="11">
    <w:abstractNumId w:val="9"/>
  </w:num>
  <w:num w:numId="12">
    <w:abstractNumId w:val="2"/>
  </w:num>
  <w:num w:numId="13">
    <w:abstractNumId w:val="1"/>
  </w:num>
  <w:num w:numId="14">
    <w:abstractNumId w:val="15"/>
  </w:num>
  <w:num w:numId="15">
    <w:abstractNumId w:val="11"/>
  </w:num>
  <w:num w:numId="16">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9C24F4"/>
    <w:rsid w:val="00006D61"/>
    <w:rsid w:val="000A1F7A"/>
    <w:rsid w:val="000B73A8"/>
    <w:rsid w:val="00117510"/>
    <w:rsid w:val="001313E8"/>
    <w:rsid w:val="0016721E"/>
    <w:rsid w:val="001D0EB0"/>
    <w:rsid w:val="001D5115"/>
    <w:rsid w:val="001D69EA"/>
    <w:rsid w:val="001F3A0F"/>
    <w:rsid w:val="00260C2E"/>
    <w:rsid w:val="002635D5"/>
    <w:rsid w:val="002D34B5"/>
    <w:rsid w:val="002D42E5"/>
    <w:rsid w:val="00301EE8"/>
    <w:rsid w:val="00304DCE"/>
    <w:rsid w:val="00335000"/>
    <w:rsid w:val="003360CB"/>
    <w:rsid w:val="00340BB6"/>
    <w:rsid w:val="0036048D"/>
    <w:rsid w:val="00363B92"/>
    <w:rsid w:val="003C6467"/>
    <w:rsid w:val="003C7795"/>
    <w:rsid w:val="003F115A"/>
    <w:rsid w:val="00400282"/>
    <w:rsid w:val="00442488"/>
    <w:rsid w:val="00492D79"/>
    <w:rsid w:val="004C5488"/>
    <w:rsid w:val="004D064C"/>
    <w:rsid w:val="00500680"/>
    <w:rsid w:val="00505D5F"/>
    <w:rsid w:val="0051706B"/>
    <w:rsid w:val="005219CF"/>
    <w:rsid w:val="00530E93"/>
    <w:rsid w:val="00535344"/>
    <w:rsid w:val="00535FF7"/>
    <w:rsid w:val="005B3E08"/>
    <w:rsid w:val="00612866"/>
    <w:rsid w:val="006505C9"/>
    <w:rsid w:val="00692E21"/>
    <w:rsid w:val="006B1D36"/>
    <w:rsid w:val="006B61FA"/>
    <w:rsid w:val="006D32E4"/>
    <w:rsid w:val="006D68A0"/>
    <w:rsid w:val="006F3F2B"/>
    <w:rsid w:val="00757132"/>
    <w:rsid w:val="00775E1C"/>
    <w:rsid w:val="00780749"/>
    <w:rsid w:val="007852BA"/>
    <w:rsid w:val="007B2F42"/>
    <w:rsid w:val="007E2C9E"/>
    <w:rsid w:val="00820781"/>
    <w:rsid w:val="008263D9"/>
    <w:rsid w:val="00851B52"/>
    <w:rsid w:val="00856DD6"/>
    <w:rsid w:val="00857E07"/>
    <w:rsid w:val="008703CA"/>
    <w:rsid w:val="008716F9"/>
    <w:rsid w:val="008E1704"/>
    <w:rsid w:val="00941C7C"/>
    <w:rsid w:val="00961DFF"/>
    <w:rsid w:val="009833B2"/>
    <w:rsid w:val="00993790"/>
    <w:rsid w:val="00997B27"/>
    <w:rsid w:val="009C031D"/>
    <w:rsid w:val="009C24F4"/>
    <w:rsid w:val="009E1151"/>
    <w:rsid w:val="00A35670"/>
    <w:rsid w:val="00A37694"/>
    <w:rsid w:val="00A570B9"/>
    <w:rsid w:val="00AB0720"/>
    <w:rsid w:val="00AB1766"/>
    <w:rsid w:val="00AC4A44"/>
    <w:rsid w:val="00AC604B"/>
    <w:rsid w:val="00AE6E9C"/>
    <w:rsid w:val="00B06EC4"/>
    <w:rsid w:val="00B11766"/>
    <w:rsid w:val="00B369C9"/>
    <w:rsid w:val="00B4275B"/>
    <w:rsid w:val="00B7019F"/>
    <w:rsid w:val="00B745D2"/>
    <w:rsid w:val="00B93156"/>
    <w:rsid w:val="00C00742"/>
    <w:rsid w:val="00C27B33"/>
    <w:rsid w:val="00C31CFE"/>
    <w:rsid w:val="00C41F41"/>
    <w:rsid w:val="00C53658"/>
    <w:rsid w:val="00C61EFC"/>
    <w:rsid w:val="00C75427"/>
    <w:rsid w:val="00CE43AE"/>
    <w:rsid w:val="00D109A1"/>
    <w:rsid w:val="00D23C16"/>
    <w:rsid w:val="00D36754"/>
    <w:rsid w:val="00D40C22"/>
    <w:rsid w:val="00E07E34"/>
    <w:rsid w:val="00E1361D"/>
    <w:rsid w:val="00E444F9"/>
    <w:rsid w:val="00E44E3F"/>
    <w:rsid w:val="00E45245"/>
    <w:rsid w:val="00E55F7C"/>
    <w:rsid w:val="00E66EB2"/>
    <w:rsid w:val="00E806A1"/>
    <w:rsid w:val="00EB5F24"/>
    <w:rsid w:val="00ED2785"/>
    <w:rsid w:val="00EE5756"/>
    <w:rsid w:val="00F05C8B"/>
    <w:rsid w:val="00F42398"/>
    <w:rsid w:val="00F46820"/>
    <w:rsid w:val="00F832BB"/>
    <w:rsid w:val="00F83B92"/>
    <w:rsid w:val="00F951F2"/>
    <w:rsid w:val="00F97EBB"/>
    <w:rsid w:val="00FB052D"/>
    <w:rsid w:val="00FB2505"/>
    <w:rsid w:val="00FC445B"/>
    <w:rsid w:val="00FC7155"/>
    <w:rsid w:val="00FD4D1B"/>
    <w:rsid w:val="00FE0C7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99"/>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semiHidden/>
    <w:rsid w:val="006D68A0"/>
    <w:rPr>
      <w:rFonts w:ascii="Times New Roman" w:hAnsi="Times New Roman"/>
      <w:sz w:val="20"/>
      <w:lang w:val="es-ES"/>
    </w:rPr>
  </w:style>
  <w:style w:type="character" w:customStyle="1" w:styleId="TextonotapieCar">
    <w:name w:val="Texto nota pie Car"/>
    <w:basedOn w:val="Fuentedeprrafopredeter"/>
    <w:link w:val="Textonotapie"/>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tf-gaf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_x00f3_n_x0020_Industria xmlns="584cea7c-54a5-449f-8ad4-145e8723e09c">
      <Url xsi:nil="true"/>
      <Description xsi:nil="true"/>
    </Revisi_x00f3_n_x0020_Industria>
    <DocumentSetDescription xmlns="http://schemas.microsoft.com/sharepoint/v3" xsi:nil="true"/>
    <Revisi_x00f3_n_x0020_Jur_x00ed_dico xmlns="584cea7c-54a5-449f-8ad4-145e8723e09c">
      <Url xsi:nil="true"/>
      <Description xsi:nil="true"/>
    </Revisi_x00f3_n_x0020_Jur_x00ed_dico>
    <Estado_x0020_del_x0020_proyecto xmlns="584cea7c-54a5-449f-8ad4-145e8723e09c">En elaboración</Estado_x0020_del_x0020_proyecto>
    <Revisi_x00f3_n_x0020_SSF xmlns="584cea7c-54a5-449f-8ad4-145e8723e09c">
      <Url xsi:nil="true"/>
      <Description xsi:nil="true"/>
    </Revisi_x00f3_n_x0020_SS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098C26528B7A4EB024B5453D2A86E0" ma:contentTypeVersion="20" ma:contentTypeDescription="Crear nuevo documento." ma:contentTypeScope="" ma:versionID="e42b063adf528872bd4ed8b2c630085e">
  <xsd:schema xmlns:xsd="http://www.w3.org/2001/XMLSchema" xmlns:xs="http://www.w3.org/2001/XMLSchema" xmlns:p="http://schemas.microsoft.com/office/2006/metadata/properties" xmlns:ns1="http://schemas.microsoft.com/sharepoint/v3" xmlns:ns2="584cea7c-54a5-449f-8ad4-145e8723e09c" targetNamespace="http://schemas.microsoft.com/office/2006/metadata/properties" ma:root="true" ma:fieldsID="b55c8641253e43bf8ccee96b8d4f5389" ns1:_="" ns2:_="">
    <xsd:import namespace="http://schemas.microsoft.com/sharepoint/v3"/>
    <xsd:import namespace="584cea7c-54a5-449f-8ad4-145e8723e09c"/>
    <xsd:element name="properties">
      <xsd:complexType>
        <xsd:sequence>
          <xsd:element name="documentManagement">
            <xsd:complexType>
              <xsd:all>
                <xsd:element ref="ns2:Revisi_x00f3_n_x0020_SSF" minOccurs="0"/>
                <xsd:element ref="ns2:Revisi_x00f3_n_x0020_Industria" minOccurs="0"/>
                <xsd:element ref="ns2:Revisi_x00f3_n_x0020_Jur_x00ed_dico" minOccurs="0"/>
                <xsd:element ref="ns1:DocumentSetDescription" minOccurs="0"/>
                <xsd:element ref="ns2:Estado_x0020_del_x0020_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ción" ma:description="Una descripción del conjunto de documentos"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cea7c-54a5-449f-8ad4-145e8723e09c" elementFormDefault="qualified">
    <xsd:import namespace="http://schemas.microsoft.com/office/2006/documentManagement/types"/>
    <xsd:import namespace="http://schemas.microsoft.com/office/infopath/2007/PartnerControls"/>
    <xsd:element name="Revisi_x00f3_n_x0020_SSF" ma:index="8" nillable="true" ma:displayName="Revisión SSF" ma:format="Hyperlink" ma:hidden="true" ma:internalName="Revisi_x00f3_n_x0020_SS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Industria" ma:index="9" nillable="true" ma:displayName="Revisión Industria" ma:format="Hyperlink" ma:hidden="true" ma:internalName="Revisi_x00f3_n_x0020_Industria"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Jur_x00ed_dico" ma:index="10" nillable="true" ma:displayName="Revisión Jurídico" ma:format="Hyperlink" ma:hidden="true" ma:internalName="Revisi_x00f3_n_x0020_Jur_x00ed_dic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stado_x0020_del_x0020_proyecto" ma:index="12" nillable="true" ma:displayName="Estado del proyecto" ma:default="En elaboración" ma:format="Dropdown" ma:hidden="true" ma:internalName="Estado_x0020_del_x0020_proyecto" ma:readOnly="false">
      <xsd:simpleType>
        <xsd:restriction base="dms:Choice">
          <xsd:enumeration value="En elaboración"/>
          <xsd:enumeration value="En revisión"/>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584cea7c-54a5-449f-8ad4-145e8723e09c"/>
    <ds:schemaRef ds:uri="http://schemas.microsoft.com/sharepoint/v3"/>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D8648C61-37D4-43BF-B070-18F4EB57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4cea7c-54a5-449f-8ad4-145e8723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33A5A-E941-4613-9FCC-5DE3277F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12832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dcterms:created xsi:type="dcterms:W3CDTF">2021-06-15T21:28:00Z</dcterms:created>
  <dcterms:modified xsi:type="dcterms:W3CDTF">2021-06-15T21:28:00Z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0x010100E4098C26528B7A4EB024B5453D2A86E0</vt:lpwstr>
  </property>
</Properties>
</file>