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B524D" w14:textId="6208282D" w:rsidR="001157EF" w:rsidRPr="004A612F" w:rsidRDefault="00C42BA1" w:rsidP="003C4C6E">
      <w:pPr>
        <w:pStyle w:val="Textoindependiente"/>
        <w:rPr>
          <w:rFonts w:ascii="Arial Narrow" w:hAnsi="Arial Narrow"/>
          <w:b/>
          <w:szCs w:val="24"/>
        </w:rPr>
      </w:pPr>
      <w:bookmarkStart w:id="0" w:name="_GoBack"/>
      <w:bookmarkEnd w:id="0"/>
      <w:r>
        <w:rPr>
          <w:rFonts w:ascii="Arial Narrow" w:hAnsi="Arial Narrow"/>
          <w:b/>
          <w:szCs w:val="24"/>
        </w:rPr>
        <w:t>EL</w:t>
      </w:r>
      <w:r w:rsidR="001157EF" w:rsidRPr="004A612F">
        <w:rPr>
          <w:rFonts w:ascii="Arial Narrow" w:hAnsi="Arial Narrow"/>
          <w:b/>
          <w:szCs w:val="24"/>
        </w:rPr>
        <w:t xml:space="preserve"> COMITÉ DE NORMAS DEL BANCO CENTRAL DE RESERVA DE EL SALVADOR, </w:t>
      </w:r>
    </w:p>
    <w:p w14:paraId="018B524F" w14:textId="77777777" w:rsidR="00C84A8A" w:rsidRPr="004A612F" w:rsidRDefault="00C84A8A" w:rsidP="003C4C6E">
      <w:pPr>
        <w:pStyle w:val="Textoindependiente"/>
        <w:rPr>
          <w:rFonts w:ascii="Arial Narrow" w:hAnsi="Arial Narrow"/>
          <w:b/>
          <w:szCs w:val="24"/>
        </w:rPr>
      </w:pPr>
    </w:p>
    <w:p w14:paraId="018B5250" w14:textId="77777777" w:rsidR="001157EF" w:rsidRDefault="001157EF" w:rsidP="003C4C6E">
      <w:pPr>
        <w:pStyle w:val="Textoindependiente"/>
        <w:rPr>
          <w:rFonts w:ascii="Arial Narrow" w:hAnsi="Arial Narrow"/>
          <w:b/>
          <w:szCs w:val="24"/>
        </w:rPr>
      </w:pPr>
      <w:r w:rsidRPr="004A612F">
        <w:rPr>
          <w:rFonts w:ascii="Arial Narrow" w:hAnsi="Arial Narrow"/>
          <w:b/>
          <w:szCs w:val="24"/>
        </w:rPr>
        <w:t>CONSIDERANDO:</w:t>
      </w:r>
    </w:p>
    <w:p w14:paraId="018B5251" w14:textId="77777777" w:rsidR="005B02EF" w:rsidRPr="004A612F" w:rsidRDefault="005B02EF" w:rsidP="003C4C6E">
      <w:pPr>
        <w:pStyle w:val="Textoindependiente"/>
        <w:rPr>
          <w:rFonts w:ascii="Arial Narrow" w:hAnsi="Arial Narrow"/>
          <w:b/>
          <w:szCs w:val="24"/>
        </w:rPr>
      </w:pPr>
    </w:p>
    <w:p w14:paraId="018B5252" w14:textId="77777777" w:rsidR="00210D84" w:rsidRPr="004A612F" w:rsidRDefault="00210D84" w:rsidP="00C42BA1">
      <w:pPr>
        <w:pStyle w:val="Prrafodelista"/>
        <w:numPr>
          <w:ilvl w:val="0"/>
          <w:numId w:val="2"/>
        </w:numPr>
        <w:ind w:left="426" w:hanging="426"/>
        <w:jc w:val="both"/>
        <w:rPr>
          <w:rFonts w:ascii="Arial Narrow" w:hAnsi="Arial Narrow"/>
          <w:szCs w:val="24"/>
          <w:lang w:val="es-ES"/>
        </w:rPr>
      </w:pPr>
      <w:r w:rsidRPr="00CC0FCC">
        <w:rPr>
          <w:rFonts w:ascii="Arial Narrow" w:hAnsi="Arial Narrow"/>
          <w:szCs w:val="24"/>
          <w:lang w:val="es-ES"/>
        </w:rPr>
        <w:t xml:space="preserve">Que el artículo 3 </w:t>
      </w:r>
      <w:r w:rsidR="00601D53" w:rsidRPr="00CC0FCC">
        <w:rPr>
          <w:rFonts w:ascii="Arial Narrow" w:hAnsi="Arial Narrow"/>
          <w:szCs w:val="24"/>
          <w:lang w:val="es-ES"/>
        </w:rPr>
        <w:t xml:space="preserve">literal c) </w:t>
      </w:r>
      <w:r w:rsidRPr="00CC0FCC">
        <w:rPr>
          <w:rFonts w:ascii="Arial Narrow" w:hAnsi="Arial Narrow"/>
          <w:szCs w:val="24"/>
          <w:lang w:val="es-ES"/>
        </w:rPr>
        <w:t>de la Ley de Supervisión y</w:t>
      </w:r>
      <w:r w:rsidRPr="004A612F">
        <w:rPr>
          <w:rFonts w:ascii="Arial Narrow" w:hAnsi="Arial Narrow"/>
          <w:szCs w:val="24"/>
          <w:lang w:val="es-ES"/>
        </w:rPr>
        <w:t xml:space="preserve"> Regulación del Sistema Financiero, establece que es competencia de la Superintendencia del Sistema Financiero, monitorear preventivamente los riesgos de los integrantes del sistema financiero y la forma en que éstos los gestionan, velando por el prudente mantenimiento de su solvencia y liquidez.</w:t>
      </w:r>
    </w:p>
    <w:p w14:paraId="018B5253" w14:textId="77777777" w:rsidR="00210D84" w:rsidRPr="004A612F" w:rsidRDefault="00210D84" w:rsidP="00C42BA1">
      <w:pPr>
        <w:pStyle w:val="Prrafodelista"/>
        <w:ind w:left="426" w:hanging="426"/>
        <w:jc w:val="both"/>
        <w:rPr>
          <w:rFonts w:ascii="Arial Narrow" w:hAnsi="Arial Narrow"/>
          <w:szCs w:val="24"/>
          <w:lang w:val="es-ES"/>
        </w:rPr>
      </w:pPr>
    </w:p>
    <w:p w14:paraId="018B5254" w14:textId="77777777" w:rsidR="00210D84" w:rsidRDefault="00210D84" w:rsidP="00C42BA1">
      <w:pPr>
        <w:pStyle w:val="Prrafodelista"/>
        <w:numPr>
          <w:ilvl w:val="0"/>
          <w:numId w:val="2"/>
        </w:numPr>
        <w:ind w:left="426" w:hanging="426"/>
        <w:jc w:val="both"/>
        <w:rPr>
          <w:rFonts w:ascii="Arial Narrow" w:hAnsi="Arial Narrow"/>
          <w:szCs w:val="24"/>
          <w:lang w:val="es-ES"/>
        </w:rPr>
      </w:pPr>
      <w:r w:rsidRPr="00CC0FCC">
        <w:rPr>
          <w:rFonts w:ascii="Arial Narrow" w:hAnsi="Arial Narrow"/>
          <w:szCs w:val="24"/>
          <w:lang w:val="es-ES"/>
        </w:rPr>
        <w:t xml:space="preserve">Que el artículo 35 </w:t>
      </w:r>
      <w:r w:rsidR="00173E20" w:rsidRPr="00CC0FCC">
        <w:rPr>
          <w:rFonts w:ascii="Arial Narrow" w:hAnsi="Arial Narrow"/>
          <w:szCs w:val="24"/>
          <w:lang w:val="es-ES"/>
        </w:rPr>
        <w:t xml:space="preserve">literal d) </w:t>
      </w:r>
      <w:r w:rsidRPr="00CC0FCC">
        <w:rPr>
          <w:rFonts w:ascii="Arial Narrow" w:hAnsi="Arial Narrow"/>
          <w:szCs w:val="24"/>
          <w:lang w:val="es-ES"/>
        </w:rPr>
        <w:t>de la Ley de Supervisión y Regulación</w:t>
      </w:r>
      <w:r w:rsidRPr="004A612F">
        <w:rPr>
          <w:rFonts w:ascii="Arial Narrow" w:hAnsi="Arial Narrow"/>
          <w:szCs w:val="24"/>
          <w:lang w:val="es-ES"/>
        </w:rPr>
        <w:t xml:space="preserve"> del Sistema Financiero, establece que las entidades supervisadas deben cumplir con la adopción y actualización de políticas y mecanismos para la gestión de riesgos, debiendo entre otras acciones, identificarlos, evaluarlos,</w:t>
      </w:r>
      <w:r w:rsidR="00046D6E">
        <w:rPr>
          <w:rFonts w:ascii="Arial Narrow" w:hAnsi="Arial Narrow"/>
          <w:szCs w:val="24"/>
          <w:lang w:val="es-ES"/>
        </w:rPr>
        <w:t xml:space="preserve"> </w:t>
      </w:r>
      <w:r w:rsidRPr="004A612F">
        <w:rPr>
          <w:rFonts w:ascii="Arial Narrow" w:hAnsi="Arial Narrow"/>
          <w:szCs w:val="24"/>
          <w:lang w:val="es-ES"/>
        </w:rPr>
        <w:t>mitigarlos y revelarlos acordes a las mejores prácticas internacionales.</w:t>
      </w:r>
    </w:p>
    <w:p w14:paraId="018B5255" w14:textId="77777777" w:rsidR="007770DA" w:rsidRPr="007770DA" w:rsidRDefault="007770DA" w:rsidP="00C42BA1">
      <w:pPr>
        <w:pStyle w:val="Prrafodelista"/>
        <w:ind w:left="426" w:hanging="426"/>
        <w:rPr>
          <w:rFonts w:ascii="Arial Narrow" w:hAnsi="Arial Narrow"/>
          <w:szCs w:val="24"/>
          <w:lang w:val="es-ES"/>
        </w:rPr>
      </w:pPr>
    </w:p>
    <w:p w14:paraId="018B5256" w14:textId="77777777" w:rsidR="009F7739" w:rsidRDefault="009F7739" w:rsidP="00C42BA1">
      <w:pPr>
        <w:pStyle w:val="Prrafodelista"/>
        <w:numPr>
          <w:ilvl w:val="0"/>
          <w:numId w:val="2"/>
        </w:numPr>
        <w:ind w:left="426" w:hanging="426"/>
        <w:jc w:val="both"/>
        <w:rPr>
          <w:rFonts w:ascii="Arial Narrow" w:hAnsi="Arial Narrow"/>
          <w:szCs w:val="24"/>
          <w:lang w:val="es-ES"/>
        </w:rPr>
      </w:pPr>
      <w:r w:rsidRPr="00F05A89">
        <w:rPr>
          <w:rFonts w:ascii="Arial Narrow" w:hAnsi="Arial Narrow"/>
          <w:szCs w:val="24"/>
          <w:lang w:val="es-ES"/>
        </w:rPr>
        <w:t>Que los artículos 63 de la Ley de Banc</w:t>
      </w:r>
      <w:r>
        <w:rPr>
          <w:rFonts w:ascii="Arial Narrow" w:hAnsi="Arial Narrow"/>
          <w:szCs w:val="24"/>
          <w:lang w:val="es-ES"/>
        </w:rPr>
        <w:t>os y</w:t>
      </w:r>
      <w:r w:rsidRPr="00F05A89">
        <w:rPr>
          <w:rFonts w:ascii="Arial Narrow" w:hAnsi="Arial Narrow"/>
          <w:szCs w:val="24"/>
          <w:lang w:val="es-ES"/>
        </w:rPr>
        <w:t xml:space="preserve"> 41 de la Ley de Bancos Cooperativos y Sociedades de Ahor</w:t>
      </w:r>
      <w:r>
        <w:rPr>
          <w:rFonts w:ascii="Arial Narrow" w:hAnsi="Arial Narrow"/>
          <w:szCs w:val="24"/>
          <w:lang w:val="es-ES"/>
        </w:rPr>
        <w:t>ro y Crédito,</w:t>
      </w:r>
      <w:r w:rsidRPr="00F05A89">
        <w:rPr>
          <w:rFonts w:ascii="Arial Narrow" w:hAnsi="Arial Narrow"/>
          <w:szCs w:val="24"/>
          <w:lang w:val="es-ES"/>
        </w:rPr>
        <w:t xml:space="preserve"> establecen que los bancos y los bancos cooperativos deberán elaborar e implantar políticas y sistema</w:t>
      </w:r>
      <w:r>
        <w:rPr>
          <w:rFonts w:ascii="Arial Narrow" w:hAnsi="Arial Narrow"/>
          <w:szCs w:val="24"/>
          <w:lang w:val="es-ES"/>
        </w:rPr>
        <w:t>s</w:t>
      </w:r>
      <w:r w:rsidRPr="00F05A89">
        <w:rPr>
          <w:rFonts w:ascii="Arial Narrow" w:hAnsi="Arial Narrow"/>
          <w:szCs w:val="24"/>
          <w:lang w:val="es-ES"/>
        </w:rPr>
        <w:t xml:space="preserve"> de control que les permitan manejar adecuadamente sus ries</w:t>
      </w:r>
      <w:r>
        <w:rPr>
          <w:rFonts w:ascii="Arial Narrow" w:hAnsi="Arial Narrow"/>
          <w:szCs w:val="24"/>
          <w:lang w:val="es-ES"/>
        </w:rPr>
        <w:t xml:space="preserve">gos financieros y operacionales; </w:t>
      </w:r>
      <w:r w:rsidRPr="00F05A89">
        <w:rPr>
          <w:rFonts w:ascii="Arial Narrow" w:hAnsi="Arial Narrow"/>
          <w:szCs w:val="24"/>
          <w:lang w:val="es-ES"/>
        </w:rPr>
        <w:t>considerando</w:t>
      </w:r>
      <w:r>
        <w:rPr>
          <w:rFonts w:ascii="Arial Narrow" w:hAnsi="Arial Narrow"/>
          <w:szCs w:val="24"/>
          <w:lang w:val="es-ES"/>
        </w:rPr>
        <w:t>,</w:t>
      </w:r>
      <w:r w:rsidRPr="00F05A89">
        <w:rPr>
          <w:rFonts w:ascii="Arial Narrow" w:hAnsi="Arial Narrow"/>
          <w:szCs w:val="24"/>
          <w:lang w:val="es-ES"/>
        </w:rPr>
        <w:t xml:space="preserve"> entre otras, disposiciones relativas</w:t>
      </w:r>
      <w:r>
        <w:rPr>
          <w:rFonts w:ascii="Arial Narrow" w:hAnsi="Arial Narrow"/>
          <w:szCs w:val="24"/>
          <w:lang w:val="es-ES"/>
        </w:rPr>
        <w:t xml:space="preserve"> a</w:t>
      </w:r>
      <w:r w:rsidRPr="00F05A89">
        <w:rPr>
          <w:rFonts w:ascii="Arial Narrow" w:hAnsi="Arial Narrow"/>
          <w:szCs w:val="24"/>
          <w:lang w:val="es-ES"/>
        </w:rPr>
        <w:t xml:space="preserve"> manejo, destino y diversific</w:t>
      </w:r>
      <w:r>
        <w:rPr>
          <w:rFonts w:ascii="Arial Narrow" w:hAnsi="Arial Narrow"/>
          <w:szCs w:val="24"/>
          <w:lang w:val="es-ES"/>
        </w:rPr>
        <w:t xml:space="preserve">ación del crédito e inversiones y a la </w:t>
      </w:r>
      <w:r w:rsidRPr="00F05A89">
        <w:rPr>
          <w:rFonts w:ascii="Arial Narrow" w:hAnsi="Arial Narrow"/>
          <w:szCs w:val="24"/>
          <w:lang w:val="es-ES"/>
        </w:rPr>
        <w:t>administración de su liquidez.</w:t>
      </w:r>
    </w:p>
    <w:p w14:paraId="018B5257" w14:textId="77777777" w:rsidR="002F662B" w:rsidRPr="002F662B" w:rsidRDefault="002F662B" w:rsidP="00C42BA1">
      <w:pPr>
        <w:pStyle w:val="Prrafodelista"/>
        <w:ind w:left="426" w:hanging="426"/>
        <w:rPr>
          <w:rFonts w:ascii="Arial Narrow" w:hAnsi="Arial Narrow"/>
          <w:szCs w:val="24"/>
          <w:lang w:val="es-ES"/>
        </w:rPr>
      </w:pPr>
    </w:p>
    <w:p w14:paraId="018B5258" w14:textId="77777777" w:rsidR="002F662B" w:rsidRDefault="002F662B" w:rsidP="00C42BA1">
      <w:pPr>
        <w:pStyle w:val="Prrafodelista"/>
        <w:numPr>
          <w:ilvl w:val="0"/>
          <w:numId w:val="2"/>
        </w:numPr>
        <w:ind w:left="426" w:hanging="426"/>
        <w:jc w:val="both"/>
        <w:rPr>
          <w:rFonts w:ascii="Arial Narrow" w:hAnsi="Arial Narrow"/>
          <w:szCs w:val="24"/>
          <w:lang w:val="es-ES"/>
        </w:rPr>
      </w:pPr>
      <w:r w:rsidRPr="004A612F">
        <w:rPr>
          <w:rFonts w:ascii="Arial Narrow" w:hAnsi="Arial Narrow"/>
          <w:szCs w:val="24"/>
          <w:lang w:val="es-ES"/>
        </w:rPr>
        <w:t>Que la coyuntura que atraviesan los mercados financieros internacionales y su impacto en el sector real de las economías a nivel mundial, hace necesario que los integrantes del sistema financiero den cumplimiento a regulaciones prudenciales, de buenas prácticas de gestión de riesgo y de buen gobierno corporativo que contribuyan al buen funcionamiento de las entidades.</w:t>
      </w:r>
    </w:p>
    <w:p w14:paraId="018B525A" w14:textId="77777777" w:rsidR="00254DE3" w:rsidRPr="004A612F" w:rsidRDefault="00254DE3" w:rsidP="00210D84">
      <w:pPr>
        <w:rPr>
          <w:rFonts w:ascii="Arial Narrow" w:hAnsi="Arial Narrow"/>
          <w:lang w:val="es-ES"/>
        </w:rPr>
      </w:pPr>
    </w:p>
    <w:p w14:paraId="018B525B" w14:textId="77777777" w:rsidR="00254DE3" w:rsidRPr="005B02EF" w:rsidRDefault="00254DE3" w:rsidP="00254DE3">
      <w:pPr>
        <w:pStyle w:val="Textoindependiente"/>
        <w:rPr>
          <w:rFonts w:ascii="Arial Narrow" w:hAnsi="Arial Narrow"/>
          <w:b/>
          <w:szCs w:val="24"/>
        </w:rPr>
      </w:pPr>
      <w:r w:rsidRPr="005B02EF">
        <w:rPr>
          <w:rFonts w:ascii="Arial Narrow" w:hAnsi="Arial Narrow"/>
          <w:b/>
          <w:szCs w:val="24"/>
        </w:rPr>
        <w:t>POR TANTO,</w:t>
      </w:r>
    </w:p>
    <w:p w14:paraId="018B525C" w14:textId="77777777" w:rsidR="00254DE3" w:rsidRPr="004A612F" w:rsidRDefault="00254DE3" w:rsidP="00210D84">
      <w:pPr>
        <w:rPr>
          <w:rFonts w:ascii="Arial Narrow" w:hAnsi="Arial Narrow"/>
          <w:lang w:val="es-GT"/>
        </w:rPr>
      </w:pPr>
    </w:p>
    <w:p w14:paraId="018B525D" w14:textId="77777777" w:rsidR="00254DE3" w:rsidRPr="004A612F" w:rsidRDefault="00254DE3" w:rsidP="00254DE3">
      <w:pPr>
        <w:pStyle w:val="Textoindependiente"/>
        <w:rPr>
          <w:rFonts w:ascii="Arial Narrow" w:hAnsi="Arial Narrow"/>
          <w:szCs w:val="24"/>
        </w:rPr>
      </w:pPr>
      <w:r w:rsidRPr="004A612F">
        <w:rPr>
          <w:rFonts w:ascii="Arial Narrow" w:hAnsi="Arial Narrow"/>
          <w:szCs w:val="24"/>
        </w:rPr>
        <w:t xml:space="preserve">en virtud de las facultades normativas que le confiere el artículo 99 de la Ley de Supervisión y Regulación del Sistema Financiero, </w:t>
      </w:r>
    </w:p>
    <w:p w14:paraId="018B525F" w14:textId="77777777" w:rsidR="00254DE3" w:rsidRPr="004A612F" w:rsidRDefault="00254DE3" w:rsidP="00254DE3">
      <w:pPr>
        <w:pStyle w:val="Textoindependiente"/>
        <w:rPr>
          <w:rFonts w:ascii="Arial Narrow" w:hAnsi="Arial Narrow"/>
          <w:szCs w:val="24"/>
        </w:rPr>
      </w:pPr>
    </w:p>
    <w:p w14:paraId="018B5260" w14:textId="77777777" w:rsidR="00254DE3" w:rsidRPr="004A612F" w:rsidRDefault="00254DE3" w:rsidP="00254DE3">
      <w:pPr>
        <w:pStyle w:val="Textoindependiente"/>
        <w:rPr>
          <w:rFonts w:ascii="Arial Narrow" w:hAnsi="Arial Narrow"/>
          <w:szCs w:val="24"/>
        </w:rPr>
      </w:pPr>
      <w:r w:rsidRPr="00C42BA1">
        <w:rPr>
          <w:rFonts w:ascii="Arial Narrow" w:hAnsi="Arial Narrow"/>
          <w:b/>
          <w:szCs w:val="24"/>
        </w:rPr>
        <w:t>ACUERDA,</w:t>
      </w:r>
      <w:r w:rsidRPr="004A612F">
        <w:rPr>
          <w:rFonts w:ascii="Arial Narrow" w:hAnsi="Arial Narrow"/>
          <w:szCs w:val="24"/>
        </w:rPr>
        <w:t xml:space="preserve"> emitir las siguientes: </w:t>
      </w:r>
    </w:p>
    <w:p w14:paraId="018B5261" w14:textId="77777777" w:rsidR="00254DE3" w:rsidRPr="004A612F" w:rsidRDefault="00254DE3" w:rsidP="00254DE3">
      <w:pPr>
        <w:pStyle w:val="Textoindependiente"/>
        <w:rPr>
          <w:rFonts w:ascii="Arial Narrow" w:hAnsi="Arial Narrow"/>
          <w:szCs w:val="24"/>
        </w:rPr>
      </w:pPr>
    </w:p>
    <w:p w14:paraId="018B5262" w14:textId="77777777" w:rsidR="008560EA" w:rsidRPr="004A612F" w:rsidRDefault="008560EA" w:rsidP="008560EA">
      <w:pPr>
        <w:pStyle w:val="Ttulo1"/>
        <w:jc w:val="center"/>
        <w:rPr>
          <w:rFonts w:ascii="Arial Narrow" w:hAnsi="Arial Narrow" w:cstheme="minorHAnsi"/>
          <w:szCs w:val="24"/>
        </w:rPr>
      </w:pPr>
      <w:r w:rsidRPr="004A612F">
        <w:rPr>
          <w:rFonts w:ascii="Arial Narrow" w:hAnsi="Arial Narrow"/>
          <w:szCs w:val="24"/>
        </w:rPr>
        <w:t>NORMAS TÉCNICAS</w:t>
      </w:r>
      <w:r w:rsidRPr="004A612F">
        <w:rPr>
          <w:rFonts w:ascii="Arial Narrow" w:hAnsi="Arial Narrow" w:cstheme="minorHAnsi"/>
          <w:szCs w:val="24"/>
        </w:rPr>
        <w:t xml:space="preserve"> PARA LA GESTIÓN DEL RIESGO DE LIQUIDEZ</w:t>
      </w:r>
    </w:p>
    <w:p w14:paraId="018B5263" w14:textId="77777777" w:rsidR="008560EA" w:rsidRPr="004A612F" w:rsidRDefault="008560EA" w:rsidP="008560EA">
      <w:pPr>
        <w:rPr>
          <w:rFonts w:ascii="Arial Narrow" w:hAnsi="Arial Narrow"/>
          <w:lang w:val="es-ES_tradnl"/>
        </w:rPr>
      </w:pPr>
    </w:p>
    <w:p w14:paraId="018B5264" w14:textId="77777777" w:rsidR="008560EA" w:rsidRPr="004A612F" w:rsidRDefault="008560EA" w:rsidP="008560EA">
      <w:pPr>
        <w:pStyle w:val="Ttulo1"/>
        <w:jc w:val="center"/>
        <w:rPr>
          <w:rFonts w:ascii="Arial Narrow" w:hAnsi="Arial Narrow" w:cstheme="minorHAnsi"/>
          <w:szCs w:val="24"/>
        </w:rPr>
      </w:pPr>
      <w:r w:rsidRPr="004A612F">
        <w:rPr>
          <w:rFonts w:ascii="Arial Narrow" w:hAnsi="Arial Narrow" w:cstheme="minorHAnsi"/>
          <w:szCs w:val="24"/>
        </w:rPr>
        <w:t>CAPÍTULO I</w:t>
      </w:r>
    </w:p>
    <w:p w14:paraId="018B5265" w14:textId="77777777" w:rsidR="008560EA" w:rsidRPr="004A612F" w:rsidRDefault="008560EA" w:rsidP="008560EA">
      <w:pPr>
        <w:pStyle w:val="Ttulo1"/>
        <w:jc w:val="center"/>
        <w:rPr>
          <w:rFonts w:ascii="Arial Narrow" w:hAnsi="Arial Narrow" w:cstheme="minorHAnsi"/>
          <w:bCs/>
          <w:szCs w:val="24"/>
        </w:rPr>
      </w:pPr>
      <w:bookmarkStart w:id="1" w:name="_Toc97029174"/>
      <w:bookmarkStart w:id="2" w:name="_Toc97030839"/>
      <w:bookmarkStart w:id="3" w:name="_Toc97031140"/>
      <w:bookmarkStart w:id="4" w:name="_Toc97031388"/>
      <w:bookmarkStart w:id="5" w:name="_Toc97032417"/>
      <w:r w:rsidRPr="004A612F">
        <w:rPr>
          <w:rFonts w:ascii="Arial Narrow" w:hAnsi="Arial Narrow" w:cstheme="minorHAnsi"/>
          <w:bCs/>
          <w:szCs w:val="24"/>
        </w:rPr>
        <w:t xml:space="preserve">OBJETO, SUJETOS </w:t>
      </w:r>
      <w:bookmarkEnd w:id="1"/>
      <w:bookmarkEnd w:id="2"/>
      <w:bookmarkEnd w:id="3"/>
      <w:bookmarkEnd w:id="4"/>
      <w:bookmarkEnd w:id="5"/>
      <w:r w:rsidRPr="004A612F">
        <w:rPr>
          <w:rFonts w:ascii="Arial Narrow" w:hAnsi="Arial Narrow" w:cstheme="minorHAnsi"/>
          <w:bCs/>
          <w:szCs w:val="24"/>
        </w:rPr>
        <w:t xml:space="preserve">Y </w:t>
      </w:r>
      <w:r w:rsidR="00757E73" w:rsidRPr="004A612F">
        <w:rPr>
          <w:rFonts w:ascii="Arial Narrow" w:hAnsi="Arial Narrow" w:cstheme="minorHAnsi"/>
          <w:bCs/>
          <w:szCs w:val="24"/>
        </w:rPr>
        <w:t>TÉRMINOS</w:t>
      </w:r>
    </w:p>
    <w:p w14:paraId="018B5266" w14:textId="77777777" w:rsidR="00757E73" w:rsidRPr="004A612F" w:rsidRDefault="00757E73" w:rsidP="008560EA">
      <w:pPr>
        <w:jc w:val="both"/>
        <w:rPr>
          <w:rFonts w:ascii="Arial Narrow" w:hAnsi="Arial Narrow" w:cstheme="minorHAnsi"/>
          <w:b/>
          <w:lang w:val="es-ES_tradnl"/>
        </w:rPr>
      </w:pPr>
    </w:p>
    <w:p w14:paraId="018B5267" w14:textId="77777777" w:rsidR="008560EA" w:rsidRPr="004A612F" w:rsidRDefault="008560EA" w:rsidP="008560EA">
      <w:pPr>
        <w:jc w:val="both"/>
        <w:rPr>
          <w:rFonts w:ascii="Arial Narrow" w:hAnsi="Arial Narrow" w:cstheme="minorHAnsi"/>
          <w:b/>
        </w:rPr>
      </w:pPr>
      <w:r w:rsidRPr="004A612F">
        <w:rPr>
          <w:rFonts w:ascii="Arial Narrow" w:hAnsi="Arial Narrow" w:cstheme="minorHAnsi"/>
          <w:b/>
          <w:lang w:val="es-ES_tradnl"/>
        </w:rPr>
        <w:t>Objeto</w:t>
      </w:r>
    </w:p>
    <w:p w14:paraId="018B5268" w14:textId="77777777" w:rsidR="008560EA" w:rsidRPr="004A612F" w:rsidRDefault="008560EA" w:rsidP="00C42BA1">
      <w:pPr>
        <w:widowControl w:val="0"/>
        <w:autoSpaceDE w:val="0"/>
        <w:autoSpaceDN w:val="0"/>
        <w:adjustRightInd w:val="0"/>
        <w:jc w:val="both"/>
        <w:rPr>
          <w:rFonts w:ascii="Arial Narrow" w:hAnsi="Arial Narrow" w:cstheme="minorHAnsi"/>
          <w:lang w:val="es-ES_tradnl"/>
        </w:rPr>
      </w:pPr>
      <w:r w:rsidRPr="004A612F">
        <w:rPr>
          <w:rFonts w:ascii="Arial Narrow" w:hAnsi="Arial Narrow" w:cstheme="minorHAnsi"/>
          <w:b/>
          <w:lang w:val="es-ES_tradnl"/>
        </w:rPr>
        <w:t>Art. 1.-</w:t>
      </w:r>
      <w:r w:rsidRPr="004A612F">
        <w:rPr>
          <w:rFonts w:ascii="Arial Narrow" w:hAnsi="Arial Narrow" w:cstheme="minorHAnsi"/>
          <w:lang w:val="es-ES_tradnl"/>
        </w:rPr>
        <w:t xml:space="preserve"> L</w:t>
      </w:r>
      <w:r w:rsidRPr="004A612F">
        <w:rPr>
          <w:rFonts w:ascii="Arial Narrow" w:hAnsi="Arial Narrow" w:cstheme="minorHAnsi"/>
        </w:rPr>
        <w:t xml:space="preserve">as presentes Normas tienen como objeto establecer los lineamientos mínimos para la gestión del riesgo de liquidez </w:t>
      </w:r>
      <w:r w:rsidRPr="004A612F">
        <w:rPr>
          <w:rFonts w:ascii="Arial Narrow" w:hAnsi="Arial Narrow" w:cstheme="minorHAnsi"/>
          <w:lang w:val="es-ES_tradnl"/>
        </w:rPr>
        <w:t xml:space="preserve">y criterios para la adopción de políticas y procedimientos relacionados con el desarrollo de metodologías, acordes con la naturaleza, tamaño, perfil de riesgo de las entidades y volumen de sus operaciones. </w:t>
      </w:r>
    </w:p>
    <w:p w14:paraId="018B526A" w14:textId="77777777" w:rsidR="00032462" w:rsidRPr="00A931C7" w:rsidRDefault="00032462" w:rsidP="00032462">
      <w:pPr>
        <w:pStyle w:val="Textoindependiente"/>
        <w:rPr>
          <w:rFonts w:ascii="Arial Narrow" w:hAnsi="Arial Narrow" w:cstheme="minorHAnsi"/>
          <w:szCs w:val="24"/>
          <w:lang w:val="es-SV"/>
        </w:rPr>
      </w:pPr>
      <w:r w:rsidRPr="00A931C7">
        <w:rPr>
          <w:rFonts w:ascii="Arial Narrow" w:hAnsi="Arial Narrow" w:cstheme="minorHAnsi"/>
          <w:szCs w:val="24"/>
          <w:lang w:val="es-SV"/>
        </w:rPr>
        <w:lastRenderedPageBreak/>
        <w:t>Estas Normas complementan a las disposiciones establecidas en las Normas para la Gestión Integral de Riesgos de las Entidades Financieras (NPB4-47) y las Normas de Gobierno Corporativo para las Entidades Financieras (NPB4-48).</w:t>
      </w:r>
    </w:p>
    <w:p w14:paraId="018B526B" w14:textId="77777777" w:rsidR="008560EA" w:rsidRPr="00032462" w:rsidRDefault="008560EA" w:rsidP="008560EA">
      <w:pPr>
        <w:autoSpaceDE w:val="0"/>
        <w:autoSpaceDN w:val="0"/>
        <w:adjustRightInd w:val="0"/>
        <w:jc w:val="both"/>
        <w:rPr>
          <w:rFonts w:ascii="Arial Narrow" w:hAnsi="Arial Narrow" w:cstheme="minorHAnsi"/>
          <w:lang w:val="es-GT"/>
        </w:rPr>
      </w:pPr>
    </w:p>
    <w:p w14:paraId="018B526C" w14:textId="77777777" w:rsidR="008560EA" w:rsidRPr="004A612F" w:rsidRDefault="008560EA" w:rsidP="008560EA">
      <w:pPr>
        <w:jc w:val="both"/>
        <w:rPr>
          <w:rFonts w:ascii="Arial Narrow" w:hAnsi="Arial Narrow" w:cstheme="minorHAnsi"/>
          <w:b/>
          <w:lang w:val="es-ES_tradnl"/>
        </w:rPr>
      </w:pPr>
      <w:r w:rsidRPr="004A612F">
        <w:rPr>
          <w:rFonts w:ascii="Arial Narrow" w:hAnsi="Arial Narrow" w:cstheme="minorHAnsi"/>
          <w:b/>
          <w:lang w:val="es-ES_tradnl"/>
        </w:rPr>
        <w:t>Sujetos</w:t>
      </w:r>
    </w:p>
    <w:p w14:paraId="018B526D" w14:textId="77777777" w:rsidR="008560EA" w:rsidRPr="004A612F" w:rsidRDefault="008560EA" w:rsidP="008560EA">
      <w:pPr>
        <w:spacing w:after="120"/>
        <w:jc w:val="both"/>
        <w:rPr>
          <w:rFonts w:ascii="Arial Narrow" w:hAnsi="Arial Narrow" w:cstheme="minorHAnsi"/>
        </w:rPr>
      </w:pPr>
      <w:r w:rsidRPr="004A612F">
        <w:rPr>
          <w:rFonts w:ascii="Arial Narrow" w:hAnsi="Arial Narrow" w:cstheme="minorHAnsi"/>
          <w:b/>
          <w:lang w:val="es-ES_tradnl"/>
        </w:rPr>
        <w:t xml:space="preserve">Art.2.- </w:t>
      </w:r>
      <w:r w:rsidRPr="004A612F">
        <w:rPr>
          <w:rFonts w:ascii="Arial Narrow" w:hAnsi="Arial Narrow" w:cstheme="minorHAnsi"/>
        </w:rPr>
        <w:t>Los sujetos obligados al cumplimiento de las pre</w:t>
      </w:r>
      <w:r w:rsidR="00F25894">
        <w:rPr>
          <w:rFonts w:ascii="Arial Narrow" w:hAnsi="Arial Narrow" w:cstheme="minorHAnsi"/>
        </w:rPr>
        <w:t>sentes Normas son</w:t>
      </w:r>
      <w:r w:rsidRPr="004A612F">
        <w:rPr>
          <w:rFonts w:ascii="Arial Narrow" w:hAnsi="Arial Narrow" w:cstheme="minorHAnsi"/>
        </w:rPr>
        <w:t>:</w:t>
      </w:r>
    </w:p>
    <w:p w14:paraId="018B526E" w14:textId="77777777" w:rsidR="008560EA" w:rsidRPr="004A612F" w:rsidRDefault="008560EA" w:rsidP="00AA09D7">
      <w:pPr>
        <w:pStyle w:val="Prrafodelista"/>
        <w:numPr>
          <w:ilvl w:val="0"/>
          <w:numId w:val="6"/>
        </w:numPr>
        <w:ind w:left="567" w:hanging="567"/>
        <w:jc w:val="both"/>
        <w:rPr>
          <w:rFonts w:ascii="Arial Narrow" w:hAnsi="Arial Narrow" w:cstheme="minorHAnsi"/>
          <w:szCs w:val="24"/>
        </w:rPr>
      </w:pPr>
      <w:r w:rsidRPr="004A612F">
        <w:rPr>
          <w:rFonts w:ascii="Arial Narrow" w:hAnsi="Arial Narrow" w:cstheme="minorHAnsi"/>
          <w:szCs w:val="24"/>
        </w:rPr>
        <w:t>Los bancos constituidos en El Salvador, sus oficinas en el extranjero y sus subsidiarias;</w:t>
      </w:r>
    </w:p>
    <w:p w14:paraId="018B526F" w14:textId="77777777" w:rsidR="008560EA" w:rsidRPr="004A612F" w:rsidRDefault="005D5F00" w:rsidP="00AA09D7">
      <w:pPr>
        <w:pStyle w:val="Prrafodelista"/>
        <w:numPr>
          <w:ilvl w:val="0"/>
          <w:numId w:val="6"/>
        </w:numPr>
        <w:ind w:left="567" w:hanging="567"/>
        <w:jc w:val="both"/>
        <w:rPr>
          <w:rFonts w:ascii="Arial Narrow" w:hAnsi="Arial Narrow" w:cstheme="minorHAnsi"/>
          <w:szCs w:val="24"/>
        </w:rPr>
      </w:pPr>
      <w:r>
        <w:rPr>
          <w:rFonts w:ascii="Arial Narrow" w:hAnsi="Arial Narrow" w:cstheme="minorHAnsi"/>
          <w:szCs w:val="24"/>
        </w:rPr>
        <w:t>Las sucursales de bancos extranjeros establecido</w:t>
      </w:r>
      <w:r w:rsidR="008560EA" w:rsidRPr="004A612F">
        <w:rPr>
          <w:rFonts w:ascii="Arial Narrow" w:hAnsi="Arial Narrow" w:cstheme="minorHAnsi"/>
          <w:szCs w:val="24"/>
        </w:rPr>
        <w:t>s en el país</w:t>
      </w:r>
      <w:r w:rsidR="003769FE">
        <w:rPr>
          <w:rFonts w:ascii="Arial Narrow" w:hAnsi="Arial Narrow" w:cstheme="minorHAnsi"/>
          <w:szCs w:val="24"/>
        </w:rPr>
        <w:t xml:space="preserve">, </w:t>
      </w:r>
      <w:r w:rsidR="003769FE" w:rsidRPr="00A931C7">
        <w:rPr>
          <w:rFonts w:ascii="Arial Narrow" w:hAnsi="Arial Narrow" w:cstheme="minorHAnsi"/>
          <w:szCs w:val="24"/>
        </w:rPr>
        <w:t>en lo pertinente</w:t>
      </w:r>
      <w:r w:rsidR="008560EA" w:rsidRPr="004A612F">
        <w:rPr>
          <w:rFonts w:ascii="Arial Narrow" w:hAnsi="Arial Narrow" w:cstheme="minorHAnsi"/>
          <w:szCs w:val="24"/>
        </w:rPr>
        <w:t>;</w:t>
      </w:r>
    </w:p>
    <w:p w14:paraId="018B5270" w14:textId="77777777" w:rsidR="008560EA" w:rsidRPr="004A612F" w:rsidRDefault="008560EA" w:rsidP="00AA09D7">
      <w:pPr>
        <w:pStyle w:val="Prrafodelista"/>
        <w:numPr>
          <w:ilvl w:val="0"/>
          <w:numId w:val="6"/>
        </w:numPr>
        <w:ind w:left="567" w:hanging="567"/>
        <w:jc w:val="both"/>
        <w:rPr>
          <w:rFonts w:ascii="Arial Narrow" w:hAnsi="Arial Narrow" w:cstheme="minorHAnsi"/>
          <w:szCs w:val="24"/>
        </w:rPr>
      </w:pPr>
      <w:r w:rsidRPr="004A612F">
        <w:rPr>
          <w:rFonts w:ascii="Arial Narrow" w:hAnsi="Arial Narrow" w:cstheme="minorHAnsi"/>
          <w:szCs w:val="24"/>
        </w:rPr>
        <w:t>Los bancos cooperativos, las sociedades de ahorro y crédito y las federaciones reguladas por la Ley de Bancos Cooperativ</w:t>
      </w:r>
      <w:r w:rsidRPr="00C5645E">
        <w:rPr>
          <w:rFonts w:ascii="Arial Narrow" w:hAnsi="Arial Narrow" w:cstheme="minorHAnsi"/>
          <w:szCs w:val="24"/>
        </w:rPr>
        <w:t>os</w:t>
      </w:r>
      <w:r w:rsidRPr="004A612F">
        <w:rPr>
          <w:rFonts w:ascii="Arial Narrow" w:hAnsi="Arial Narrow" w:cstheme="minorHAnsi"/>
          <w:szCs w:val="24"/>
        </w:rPr>
        <w:t>;</w:t>
      </w:r>
    </w:p>
    <w:p w14:paraId="018B5271" w14:textId="77777777" w:rsidR="00D61F2F" w:rsidRPr="004A612F" w:rsidRDefault="00D61F2F" w:rsidP="00AA09D7">
      <w:pPr>
        <w:pStyle w:val="Prrafodelista"/>
        <w:numPr>
          <w:ilvl w:val="0"/>
          <w:numId w:val="6"/>
        </w:numPr>
        <w:ind w:left="567" w:hanging="567"/>
        <w:jc w:val="both"/>
        <w:rPr>
          <w:rFonts w:ascii="Arial Narrow" w:hAnsi="Arial Narrow" w:cstheme="minorHAnsi"/>
          <w:szCs w:val="24"/>
        </w:rPr>
      </w:pPr>
      <w:r>
        <w:rPr>
          <w:rFonts w:ascii="Arial Narrow" w:hAnsi="Arial Narrow" w:cstheme="minorHAnsi"/>
          <w:szCs w:val="24"/>
        </w:rPr>
        <w:t>E</w:t>
      </w:r>
      <w:r w:rsidRPr="004A612F">
        <w:rPr>
          <w:rFonts w:ascii="Arial Narrow" w:hAnsi="Arial Narrow" w:cstheme="minorHAnsi"/>
          <w:szCs w:val="24"/>
        </w:rPr>
        <w:t>l Banco Hipotecario de El Salvador, S.A.;</w:t>
      </w:r>
    </w:p>
    <w:p w14:paraId="018B5272" w14:textId="77777777" w:rsidR="008560EA" w:rsidRDefault="008560EA" w:rsidP="00AA09D7">
      <w:pPr>
        <w:pStyle w:val="Prrafodelista"/>
        <w:numPr>
          <w:ilvl w:val="0"/>
          <w:numId w:val="6"/>
        </w:numPr>
        <w:ind w:left="567" w:hanging="567"/>
        <w:jc w:val="both"/>
        <w:rPr>
          <w:rFonts w:ascii="Arial Narrow" w:hAnsi="Arial Narrow" w:cstheme="minorHAnsi"/>
          <w:szCs w:val="24"/>
        </w:rPr>
      </w:pPr>
      <w:r w:rsidRPr="004A612F">
        <w:rPr>
          <w:rFonts w:ascii="Arial Narrow" w:hAnsi="Arial Narrow" w:cstheme="minorHAnsi"/>
          <w:szCs w:val="24"/>
        </w:rPr>
        <w:t xml:space="preserve">El Banco de Fomento Agropecuario, </w:t>
      </w:r>
      <w:r w:rsidR="00D61F2F" w:rsidRPr="00432C36">
        <w:rPr>
          <w:rFonts w:ascii="Arial Narrow" w:hAnsi="Arial Narrow" w:cstheme="minorHAnsi"/>
          <w:szCs w:val="24"/>
        </w:rPr>
        <w:t>en lo que no contradiga a su ley de creación ni a lo dispuesto por la Corte de Cuentas;</w:t>
      </w:r>
      <w:r w:rsidR="00D61F2F" w:rsidRPr="004A612F">
        <w:rPr>
          <w:rFonts w:ascii="Arial Narrow" w:hAnsi="Arial Narrow" w:cstheme="minorHAnsi"/>
          <w:szCs w:val="24"/>
        </w:rPr>
        <w:t xml:space="preserve"> </w:t>
      </w:r>
      <w:r w:rsidRPr="004A612F">
        <w:rPr>
          <w:rFonts w:ascii="Arial Narrow" w:hAnsi="Arial Narrow" w:cstheme="minorHAnsi"/>
          <w:szCs w:val="24"/>
        </w:rPr>
        <w:t xml:space="preserve">y </w:t>
      </w:r>
    </w:p>
    <w:p w14:paraId="018B5273" w14:textId="77777777" w:rsidR="007103CD" w:rsidRPr="00373B97" w:rsidRDefault="00D61F2F" w:rsidP="00373B97">
      <w:pPr>
        <w:pStyle w:val="Prrafodelista"/>
        <w:numPr>
          <w:ilvl w:val="0"/>
          <w:numId w:val="6"/>
        </w:numPr>
        <w:ind w:left="567" w:hanging="567"/>
        <w:jc w:val="both"/>
        <w:rPr>
          <w:rFonts w:ascii="Arial Narrow" w:hAnsi="Arial Narrow" w:cstheme="minorHAnsi"/>
          <w:szCs w:val="24"/>
        </w:rPr>
      </w:pPr>
      <w:bookmarkStart w:id="6" w:name="OLE_LINK5"/>
      <w:bookmarkStart w:id="7" w:name="OLE_LINK6"/>
      <w:r w:rsidRPr="00D61F2F">
        <w:rPr>
          <w:rFonts w:ascii="Arial Narrow" w:eastAsiaTheme="minorHAnsi" w:hAnsi="Arial Narrow" w:cs="Arial"/>
          <w:szCs w:val="24"/>
          <w:lang w:val="es-SV" w:eastAsia="en-US"/>
        </w:rPr>
        <w:t xml:space="preserve">El Banco de Desarrollo de El Salvador, </w:t>
      </w:r>
      <w:bookmarkEnd w:id="6"/>
      <w:bookmarkEnd w:id="7"/>
      <w:r w:rsidRPr="00D61F2F">
        <w:rPr>
          <w:rFonts w:ascii="Arial Narrow" w:eastAsiaTheme="minorHAnsi" w:hAnsi="Arial Narrow" w:cs="Arial"/>
          <w:szCs w:val="24"/>
          <w:lang w:val="es-SV" w:eastAsia="en-US"/>
        </w:rPr>
        <w:t>en lo que no contradiga a su ley de creación ni a lo dispuesto por la Corte de Cuentas.</w:t>
      </w:r>
    </w:p>
    <w:p w14:paraId="018B5274" w14:textId="77777777" w:rsidR="008560EA" w:rsidRPr="004A612F" w:rsidRDefault="00D5687A" w:rsidP="004A612F">
      <w:pPr>
        <w:tabs>
          <w:tab w:val="left" w:pos="3645"/>
        </w:tabs>
        <w:jc w:val="both"/>
        <w:rPr>
          <w:rFonts w:ascii="Arial Narrow" w:hAnsi="Arial Narrow" w:cstheme="minorHAnsi"/>
        </w:rPr>
      </w:pPr>
      <w:r w:rsidRPr="004A612F">
        <w:rPr>
          <w:rFonts w:ascii="Arial Narrow" w:hAnsi="Arial Narrow" w:cstheme="minorHAnsi"/>
        </w:rPr>
        <w:tab/>
      </w:r>
    </w:p>
    <w:p w14:paraId="018B5275" w14:textId="77777777" w:rsidR="008560EA" w:rsidRPr="004A612F" w:rsidRDefault="008560EA" w:rsidP="008560EA">
      <w:pPr>
        <w:jc w:val="both"/>
        <w:rPr>
          <w:rFonts w:ascii="Arial Narrow" w:hAnsi="Arial Narrow" w:cstheme="minorHAnsi"/>
          <w:b/>
          <w:bCs/>
        </w:rPr>
      </w:pPr>
      <w:r w:rsidRPr="004A612F">
        <w:rPr>
          <w:rFonts w:ascii="Arial Narrow" w:hAnsi="Arial Narrow" w:cstheme="minorHAnsi"/>
          <w:b/>
          <w:bCs/>
        </w:rPr>
        <w:t>Términos</w:t>
      </w:r>
    </w:p>
    <w:p w14:paraId="018B5276" w14:textId="77777777" w:rsidR="008560EA" w:rsidRPr="004A612F" w:rsidRDefault="008560EA" w:rsidP="00D5687A">
      <w:pPr>
        <w:spacing w:after="120"/>
        <w:jc w:val="both"/>
        <w:rPr>
          <w:rFonts w:ascii="Arial Narrow" w:hAnsi="Arial Narrow" w:cstheme="minorHAnsi"/>
          <w:lang w:val="es-GT"/>
        </w:rPr>
      </w:pPr>
      <w:r w:rsidRPr="004A612F">
        <w:rPr>
          <w:rFonts w:ascii="Arial Narrow" w:hAnsi="Arial Narrow" w:cstheme="minorHAnsi"/>
          <w:b/>
          <w:bCs/>
        </w:rPr>
        <w:t>Art. 3.-</w:t>
      </w:r>
      <w:r w:rsidRPr="004A612F">
        <w:rPr>
          <w:rFonts w:ascii="Arial Narrow" w:hAnsi="Arial Narrow" w:cstheme="minorHAnsi"/>
        </w:rPr>
        <w:t xml:space="preserve"> </w:t>
      </w:r>
      <w:r w:rsidR="00D5687A" w:rsidRPr="004A612F">
        <w:rPr>
          <w:rFonts w:ascii="Arial Narrow" w:hAnsi="Arial Narrow" w:cstheme="minorHAnsi"/>
        </w:rPr>
        <w:t>Para efectos de esta</w:t>
      </w:r>
      <w:r w:rsidR="00F25894">
        <w:rPr>
          <w:rFonts w:ascii="Arial Narrow" w:hAnsi="Arial Narrow" w:cstheme="minorHAnsi"/>
        </w:rPr>
        <w:t>s</w:t>
      </w:r>
      <w:r w:rsidR="00D5687A" w:rsidRPr="004A612F">
        <w:rPr>
          <w:rFonts w:ascii="Arial Narrow" w:hAnsi="Arial Narrow" w:cstheme="minorHAnsi"/>
        </w:rPr>
        <w:t xml:space="preserve"> </w:t>
      </w:r>
      <w:r w:rsidR="00F25894">
        <w:rPr>
          <w:rFonts w:ascii="Arial Narrow" w:hAnsi="Arial Narrow" w:cstheme="minorHAnsi"/>
        </w:rPr>
        <w:t>N</w:t>
      </w:r>
      <w:r w:rsidR="00D5687A" w:rsidRPr="004A612F">
        <w:rPr>
          <w:rFonts w:ascii="Arial Narrow" w:hAnsi="Arial Narrow" w:cstheme="minorHAnsi"/>
        </w:rPr>
        <w:t>orma</w:t>
      </w:r>
      <w:r w:rsidR="00F25894">
        <w:rPr>
          <w:rFonts w:ascii="Arial Narrow" w:hAnsi="Arial Narrow" w:cstheme="minorHAnsi"/>
        </w:rPr>
        <w:t>s</w:t>
      </w:r>
      <w:r w:rsidR="00D5687A" w:rsidRPr="004A612F">
        <w:rPr>
          <w:rFonts w:ascii="Arial Narrow" w:hAnsi="Arial Narrow" w:cstheme="minorHAnsi"/>
        </w:rPr>
        <w:t>, los términos que se indican a continuación tienen el significado siguiente:</w:t>
      </w:r>
    </w:p>
    <w:p w14:paraId="018B5277" w14:textId="77777777" w:rsidR="008560EA" w:rsidRPr="004A612F" w:rsidRDefault="008560EA" w:rsidP="00AA09D7">
      <w:pPr>
        <w:pStyle w:val="Prrafodelista"/>
        <w:numPr>
          <w:ilvl w:val="0"/>
          <w:numId w:val="10"/>
        </w:numPr>
        <w:ind w:left="567" w:hanging="567"/>
        <w:jc w:val="both"/>
        <w:rPr>
          <w:rFonts w:ascii="Arial Narrow" w:hAnsi="Arial Narrow" w:cstheme="minorHAnsi"/>
          <w:szCs w:val="24"/>
        </w:rPr>
      </w:pPr>
      <w:r w:rsidRPr="004A612F">
        <w:rPr>
          <w:rFonts w:ascii="Arial Narrow" w:hAnsi="Arial Narrow" w:cstheme="minorHAnsi"/>
          <w:b/>
          <w:szCs w:val="24"/>
        </w:rPr>
        <w:t>Crisis:</w:t>
      </w:r>
      <w:r w:rsidRPr="004A612F">
        <w:rPr>
          <w:rFonts w:ascii="Arial Narrow" w:hAnsi="Arial Narrow" w:cstheme="minorHAnsi"/>
          <w:szCs w:val="24"/>
        </w:rPr>
        <w:t xml:space="preserve"> Período o situación de dificultades o cambios bruscos</w:t>
      </w:r>
      <w:r w:rsidR="00CA2CBC">
        <w:rPr>
          <w:rFonts w:ascii="Arial Narrow" w:hAnsi="Arial Narrow" w:cstheme="minorHAnsi"/>
          <w:szCs w:val="24"/>
        </w:rPr>
        <w:t xml:space="preserve"> </w:t>
      </w:r>
      <w:r w:rsidR="00CA2CBC" w:rsidRPr="00432C36">
        <w:rPr>
          <w:rFonts w:ascii="Arial Narrow" w:hAnsi="Arial Narrow" w:cstheme="minorHAnsi"/>
          <w:szCs w:val="24"/>
        </w:rPr>
        <w:t>e inusuales</w:t>
      </w:r>
      <w:r w:rsidRPr="004A612F">
        <w:rPr>
          <w:rFonts w:ascii="Arial Narrow" w:hAnsi="Arial Narrow" w:cstheme="minorHAnsi"/>
          <w:szCs w:val="24"/>
        </w:rPr>
        <w:t xml:space="preserve">, que afecten las operaciones de </w:t>
      </w:r>
      <w:r w:rsidR="00F43442">
        <w:rPr>
          <w:rFonts w:ascii="Arial Narrow" w:hAnsi="Arial Narrow" w:cstheme="minorHAnsi"/>
          <w:szCs w:val="24"/>
        </w:rPr>
        <w:t>la entidad y el entorno en que é</w:t>
      </w:r>
      <w:r w:rsidRPr="004A612F">
        <w:rPr>
          <w:rFonts w:ascii="Arial Narrow" w:hAnsi="Arial Narrow" w:cstheme="minorHAnsi"/>
          <w:szCs w:val="24"/>
        </w:rPr>
        <w:t>sta participa;</w:t>
      </w:r>
    </w:p>
    <w:p w14:paraId="018B5278" w14:textId="77777777" w:rsidR="008560EA" w:rsidRPr="004A612F" w:rsidRDefault="008560EA" w:rsidP="00AA09D7">
      <w:pPr>
        <w:pStyle w:val="Prrafodelista"/>
        <w:numPr>
          <w:ilvl w:val="0"/>
          <w:numId w:val="10"/>
        </w:numPr>
        <w:ind w:left="567" w:hanging="567"/>
        <w:jc w:val="both"/>
        <w:rPr>
          <w:rFonts w:ascii="Arial Narrow" w:hAnsi="Arial Narrow" w:cstheme="minorHAnsi"/>
          <w:szCs w:val="24"/>
        </w:rPr>
      </w:pPr>
      <w:r w:rsidRPr="004A612F">
        <w:rPr>
          <w:rFonts w:ascii="Arial Narrow" w:hAnsi="Arial Narrow" w:cstheme="minorHAnsi"/>
          <w:b/>
          <w:szCs w:val="24"/>
        </w:rPr>
        <w:t>Entidad o entidades:</w:t>
      </w:r>
      <w:r w:rsidRPr="004A612F">
        <w:rPr>
          <w:rFonts w:ascii="Arial Narrow" w:hAnsi="Arial Narrow" w:cstheme="minorHAnsi"/>
          <w:szCs w:val="24"/>
        </w:rPr>
        <w:t xml:space="preserve"> Sujetos obligados al cumplimiento de estas Normas;</w:t>
      </w:r>
    </w:p>
    <w:p w14:paraId="018B5279" w14:textId="77777777" w:rsidR="008560EA" w:rsidRPr="004A612F" w:rsidRDefault="008560EA" w:rsidP="00AA09D7">
      <w:pPr>
        <w:pStyle w:val="Prrafodelista"/>
        <w:numPr>
          <w:ilvl w:val="0"/>
          <w:numId w:val="10"/>
        </w:numPr>
        <w:ind w:left="567" w:hanging="567"/>
        <w:jc w:val="both"/>
        <w:rPr>
          <w:rFonts w:ascii="Arial Narrow" w:hAnsi="Arial Narrow" w:cstheme="minorHAnsi"/>
          <w:szCs w:val="24"/>
        </w:rPr>
      </w:pPr>
      <w:r w:rsidRPr="004A612F">
        <w:rPr>
          <w:rFonts w:ascii="Arial Narrow" w:hAnsi="Arial Narrow" w:cstheme="minorHAnsi"/>
          <w:b/>
          <w:szCs w:val="24"/>
        </w:rPr>
        <w:t>Gestión de riesgo de liquidez:</w:t>
      </w:r>
      <w:r w:rsidRPr="004A612F">
        <w:rPr>
          <w:rFonts w:ascii="Arial Narrow" w:hAnsi="Arial Narrow" w:cstheme="minorHAnsi"/>
          <w:szCs w:val="24"/>
        </w:rPr>
        <w:t xml:space="preserve"> Es el proceso de identificar, medir, controlar, mitigar, monitorear y divulgar el riesgo de liquidez, el cual se deberá llevar a cabo conforme los objetivos, políticas, procedimientos y acciones establecidas por la entidad para este propósito;</w:t>
      </w:r>
    </w:p>
    <w:p w14:paraId="018B527A" w14:textId="77777777" w:rsidR="008560EA" w:rsidRPr="004A612F" w:rsidRDefault="008560EA" w:rsidP="00AA09D7">
      <w:pPr>
        <w:pStyle w:val="Prrafodelista"/>
        <w:numPr>
          <w:ilvl w:val="0"/>
          <w:numId w:val="10"/>
        </w:numPr>
        <w:ind w:left="567" w:hanging="567"/>
        <w:jc w:val="both"/>
        <w:rPr>
          <w:rFonts w:ascii="Arial Narrow" w:hAnsi="Arial Narrow" w:cstheme="minorHAnsi"/>
          <w:szCs w:val="24"/>
        </w:rPr>
      </w:pPr>
      <w:r w:rsidRPr="004A612F">
        <w:rPr>
          <w:rFonts w:ascii="Arial Narrow" w:hAnsi="Arial Narrow" w:cstheme="minorHAnsi"/>
          <w:b/>
          <w:szCs w:val="24"/>
        </w:rPr>
        <w:t>Liquidez:</w:t>
      </w:r>
      <w:r w:rsidRPr="004A612F">
        <w:rPr>
          <w:rFonts w:ascii="Arial Narrow" w:hAnsi="Arial Narrow" w:cstheme="minorHAnsi"/>
          <w:szCs w:val="24"/>
        </w:rPr>
        <w:t xml:space="preserve"> Es la capacidad que tiene una entidad para cumplir con todas las obligaciones de manera oportuna, a un costo razonable;</w:t>
      </w:r>
    </w:p>
    <w:p w14:paraId="018B527B" w14:textId="77777777" w:rsidR="008560EA" w:rsidRPr="004A612F" w:rsidRDefault="008560EA" w:rsidP="00AA09D7">
      <w:pPr>
        <w:pStyle w:val="Prrafodelista"/>
        <w:numPr>
          <w:ilvl w:val="0"/>
          <w:numId w:val="10"/>
        </w:numPr>
        <w:ind w:left="567" w:hanging="567"/>
        <w:jc w:val="both"/>
        <w:rPr>
          <w:rFonts w:ascii="Arial Narrow" w:hAnsi="Arial Narrow" w:cstheme="minorHAnsi"/>
          <w:szCs w:val="24"/>
        </w:rPr>
      </w:pPr>
      <w:r w:rsidRPr="004A612F">
        <w:rPr>
          <w:rFonts w:ascii="Arial Narrow" w:hAnsi="Arial Narrow" w:cstheme="minorHAnsi"/>
          <w:b/>
          <w:szCs w:val="24"/>
        </w:rPr>
        <w:t>Pruebas de tensión:</w:t>
      </w:r>
      <w:r w:rsidRPr="004A612F">
        <w:rPr>
          <w:rFonts w:ascii="Arial Narrow" w:hAnsi="Arial Narrow" w:cstheme="minorHAnsi"/>
          <w:szCs w:val="24"/>
        </w:rPr>
        <w:t xml:space="preserve"> Son escenarios utilizados para evaluar la resistencia y estabilidad de una entidad o sistema financiero a eventos extremos;</w:t>
      </w:r>
    </w:p>
    <w:p w14:paraId="018B527C" w14:textId="77777777" w:rsidR="008560EA" w:rsidRPr="004A612F" w:rsidRDefault="008560EA" w:rsidP="00AA09D7">
      <w:pPr>
        <w:pStyle w:val="Prrafodelista"/>
        <w:numPr>
          <w:ilvl w:val="0"/>
          <w:numId w:val="10"/>
        </w:numPr>
        <w:ind w:left="567" w:hanging="567"/>
        <w:jc w:val="both"/>
        <w:rPr>
          <w:rFonts w:ascii="Arial Narrow" w:hAnsi="Arial Narrow" w:cstheme="minorHAnsi"/>
          <w:szCs w:val="24"/>
        </w:rPr>
      </w:pPr>
      <w:r w:rsidRPr="004A612F">
        <w:rPr>
          <w:rFonts w:ascii="Arial Narrow" w:hAnsi="Arial Narrow" w:cstheme="minorHAnsi"/>
          <w:b/>
          <w:szCs w:val="24"/>
        </w:rPr>
        <w:t>Riesgo de liquidez:</w:t>
      </w:r>
      <w:r w:rsidRPr="004A612F">
        <w:rPr>
          <w:rFonts w:ascii="Arial Narrow" w:hAnsi="Arial Narrow" w:cstheme="minorHAnsi"/>
          <w:szCs w:val="24"/>
        </w:rPr>
        <w:t xml:space="preserve"> Es la posibilidad de incurrir en pérdidas por no disponer de los recursos suficientes para cumplir con las obligaciones asumidas, incurrir en costos excesivos y no poder desarrollar el negocio en las condiciones previstas; y</w:t>
      </w:r>
    </w:p>
    <w:p w14:paraId="018B527D" w14:textId="77777777" w:rsidR="008560EA" w:rsidRPr="004A612F" w:rsidRDefault="008560EA" w:rsidP="00AA09D7">
      <w:pPr>
        <w:pStyle w:val="Prrafodelista"/>
        <w:numPr>
          <w:ilvl w:val="0"/>
          <w:numId w:val="10"/>
        </w:numPr>
        <w:ind w:left="567" w:hanging="567"/>
        <w:jc w:val="both"/>
        <w:rPr>
          <w:rFonts w:ascii="Arial Narrow" w:hAnsi="Arial Narrow" w:cstheme="minorHAnsi"/>
          <w:szCs w:val="24"/>
        </w:rPr>
      </w:pPr>
      <w:r w:rsidRPr="004A612F">
        <w:rPr>
          <w:rFonts w:ascii="Arial Narrow" w:hAnsi="Arial Narrow" w:cstheme="minorHAnsi"/>
          <w:b/>
          <w:szCs w:val="24"/>
        </w:rPr>
        <w:t>Superintendencia:</w:t>
      </w:r>
      <w:r w:rsidRPr="004A612F">
        <w:rPr>
          <w:rFonts w:ascii="Arial Narrow" w:hAnsi="Arial Narrow" w:cstheme="minorHAnsi"/>
          <w:szCs w:val="24"/>
        </w:rPr>
        <w:t xml:space="preserve"> Superintendencia del Sistema Financiero.</w:t>
      </w:r>
    </w:p>
    <w:p w14:paraId="018B527E" w14:textId="77777777" w:rsidR="009F600E" w:rsidRPr="004A612F" w:rsidRDefault="009F600E" w:rsidP="008560EA">
      <w:pPr>
        <w:tabs>
          <w:tab w:val="left" w:pos="0"/>
        </w:tabs>
        <w:rPr>
          <w:rFonts w:ascii="Arial Narrow" w:hAnsi="Arial Narrow" w:cstheme="minorHAnsi"/>
          <w:lang w:val="es-ES_tradnl"/>
        </w:rPr>
      </w:pPr>
    </w:p>
    <w:p w14:paraId="018B527F" w14:textId="77777777" w:rsidR="008560EA" w:rsidRPr="004A612F" w:rsidRDefault="008560EA" w:rsidP="008560EA">
      <w:pPr>
        <w:jc w:val="center"/>
        <w:rPr>
          <w:rFonts w:ascii="Arial Narrow" w:hAnsi="Arial Narrow" w:cstheme="minorHAnsi"/>
          <w:b/>
          <w:lang w:val="es-ES_tradnl"/>
        </w:rPr>
      </w:pPr>
      <w:r w:rsidRPr="004A612F">
        <w:rPr>
          <w:rFonts w:ascii="Arial Narrow" w:hAnsi="Arial Narrow" w:cstheme="minorHAnsi"/>
          <w:b/>
          <w:lang w:val="es-ES_tradnl"/>
        </w:rPr>
        <w:t>CAPÍTULO II</w:t>
      </w:r>
    </w:p>
    <w:p w14:paraId="018B5280" w14:textId="77777777" w:rsidR="008560EA" w:rsidRPr="004A612F" w:rsidRDefault="008560EA" w:rsidP="008560EA">
      <w:pPr>
        <w:jc w:val="center"/>
        <w:rPr>
          <w:rFonts w:ascii="Arial Narrow" w:hAnsi="Arial Narrow" w:cstheme="minorHAnsi"/>
          <w:b/>
          <w:lang w:val="es-ES_tradnl"/>
        </w:rPr>
      </w:pPr>
      <w:r w:rsidRPr="004A612F">
        <w:rPr>
          <w:rFonts w:ascii="Arial Narrow" w:hAnsi="Arial Narrow" w:cstheme="minorHAnsi"/>
          <w:b/>
          <w:lang w:val="es-ES_tradnl"/>
        </w:rPr>
        <w:t>ENTORNO PARA LA GESTIÓN DEL RIESGO DE LIQUIDEZ</w:t>
      </w:r>
    </w:p>
    <w:p w14:paraId="018B5281" w14:textId="77777777" w:rsidR="008560EA" w:rsidRPr="004A612F" w:rsidRDefault="008560EA" w:rsidP="008560EA">
      <w:pPr>
        <w:jc w:val="both"/>
        <w:rPr>
          <w:rFonts w:ascii="Arial Narrow" w:hAnsi="Arial Narrow" w:cstheme="minorHAnsi"/>
          <w:lang w:val="es-ES_tradnl"/>
        </w:rPr>
      </w:pPr>
    </w:p>
    <w:p w14:paraId="0D195B0C" w14:textId="77777777" w:rsidR="00C42BA1" w:rsidRDefault="008560EA" w:rsidP="00C42BA1">
      <w:pPr>
        <w:widowControl w:val="0"/>
        <w:jc w:val="both"/>
        <w:rPr>
          <w:rFonts w:ascii="Arial Narrow" w:hAnsi="Arial Narrow" w:cstheme="minorHAnsi"/>
          <w:b/>
        </w:rPr>
      </w:pPr>
      <w:r w:rsidRPr="004A612F">
        <w:rPr>
          <w:rFonts w:ascii="Arial Narrow" w:hAnsi="Arial Narrow" w:cstheme="minorHAnsi"/>
          <w:b/>
        </w:rPr>
        <w:t>Sistema de organización</w:t>
      </w:r>
    </w:p>
    <w:p w14:paraId="018B5283" w14:textId="20C690DC" w:rsidR="00D10350" w:rsidRPr="00A21435" w:rsidRDefault="008560EA" w:rsidP="00C42BA1">
      <w:pPr>
        <w:widowControl w:val="0"/>
        <w:jc w:val="both"/>
        <w:rPr>
          <w:rFonts w:ascii="Arial Narrow" w:hAnsi="Arial Narrow" w:cstheme="minorHAnsi"/>
          <w:lang w:val="es-ES_tradnl"/>
        </w:rPr>
      </w:pPr>
      <w:r w:rsidRPr="004A612F">
        <w:rPr>
          <w:rFonts w:ascii="Arial Narrow" w:hAnsi="Arial Narrow" w:cstheme="minorHAnsi"/>
          <w:b/>
        </w:rPr>
        <w:t>Art. 4.-</w:t>
      </w:r>
      <w:r w:rsidRPr="004A612F">
        <w:rPr>
          <w:rFonts w:ascii="Arial Narrow" w:hAnsi="Arial Narrow" w:cstheme="minorHAnsi"/>
        </w:rPr>
        <w:t xml:space="preserve"> </w:t>
      </w:r>
      <w:r w:rsidRPr="004A612F">
        <w:rPr>
          <w:rFonts w:ascii="Arial Narrow" w:hAnsi="Arial Narrow" w:cstheme="minorHAnsi"/>
          <w:lang w:val="es-ES_tradnl"/>
        </w:rPr>
        <w:t xml:space="preserve">Las entidades deben establecer una estructura organizacional </w:t>
      </w:r>
      <w:r w:rsidRPr="00723E7A">
        <w:rPr>
          <w:rFonts w:ascii="Arial Narrow" w:hAnsi="Arial Narrow" w:cstheme="minorHAnsi"/>
          <w:lang w:val="es-ES_tradnl"/>
        </w:rPr>
        <w:t>o funcional</w:t>
      </w:r>
      <w:r w:rsidR="00723E7A" w:rsidRPr="00723E7A">
        <w:rPr>
          <w:rFonts w:ascii="Arial Narrow" w:hAnsi="Arial Narrow" w:cstheme="minorHAnsi"/>
          <w:lang w:val="es-ES_tradnl"/>
        </w:rPr>
        <w:t xml:space="preserve"> </w:t>
      </w:r>
      <w:r w:rsidRPr="00723E7A">
        <w:rPr>
          <w:rFonts w:ascii="Arial Narrow" w:hAnsi="Arial Narrow" w:cstheme="minorHAnsi"/>
          <w:lang w:val="es-ES_tradnl"/>
        </w:rPr>
        <w:t>a</w:t>
      </w:r>
      <w:r w:rsidRPr="004A612F">
        <w:rPr>
          <w:rFonts w:ascii="Arial Narrow" w:hAnsi="Arial Narrow" w:cstheme="minorHAnsi"/>
          <w:lang w:val="es-ES_tradnl"/>
        </w:rPr>
        <w:t>decuada a su modelo de negocios y apropiadamente segregada, que delimite claramente funciones y responsabilidades, así como los niveles de dependencia e interrelación que corresponden a cada una de las áreas involucradas en la gestión del riesgo de liqui</w:t>
      </w:r>
      <w:r w:rsidR="00620393">
        <w:rPr>
          <w:rFonts w:ascii="Arial Narrow" w:hAnsi="Arial Narrow" w:cstheme="minorHAnsi"/>
          <w:lang w:val="es-ES_tradnl"/>
        </w:rPr>
        <w:t>dez</w:t>
      </w:r>
      <w:r w:rsidR="00141949">
        <w:rPr>
          <w:rFonts w:ascii="Arial Narrow" w:hAnsi="Arial Narrow" w:cstheme="minorHAnsi"/>
          <w:lang w:val="es-ES_tradnl"/>
        </w:rPr>
        <w:t>,</w:t>
      </w:r>
      <w:r w:rsidR="00D10350" w:rsidRPr="00A21435">
        <w:rPr>
          <w:rFonts w:ascii="Arial Narrow" w:hAnsi="Arial Narrow" w:cstheme="minorHAnsi"/>
          <w:lang w:val="es-ES_tradnl"/>
        </w:rPr>
        <w:t xml:space="preserve"> de conformidad con el perfil de riesgo, el tamaño y la naturaleza de sus operaciones.</w:t>
      </w:r>
    </w:p>
    <w:p w14:paraId="018B5284" w14:textId="77777777" w:rsidR="008560EA" w:rsidRPr="004A612F" w:rsidRDefault="008560EA" w:rsidP="008560EA">
      <w:pPr>
        <w:jc w:val="both"/>
        <w:rPr>
          <w:rFonts w:ascii="Arial Narrow" w:hAnsi="Arial Narrow" w:cstheme="minorHAnsi"/>
          <w:lang w:val="es-ES_tradnl"/>
        </w:rPr>
      </w:pPr>
    </w:p>
    <w:p w14:paraId="018B5285" w14:textId="77777777" w:rsidR="008560EA" w:rsidRPr="004A612F" w:rsidRDefault="008560EA" w:rsidP="008560EA">
      <w:pPr>
        <w:pStyle w:val="Textoindependiente"/>
        <w:rPr>
          <w:rFonts w:ascii="Arial Narrow" w:hAnsi="Arial Narrow" w:cstheme="minorHAnsi"/>
          <w:b/>
          <w:szCs w:val="24"/>
        </w:rPr>
      </w:pPr>
      <w:r w:rsidRPr="004A612F">
        <w:rPr>
          <w:rFonts w:ascii="Arial Narrow" w:hAnsi="Arial Narrow" w:cstheme="minorHAnsi"/>
          <w:b/>
          <w:szCs w:val="24"/>
        </w:rPr>
        <w:t xml:space="preserve">Funciones de la Junta Directiva </w:t>
      </w:r>
    </w:p>
    <w:p w14:paraId="018B5286" w14:textId="77777777" w:rsidR="008560EA" w:rsidRPr="004A612F" w:rsidRDefault="008560EA" w:rsidP="008560EA">
      <w:pPr>
        <w:pStyle w:val="Textoindependiente"/>
        <w:spacing w:after="120"/>
        <w:rPr>
          <w:rFonts w:ascii="Arial Narrow" w:hAnsi="Arial Narrow" w:cstheme="minorHAnsi"/>
          <w:szCs w:val="24"/>
        </w:rPr>
      </w:pPr>
      <w:r w:rsidRPr="004A612F">
        <w:rPr>
          <w:rFonts w:ascii="Arial Narrow" w:hAnsi="Arial Narrow" w:cstheme="minorHAnsi"/>
          <w:b/>
          <w:szCs w:val="24"/>
        </w:rPr>
        <w:t xml:space="preserve">Art. 5.- </w:t>
      </w:r>
      <w:r w:rsidRPr="004A612F">
        <w:rPr>
          <w:rFonts w:ascii="Arial Narrow" w:hAnsi="Arial Narrow" w:cstheme="minorHAnsi"/>
          <w:szCs w:val="24"/>
        </w:rPr>
        <w:t xml:space="preserve">La Junta Directiva es la responsable de </w:t>
      </w:r>
      <w:r w:rsidRPr="004A612F">
        <w:rPr>
          <w:rFonts w:ascii="Arial Narrow" w:hAnsi="Arial Narrow" w:cstheme="minorHAnsi"/>
          <w:szCs w:val="24"/>
          <w:lang w:val="es-MX"/>
        </w:rPr>
        <w:t>velar por una adecuada gestión del</w:t>
      </w:r>
      <w:r w:rsidRPr="004A612F">
        <w:rPr>
          <w:rFonts w:ascii="Arial Narrow" w:hAnsi="Arial Narrow" w:cstheme="minorHAnsi"/>
          <w:szCs w:val="24"/>
        </w:rPr>
        <w:t xml:space="preserve"> riesgo de liquidez, por lo que tendrá como mínimo las responsabilidades siguientes:</w:t>
      </w:r>
    </w:p>
    <w:p w14:paraId="018B5287" w14:textId="77777777" w:rsidR="008560EA" w:rsidRPr="004A612F" w:rsidRDefault="008560EA" w:rsidP="00AA09D7">
      <w:pPr>
        <w:numPr>
          <w:ilvl w:val="0"/>
          <w:numId w:val="4"/>
        </w:numPr>
        <w:ind w:left="567" w:hanging="567"/>
        <w:jc w:val="both"/>
        <w:rPr>
          <w:rFonts w:ascii="Arial Narrow" w:hAnsi="Arial Narrow" w:cstheme="minorHAnsi"/>
          <w:lang w:val="es-ES_tradnl"/>
        </w:rPr>
      </w:pPr>
      <w:r w:rsidRPr="004A612F">
        <w:rPr>
          <w:rFonts w:ascii="Arial Narrow" w:hAnsi="Arial Narrow" w:cstheme="minorHAnsi"/>
          <w:lang w:val="es-ES_tradnl"/>
        </w:rPr>
        <w:t>Aprobar niveles mínimos de liquidez en función a los objetivos y estrategia del negocio, volumen de sus operaciones, naturaleza, tamaño y perfil de riesgo asumido;</w:t>
      </w:r>
    </w:p>
    <w:p w14:paraId="018B5288" w14:textId="77777777" w:rsidR="008560EA" w:rsidRPr="004A612F" w:rsidRDefault="008560EA" w:rsidP="00AA09D7">
      <w:pPr>
        <w:numPr>
          <w:ilvl w:val="0"/>
          <w:numId w:val="4"/>
        </w:numPr>
        <w:ind w:left="567" w:hanging="567"/>
        <w:jc w:val="both"/>
        <w:rPr>
          <w:rFonts w:ascii="Arial Narrow" w:hAnsi="Arial Narrow" w:cstheme="minorHAnsi"/>
          <w:lang w:val="es-ES_tradnl"/>
        </w:rPr>
      </w:pPr>
      <w:r w:rsidRPr="004A612F">
        <w:rPr>
          <w:rFonts w:ascii="Arial Narrow" w:hAnsi="Arial Narrow" w:cstheme="minorHAnsi"/>
          <w:lang w:val="es-ES_tradnl"/>
        </w:rPr>
        <w:t>Aprobar la política, la estrategia, el manual</w:t>
      </w:r>
      <w:r w:rsidR="00A21435">
        <w:rPr>
          <w:rFonts w:ascii="Arial Narrow" w:hAnsi="Arial Narrow" w:cstheme="minorHAnsi"/>
          <w:lang w:val="es-ES_tradnl"/>
        </w:rPr>
        <w:t xml:space="preserve"> </w:t>
      </w:r>
      <w:r w:rsidRPr="004A612F">
        <w:rPr>
          <w:rFonts w:ascii="Arial Narrow" w:hAnsi="Arial Narrow" w:cstheme="minorHAnsi"/>
          <w:lang w:val="es-ES_tradnl"/>
        </w:rPr>
        <w:t>y herramientas de monitoreo para la gestión del riesgo de liquidez,</w:t>
      </w:r>
      <w:r w:rsidR="00AA09D7">
        <w:rPr>
          <w:rFonts w:ascii="Arial Narrow" w:hAnsi="Arial Narrow" w:cstheme="minorHAnsi"/>
          <w:lang w:val="es-ES_tradnl"/>
        </w:rPr>
        <w:t xml:space="preserve"> </w:t>
      </w:r>
      <w:r w:rsidR="008422FE">
        <w:rPr>
          <w:rFonts w:ascii="Arial Narrow" w:hAnsi="Arial Narrow" w:cstheme="minorHAnsi"/>
          <w:lang w:val="es-ES_tradnl"/>
        </w:rPr>
        <w:t xml:space="preserve">los </w:t>
      </w:r>
      <w:r w:rsidR="00AA09D7" w:rsidRPr="00A21435">
        <w:rPr>
          <w:rFonts w:ascii="Arial Narrow" w:hAnsi="Arial Narrow" w:cstheme="minorHAnsi"/>
          <w:lang w:val="es-ES_tradnl"/>
        </w:rPr>
        <w:t>escenario</w:t>
      </w:r>
      <w:r w:rsidR="00A21435">
        <w:rPr>
          <w:rFonts w:ascii="Arial Narrow" w:hAnsi="Arial Narrow" w:cstheme="minorHAnsi"/>
          <w:lang w:val="es-ES_tradnl"/>
        </w:rPr>
        <w:t xml:space="preserve">s </w:t>
      </w:r>
      <w:r w:rsidR="00AA09D7" w:rsidRPr="00A21435">
        <w:rPr>
          <w:rFonts w:ascii="Arial Narrow" w:hAnsi="Arial Narrow" w:cstheme="minorHAnsi"/>
          <w:lang w:val="es-ES_tradnl"/>
        </w:rPr>
        <w:t>y modificaciones de las pruebas de tensión</w:t>
      </w:r>
      <w:r w:rsidR="00A21435">
        <w:rPr>
          <w:rFonts w:ascii="Arial Narrow" w:hAnsi="Arial Narrow" w:cstheme="minorHAnsi"/>
          <w:lang w:val="es-ES_tradnl"/>
        </w:rPr>
        <w:t xml:space="preserve">, </w:t>
      </w:r>
      <w:r w:rsidRPr="004A612F">
        <w:rPr>
          <w:rFonts w:ascii="Arial Narrow" w:hAnsi="Arial Narrow" w:cstheme="minorHAnsi"/>
          <w:lang w:val="es-ES_tradnl"/>
        </w:rPr>
        <w:t>planes de contingencias</w:t>
      </w:r>
      <w:r w:rsidR="00AA09D7">
        <w:rPr>
          <w:rFonts w:ascii="Arial Narrow" w:hAnsi="Arial Narrow" w:cstheme="minorHAnsi"/>
          <w:lang w:val="es-ES_tradnl"/>
        </w:rPr>
        <w:t>,</w:t>
      </w:r>
      <w:r w:rsidR="002808BA">
        <w:rPr>
          <w:rFonts w:ascii="Arial Narrow" w:hAnsi="Arial Narrow" w:cstheme="minorHAnsi"/>
          <w:lang w:val="es-ES_tradnl"/>
        </w:rPr>
        <w:t xml:space="preserve"> </w:t>
      </w:r>
      <w:r w:rsidRPr="004A612F">
        <w:rPr>
          <w:rFonts w:ascii="Arial Narrow" w:hAnsi="Arial Narrow" w:cstheme="minorHAnsi"/>
          <w:lang w:val="es-ES_tradnl"/>
        </w:rPr>
        <w:t>y velar por que los niveles de liquidez establecidos sean suficientes en relación a las obligaciones asumidas;</w:t>
      </w:r>
    </w:p>
    <w:p w14:paraId="018B5289" w14:textId="77777777" w:rsidR="008560EA" w:rsidRPr="004A612F" w:rsidRDefault="008560EA" w:rsidP="00AA09D7">
      <w:pPr>
        <w:numPr>
          <w:ilvl w:val="0"/>
          <w:numId w:val="4"/>
        </w:numPr>
        <w:ind w:left="567" w:hanging="567"/>
        <w:jc w:val="both"/>
        <w:rPr>
          <w:rFonts w:ascii="Arial Narrow" w:hAnsi="Arial Narrow" w:cstheme="minorHAnsi"/>
          <w:lang w:val="es-ES_tradnl"/>
        </w:rPr>
      </w:pPr>
      <w:r w:rsidRPr="004A612F">
        <w:rPr>
          <w:rFonts w:ascii="Arial Narrow" w:hAnsi="Arial Narrow" w:cstheme="minorHAnsi"/>
          <w:lang w:val="es-ES_tradnl"/>
        </w:rPr>
        <w:t>Aprobar los recursos necesarios para implementar y mantener en funcionamiento la gestión del riesgo de liquidez en forma efectiva y eficiente; y</w:t>
      </w:r>
    </w:p>
    <w:p w14:paraId="018B528A" w14:textId="77777777" w:rsidR="008560EA" w:rsidRPr="004A612F" w:rsidRDefault="008560EA" w:rsidP="00AA09D7">
      <w:pPr>
        <w:numPr>
          <w:ilvl w:val="0"/>
          <w:numId w:val="4"/>
        </w:numPr>
        <w:ind w:left="567" w:hanging="567"/>
        <w:jc w:val="both"/>
        <w:rPr>
          <w:rFonts w:ascii="Arial Narrow" w:hAnsi="Arial Narrow" w:cstheme="minorHAnsi"/>
          <w:lang w:val="es-ES_tradnl"/>
        </w:rPr>
      </w:pPr>
      <w:r w:rsidRPr="004A612F">
        <w:rPr>
          <w:rFonts w:ascii="Arial Narrow" w:hAnsi="Arial Narrow" w:cstheme="minorHAnsi"/>
          <w:lang w:val="es-ES_tradnl"/>
        </w:rPr>
        <w:t>Asegurar que la unidad de auditoría interna verifique el cumplimiento del proceso de la gestión del riesgo de liquidez.</w:t>
      </w:r>
    </w:p>
    <w:p w14:paraId="018B528B" w14:textId="77777777" w:rsidR="00AA09D7" w:rsidRDefault="00AA09D7" w:rsidP="008560EA">
      <w:pPr>
        <w:autoSpaceDE w:val="0"/>
        <w:autoSpaceDN w:val="0"/>
        <w:adjustRightInd w:val="0"/>
        <w:jc w:val="both"/>
        <w:rPr>
          <w:rFonts w:ascii="Arial Narrow" w:hAnsi="Arial Narrow" w:cstheme="minorHAnsi"/>
          <w:b/>
        </w:rPr>
      </w:pPr>
    </w:p>
    <w:p w14:paraId="018B528C" w14:textId="77777777" w:rsidR="008560EA" w:rsidRPr="004A612F" w:rsidRDefault="008560EA" w:rsidP="008560EA">
      <w:pPr>
        <w:autoSpaceDE w:val="0"/>
        <w:autoSpaceDN w:val="0"/>
        <w:adjustRightInd w:val="0"/>
        <w:jc w:val="both"/>
        <w:rPr>
          <w:rFonts w:ascii="Arial Narrow" w:hAnsi="Arial Narrow" w:cstheme="minorHAnsi"/>
          <w:b/>
        </w:rPr>
      </w:pPr>
      <w:r w:rsidRPr="004A612F">
        <w:rPr>
          <w:rFonts w:ascii="Arial Narrow" w:hAnsi="Arial Narrow" w:cstheme="minorHAnsi"/>
          <w:b/>
        </w:rPr>
        <w:t>Funciones del Comité de Riesgos</w:t>
      </w:r>
    </w:p>
    <w:p w14:paraId="018B528D" w14:textId="77777777" w:rsidR="008560EA" w:rsidRPr="004A612F" w:rsidRDefault="008560EA" w:rsidP="008560EA">
      <w:pPr>
        <w:autoSpaceDE w:val="0"/>
        <w:autoSpaceDN w:val="0"/>
        <w:adjustRightInd w:val="0"/>
        <w:spacing w:after="120"/>
        <w:jc w:val="both"/>
        <w:rPr>
          <w:rFonts w:ascii="Arial Narrow" w:hAnsi="Arial Narrow" w:cstheme="minorHAnsi"/>
          <w:color w:val="0066FF"/>
        </w:rPr>
      </w:pPr>
      <w:r w:rsidRPr="004A612F">
        <w:rPr>
          <w:rFonts w:ascii="Arial Narrow" w:hAnsi="Arial Narrow" w:cstheme="minorHAnsi"/>
          <w:b/>
        </w:rPr>
        <w:t xml:space="preserve">Art. 6.- </w:t>
      </w:r>
      <w:r w:rsidRPr="004A612F">
        <w:rPr>
          <w:rFonts w:ascii="Arial Narrow" w:hAnsi="Arial Narrow" w:cstheme="minorHAnsi"/>
        </w:rPr>
        <w:t xml:space="preserve">El Comité de Riesgos, debe realizar las funciones siguientes: </w:t>
      </w:r>
    </w:p>
    <w:p w14:paraId="018B528E" w14:textId="77777777" w:rsidR="008560EA" w:rsidRDefault="008560EA" w:rsidP="00AA09D7">
      <w:pPr>
        <w:pStyle w:val="Prrafodelista"/>
        <w:numPr>
          <w:ilvl w:val="0"/>
          <w:numId w:val="1"/>
        </w:numPr>
        <w:tabs>
          <w:tab w:val="clear" w:pos="1854"/>
          <w:tab w:val="num" w:pos="567"/>
        </w:tabs>
        <w:autoSpaceDE w:val="0"/>
        <w:autoSpaceDN w:val="0"/>
        <w:adjustRightInd w:val="0"/>
        <w:ind w:left="567" w:hanging="567"/>
        <w:jc w:val="both"/>
        <w:rPr>
          <w:rFonts w:ascii="Arial Narrow" w:hAnsi="Arial Narrow" w:cstheme="minorHAnsi"/>
          <w:szCs w:val="24"/>
        </w:rPr>
      </w:pPr>
      <w:r w:rsidRPr="004A612F">
        <w:rPr>
          <w:rFonts w:ascii="Arial Narrow" w:hAnsi="Arial Narrow" w:cstheme="minorHAnsi"/>
          <w:szCs w:val="24"/>
        </w:rPr>
        <w:t>Evaluar, revisar y proponer para aprobación de la Junta Directiva la política, la estrategia, el manual, herramientas, parámetros y escenarios con los supuestos o premisas base que se utilizarán para la medición y control del riesgo de liquidez, el plan de contingencia y el sistema de información para la gestión del riesgo de liquidez;</w:t>
      </w:r>
    </w:p>
    <w:p w14:paraId="018B528F" w14:textId="77777777" w:rsidR="00F93DD0" w:rsidRPr="004A612F" w:rsidRDefault="00F93DD0" w:rsidP="00AA09D7">
      <w:pPr>
        <w:pStyle w:val="Prrafodelista"/>
        <w:numPr>
          <w:ilvl w:val="0"/>
          <w:numId w:val="1"/>
        </w:numPr>
        <w:tabs>
          <w:tab w:val="clear" w:pos="1854"/>
          <w:tab w:val="num" w:pos="567"/>
        </w:tabs>
        <w:autoSpaceDE w:val="0"/>
        <w:autoSpaceDN w:val="0"/>
        <w:adjustRightInd w:val="0"/>
        <w:ind w:left="567" w:hanging="567"/>
        <w:jc w:val="both"/>
        <w:rPr>
          <w:rFonts w:ascii="Arial Narrow" w:hAnsi="Arial Narrow" w:cstheme="minorHAnsi"/>
          <w:szCs w:val="24"/>
        </w:rPr>
      </w:pPr>
      <w:r w:rsidRPr="00E562B9">
        <w:rPr>
          <w:rFonts w:ascii="Arial Narrow" w:hAnsi="Arial Narrow" w:cstheme="minorHAnsi"/>
          <w:szCs w:val="24"/>
        </w:rPr>
        <w:t>Aprobar la meto</w:t>
      </w:r>
      <w:r w:rsidR="00CD6A43" w:rsidRPr="00E562B9">
        <w:rPr>
          <w:rFonts w:ascii="Arial Narrow" w:hAnsi="Arial Narrow" w:cstheme="minorHAnsi"/>
          <w:szCs w:val="24"/>
        </w:rPr>
        <w:t>do</w:t>
      </w:r>
      <w:r w:rsidRPr="00E562B9">
        <w:rPr>
          <w:rFonts w:ascii="Arial Narrow" w:hAnsi="Arial Narrow" w:cstheme="minorHAnsi"/>
          <w:szCs w:val="24"/>
        </w:rPr>
        <w:t>logía</w:t>
      </w:r>
      <w:r w:rsidR="00D903A0" w:rsidRPr="00E562B9">
        <w:rPr>
          <w:rFonts w:ascii="Arial Narrow" w:hAnsi="Arial Narrow" w:cstheme="minorHAnsi"/>
          <w:szCs w:val="24"/>
        </w:rPr>
        <w:t xml:space="preserve"> </w:t>
      </w:r>
      <w:r w:rsidRPr="00E562B9">
        <w:rPr>
          <w:rFonts w:ascii="Arial Narrow" w:hAnsi="Arial Narrow" w:cstheme="minorHAnsi"/>
          <w:szCs w:val="24"/>
        </w:rPr>
        <w:t xml:space="preserve">de la gestión del riesgo </w:t>
      </w:r>
      <w:r w:rsidR="00D903A0" w:rsidRPr="00E562B9">
        <w:rPr>
          <w:rFonts w:ascii="Arial Narrow" w:hAnsi="Arial Narrow" w:cstheme="minorHAnsi"/>
          <w:szCs w:val="24"/>
        </w:rPr>
        <w:t>y hacerlo del conocimiento de la Junta Directiva</w:t>
      </w:r>
      <w:r w:rsidR="002349FF" w:rsidRPr="00E562B9">
        <w:rPr>
          <w:rFonts w:ascii="Arial Narrow" w:hAnsi="Arial Narrow" w:cstheme="minorHAnsi"/>
          <w:szCs w:val="24"/>
        </w:rPr>
        <w:t xml:space="preserve">; </w:t>
      </w:r>
    </w:p>
    <w:p w14:paraId="018B5290" w14:textId="77777777" w:rsidR="008560EA" w:rsidRPr="004A612F" w:rsidRDefault="008560EA" w:rsidP="00AA09D7">
      <w:pPr>
        <w:pStyle w:val="Prrafodelista"/>
        <w:numPr>
          <w:ilvl w:val="0"/>
          <w:numId w:val="1"/>
        </w:numPr>
        <w:tabs>
          <w:tab w:val="clear" w:pos="1854"/>
          <w:tab w:val="num" w:pos="567"/>
        </w:tabs>
        <w:autoSpaceDE w:val="0"/>
        <w:autoSpaceDN w:val="0"/>
        <w:adjustRightInd w:val="0"/>
        <w:ind w:left="567" w:hanging="567"/>
        <w:jc w:val="both"/>
        <w:rPr>
          <w:rFonts w:ascii="Arial Narrow" w:hAnsi="Arial Narrow" w:cstheme="minorHAnsi"/>
          <w:szCs w:val="24"/>
        </w:rPr>
      </w:pPr>
      <w:r w:rsidRPr="004A612F">
        <w:rPr>
          <w:rFonts w:ascii="Arial Narrow" w:hAnsi="Arial Narrow" w:cstheme="minorHAnsi"/>
          <w:szCs w:val="24"/>
        </w:rPr>
        <w:t>Reportar a la Junta Directiva al menos trimestralmente sobre la exposición al riesgo de liquidez de la entidad, los cambios sustanciales de tal exposición, su evolución en el tiempo, las principales medidas correctivas adoptadas, el cumplimiento de límites, los resultados de las pruebas de tensión y de cualquier otro aspecto relacionado con las políticas y procedimientos aprobados;</w:t>
      </w:r>
    </w:p>
    <w:p w14:paraId="018B5291" w14:textId="77777777" w:rsidR="008560EA" w:rsidRPr="004A612F" w:rsidRDefault="00D034A9" w:rsidP="00AA09D7">
      <w:pPr>
        <w:pStyle w:val="Prrafodelista"/>
        <w:numPr>
          <w:ilvl w:val="0"/>
          <w:numId w:val="1"/>
        </w:numPr>
        <w:tabs>
          <w:tab w:val="clear" w:pos="1854"/>
          <w:tab w:val="num" w:pos="567"/>
        </w:tabs>
        <w:autoSpaceDE w:val="0"/>
        <w:autoSpaceDN w:val="0"/>
        <w:adjustRightInd w:val="0"/>
        <w:ind w:left="567" w:hanging="567"/>
        <w:jc w:val="both"/>
        <w:rPr>
          <w:rFonts w:ascii="Arial Narrow" w:hAnsi="Arial Narrow" w:cstheme="minorHAnsi"/>
          <w:szCs w:val="24"/>
        </w:rPr>
      </w:pPr>
      <w:r w:rsidRPr="00E562B9">
        <w:rPr>
          <w:rFonts w:ascii="Arial Narrow" w:hAnsi="Arial Narrow" w:cstheme="minorHAnsi"/>
          <w:szCs w:val="24"/>
        </w:rPr>
        <w:t xml:space="preserve">Velar </w:t>
      </w:r>
      <w:r w:rsidR="002909C7">
        <w:rPr>
          <w:rFonts w:ascii="Arial Narrow" w:hAnsi="Arial Narrow" w:cstheme="minorHAnsi"/>
          <w:szCs w:val="24"/>
        </w:rPr>
        <w:t xml:space="preserve">por </w:t>
      </w:r>
      <w:r w:rsidR="008560EA" w:rsidRPr="004A612F">
        <w:rPr>
          <w:rFonts w:ascii="Arial Narrow" w:hAnsi="Arial Narrow" w:cstheme="minorHAnsi"/>
          <w:szCs w:val="24"/>
        </w:rPr>
        <w:t>que la gestión del riesgo de liquidez sea efectiva y que los eventos de riesgos sean consistentemente identificados, medidos, mitigados y monitoreados; y</w:t>
      </w:r>
    </w:p>
    <w:p w14:paraId="018B5292" w14:textId="77777777" w:rsidR="008560EA" w:rsidRPr="004A612F" w:rsidRDefault="00D034A9" w:rsidP="00AA09D7">
      <w:pPr>
        <w:pStyle w:val="Prrafodelista"/>
        <w:numPr>
          <w:ilvl w:val="0"/>
          <w:numId w:val="1"/>
        </w:numPr>
        <w:tabs>
          <w:tab w:val="clear" w:pos="1854"/>
          <w:tab w:val="num" w:pos="567"/>
        </w:tabs>
        <w:autoSpaceDE w:val="0"/>
        <w:autoSpaceDN w:val="0"/>
        <w:adjustRightInd w:val="0"/>
        <w:ind w:left="567" w:hanging="567"/>
        <w:jc w:val="both"/>
        <w:rPr>
          <w:rFonts w:ascii="Arial Narrow" w:hAnsi="Arial Narrow" w:cstheme="minorHAnsi"/>
          <w:szCs w:val="24"/>
        </w:rPr>
      </w:pPr>
      <w:r w:rsidRPr="00E562B9">
        <w:rPr>
          <w:rFonts w:ascii="Arial Narrow" w:hAnsi="Arial Narrow" w:cstheme="minorHAnsi"/>
          <w:szCs w:val="24"/>
        </w:rPr>
        <w:t>Asegurar qu</w:t>
      </w:r>
      <w:r w:rsidR="008560EA" w:rsidRPr="00E562B9">
        <w:rPr>
          <w:rFonts w:ascii="Arial Narrow" w:hAnsi="Arial Narrow" w:cstheme="minorHAnsi"/>
          <w:szCs w:val="24"/>
        </w:rPr>
        <w:t>e</w:t>
      </w:r>
      <w:r w:rsidRPr="00E562B9">
        <w:rPr>
          <w:rFonts w:ascii="Arial Narrow" w:hAnsi="Arial Narrow" w:cstheme="minorHAnsi"/>
          <w:szCs w:val="24"/>
        </w:rPr>
        <w:t xml:space="preserve"> se</w:t>
      </w:r>
      <w:r w:rsidR="008560EA" w:rsidRPr="00E562B9">
        <w:rPr>
          <w:rFonts w:ascii="Arial Narrow" w:hAnsi="Arial Narrow" w:cstheme="minorHAnsi"/>
          <w:szCs w:val="24"/>
        </w:rPr>
        <w:t xml:space="preserve"> implementen </w:t>
      </w:r>
      <w:r w:rsidR="008560EA">
        <w:rPr>
          <w:rFonts w:ascii="Arial Narrow" w:hAnsi="Arial Narrow" w:cstheme="minorHAnsi"/>
          <w:szCs w:val="24"/>
        </w:rPr>
        <w:t xml:space="preserve">las acciones correctivas requeridas en caso de que existan desviaciones con respecto al nivel de tolerancia al riesgo de liquidez asumidos. </w:t>
      </w:r>
    </w:p>
    <w:p w14:paraId="018B5293" w14:textId="77777777" w:rsidR="008560EA" w:rsidRPr="004A612F" w:rsidRDefault="008560EA" w:rsidP="008560EA">
      <w:pPr>
        <w:pStyle w:val="Textoindependiente"/>
        <w:rPr>
          <w:rFonts w:ascii="Arial Narrow" w:hAnsi="Arial Narrow" w:cstheme="minorHAnsi"/>
          <w:b/>
          <w:szCs w:val="24"/>
        </w:rPr>
      </w:pPr>
    </w:p>
    <w:p w14:paraId="018B5294" w14:textId="77777777" w:rsidR="008560EA" w:rsidRPr="004A612F" w:rsidRDefault="008560EA" w:rsidP="008560EA">
      <w:pPr>
        <w:pStyle w:val="Textoindependiente"/>
        <w:rPr>
          <w:rFonts w:ascii="Arial Narrow" w:hAnsi="Arial Narrow" w:cstheme="minorHAnsi"/>
          <w:b/>
          <w:szCs w:val="24"/>
        </w:rPr>
      </w:pPr>
      <w:r w:rsidRPr="004A612F">
        <w:rPr>
          <w:rFonts w:ascii="Arial Narrow" w:hAnsi="Arial Narrow" w:cstheme="minorHAnsi"/>
          <w:b/>
          <w:szCs w:val="24"/>
        </w:rPr>
        <w:t>Alta Gerencia</w:t>
      </w:r>
    </w:p>
    <w:p w14:paraId="018B5295" w14:textId="77777777" w:rsidR="008560EA" w:rsidRPr="004A612F" w:rsidRDefault="008560EA" w:rsidP="008560EA">
      <w:pPr>
        <w:pStyle w:val="Textoindependiente"/>
        <w:rPr>
          <w:rFonts w:ascii="Arial Narrow" w:hAnsi="Arial Narrow" w:cstheme="minorHAnsi"/>
          <w:szCs w:val="24"/>
        </w:rPr>
      </w:pPr>
      <w:r w:rsidRPr="004A612F">
        <w:rPr>
          <w:rFonts w:ascii="Arial Narrow" w:hAnsi="Arial Narrow" w:cstheme="minorHAnsi"/>
          <w:b/>
          <w:szCs w:val="24"/>
        </w:rPr>
        <w:t>Art. 7.-</w:t>
      </w:r>
      <w:r w:rsidRPr="004A612F">
        <w:rPr>
          <w:rFonts w:ascii="Arial Narrow" w:hAnsi="Arial Narrow" w:cstheme="minorHAnsi"/>
          <w:szCs w:val="24"/>
        </w:rPr>
        <w:t xml:space="preserve"> La Alta Gerencia es la responsable de asignar los recursos y velar porque se implemente adecuadamente la gestión del riesgo de liquidez. </w:t>
      </w:r>
    </w:p>
    <w:p w14:paraId="21D287AB" w14:textId="77777777" w:rsidR="00C42BA1" w:rsidRPr="004A612F" w:rsidRDefault="00C42BA1" w:rsidP="008560EA">
      <w:pPr>
        <w:pStyle w:val="Textoindependiente"/>
        <w:rPr>
          <w:rFonts w:ascii="Arial Narrow" w:hAnsi="Arial Narrow" w:cstheme="minorHAnsi"/>
          <w:b/>
          <w:szCs w:val="24"/>
        </w:rPr>
      </w:pPr>
    </w:p>
    <w:p w14:paraId="018B5297" w14:textId="77777777" w:rsidR="008560EA" w:rsidRPr="004A612F" w:rsidRDefault="008560EA" w:rsidP="008560EA">
      <w:pPr>
        <w:autoSpaceDE w:val="0"/>
        <w:autoSpaceDN w:val="0"/>
        <w:adjustRightInd w:val="0"/>
        <w:jc w:val="both"/>
        <w:rPr>
          <w:rFonts w:ascii="Arial Narrow" w:hAnsi="Arial Narrow" w:cstheme="minorHAnsi"/>
          <w:b/>
          <w:lang w:val="es-GT"/>
        </w:rPr>
      </w:pPr>
      <w:r w:rsidRPr="004A612F">
        <w:rPr>
          <w:rFonts w:ascii="Arial Narrow" w:hAnsi="Arial Narrow" w:cstheme="minorHAnsi"/>
          <w:b/>
          <w:lang w:val="es-GT"/>
        </w:rPr>
        <w:t>Unidad de Riesgos</w:t>
      </w:r>
    </w:p>
    <w:p w14:paraId="018B5298" w14:textId="77777777" w:rsidR="008560EA" w:rsidRPr="004A612F" w:rsidRDefault="008560EA" w:rsidP="001B3AD1">
      <w:pPr>
        <w:widowControl w:val="0"/>
        <w:autoSpaceDE w:val="0"/>
        <w:autoSpaceDN w:val="0"/>
        <w:adjustRightInd w:val="0"/>
        <w:spacing w:after="120"/>
        <w:jc w:val="both"/>
        <w:rPr>
          <w:rFonts w:ascii="Arial Narrow" w:hAnsi="Arial Narrow" w:cstheme="minorHAnsi"/>
        </w:rPr>
      </w:pPr>
      <w:r w:rsidRPr="004A612F">
        <w:rPr>
          <w:rFonts w:ascii="Arial Narrow" w:hAnsi="Arial Narrow" w:cstheme="minorHAnsi"/>
          <w:b/>
        </w:rPr>
        <w:t xml:space="preserve">Art. 8.- </w:t>
      </w:r>
      <w:r w:rsidRPr="004A612F">
        <w:rPr>
          <w:rFonts w:ascii="Arial Narrow" w:hAnsi="Arial Narrow" w:cstheme="minorHAnsi"/>
        </w:rPr>
        <w:t xml:space="preserve">La Unidad de Riesgos es la encargada de </w:t>
      </w:r>
      <w:r w:rsidRPr="004A612F">
        <w:rPr>
          <w:rFonts w:ascii="Arial Narrow" w:hAnsi="Arial Narrow" w:cstheme="minorHAnsi"/>
          <w:lang w:val="es-MX"/>
        </w:rPr>
        <w:t xml:space="preserve">implementar </w:t>
      </w:r>
      <w:r w:rsidRPr="004A612F">
        <w:rPr>
          <w:rFonts w:ascii="Arial Narrow" w:hAnsi="Arial Narrow" w:cstheme="minorHAnsi"/>
        </w:rPr>
        <w:t xml:space="preserve">la gestión de riesgo de liquidez, por lo que debe: </w:t>
      </w:r>
    </w:p>
    <w:p w14:paraId="018B5299" w14:textId="77777777" w:rsidR="008560EA" w:rsidRPr="004A612F" w:rsidRDefault="008560EA" w:rsidP="00AA09D7">
      <w:pPr>
        <w:pStyle w:val="Prrafodelista"/>
        <w:numPr>
          <w:ilvl w:val="0"/>
          <w:numId w:val="5"/>
        </w:numPr>
        <w:autoSpaceDE w:val="0"/>
        <w:autoSpaceDN w:val="0"/>
        <w:adjustRightInd w:val="0"/>
        <w:ind w:left="567" w:hanging="567"/>
        <w:jc w:val="both"/>
        <w:rPr>
          <w:rFonts w:ascii="Arial Narrow" w:hAnsi="Arial Narrow" w:cstheme="minorHAnsi"/>
          <w:szCs w:val="24"/>
        </w:rPr>
      </w:pPr>
      <w:r w:rsidRPr="004A612F">
        <w:rPr>
          <w:rFonts w:ascii="Arial Narrow" w:hAnsi="Arial Narrow" w:cstheme="minorHAnsi"/>
          <w:szCs w:val="24"/>
        </w:rPr>
        <w:t>Elaborar y proponer al Comité de Riesgos, la política, la estrategia, el manual, la metodología, el plan de contingencia y el sistema de información para la gestión del riesgo de liq</w:t>
      </w:r>
      <w:r w:rsidR="000F3A3A">
        <w:rPr>
          <w:rFonts w:ascii="Arial Narrow" w:hAnsi="Arial Narrow" w:cstheme="minorHAnsi"/>
          <w:szCs w:val="24"/>
        </w:rPr>
        <w:t>uidez</w:t>
      </w:r>
      <w:r w:rsidR="00202E20">
        <w:rPr>
          <w:rFonts w:ascii="Arial Narrow" w:hAnsi="Arial Narrow" w:cstheme="minorHAnsi"/>
          <w:szCs w:val="24"/>
        </w:rPr>
        <w:t>;</w:t>
      </w:r>
    </w:p>
    <w:p w14:paraId="018B529A" w14:textId="77777777" w:rsidR="00DB1E7E" w:rsidRDefault="008560EA" w:rsidP="00AA09D7">
      <w:pPr>
        <w:pStyle w:val="Prrafodelista"/>
        <w:numPr>
          <w:ilvl w:val="0"/>
          <w:numId w:val="5"/>
        </w:numPr>
        <w:autoSpaceDE w:val="0"/>
        <w:autoSpaceDN w:val="0"/>
        <w:adjustRightInd w:val="0"/>
        <w:ind w:left="567" w:hanging="567"/>
        <w:jc w:val="both"/>
        <w:rPr>
          <w:rFonts w:ascii="Arial Narrow" w:hAnsi="Arial Narrow" w:cstheme="minorHAnsi"/>
          <w:szCs w:val="24"/>
        </w:rPr>
      </w:pPr>
      <w:r w:rsidRPr="004A612F">
        <w:rPr>
          <w:rFonts w:ascii="Arial Narrow" w:hAnsi="Arial Narrow" w:cstheme="minorHAnsi"/>
          <w:szCs w:val="24"/>
        </w:rPr>
        <w:t xml:space="preserve">Elaborar y proponer </w:t>
      </w:r>
      <w:r w:rsidR="007013F7" w:rsidRPr="00E562B9">
        <w:rPr>
          <w:rFonts w:ascii="Arial Narrow" w:hAnsi="Arial Narrow" w:cstheme="minorHAnsi"/>
          <w:szCs w:val="24"/>
        </w:rPr>
        <w:t>al Comité de Riesgos</w:t>
      </w:r>
      <w:r w:rsidR="007013F7">
        <w:rPr>
          <w:rFonts w:ascii="Arial Narrow" w:hAnsi="Arial Narrow" w:cstheme="minorHAnsi"/>
          <w:szCs w:val="24"/>
        </w:rPr>
        <w:t xml:space="preserve">, </w:t>
      </w:r>
      <w:r w:rsidRPr="004A612F">
        <w:rPr>
          <w:rFonts w:ascii="Arial Narrow" w:hAnsi="Arial Narrow" w:cstheme="minorHAnsi"/>
          <w:szCs w:val="24"/>
        </w:rPr>
        <w:t>las herramientas de medición, parámetros y escenarios con los supuestos o premisas base que se utilizarán para la medición y control del riesgo de liquidez, incluyendo el d</w:t>
      </w:r>
      <w:r w:rsidR="000F3A3A">
        <w:rPr>
          <w:rFonts w:ascii="Arial Narrow" w:hAnsi="Arial Narrow" w:cstheme="minorHAnsi"/>
          <w:szCs w:val="24"/>
        </w:rPr>
        <w:t xml:space="preserve">esarrollo de pruebas de tensión; </w:t>
      </w:r>
    </w:p>
    <w:p w14:paraId="018B529B" w14:textId="77777777" w:rsidR="008560EA" w:rsidRPr="00E562B9" w:rsidRDefault="001F25F1" w:rsidP="00AA09D7">
      <w:pPr>
        <w:pStyle w:val="Prrafodelista"/>
        <w:numPr>
          <w:ilvl w:val="0"/>
          <w:numId w:val="5"/>
        </w:numPr>
        <w:autoSpaceDE w:val="0"/>
        <w:autoSpaceDN w:val="0"/>
        <w:adjustRightInd w:val="0"/>
        <w:ind w:left="567" w:hanging="567"/>
        <w:jc w:val="both"/>
        <w:rPr>
          <w:rFonts w:ascii="Arial Narrow" w:hAnsi="Arial Narrow" w:cstheme="minorHAnsi"/>
          <w:szCs w:val="24"/>
        </w:rPr>
      </w:pPr>
      <w:r w:rsidRPr="00E562B9">
        <w:rPr>
          <w:rFonts w:ascii="Arial Narrow" w:hAnsi="Arial Narrow" w:cstheme="minorHAnsi"/>
          <w:szCs w:val="24"/>
        </w:rPr>
        <w:t>Dar seguimiento al cumplimiento de los l</w:t>
      </w:r>
      <w:r w:rsidR="002909C7">
        <w:rPr>
          <w:rFonts w:ascii="Arial Narrow" w:hAnsi="Arial Narrow" w:cstheme="minorHAnsi"/>
          <w:szCs w:val="24"/>
        </w:rPr>
        <w:t>í</w:t>
      </w:r>
      <w:r w:rsidRPr="00E562B9">
        <w:rPr>
          <w:rFonts w:ascii="Arial Narrow" w:hAnsi="Arial Narrow" w:cstheme="minorHAnsi"/>
          <w:szCs w:val="24"/>
        </w:rPr>
        <w:t>mites de exposición al riesgo de liquidez e informar al Comité de Riesgos;</w:t>
      </w:r>
      <w:r w:rsidR="002B7770" w:rsidRPr="00E562B9">
        <w:rPr>
          <w:rFonts w:ascii="Arial Narrow" w:hAnsi="Arial Narrow" w:cstheme="minorHAnsi"/>
          <w:szCs w:val="24"/>
        </w:rPr>
        <w:t xml:space="preserve"> </w:t>
      </w:r>
    </w:p>
    <w:p w14:paraId="018B529C" w14:textId="77777777" w:rsidR="00A6722C" w:rsidRPr="00E562B9" w:rsidRDefault="00A6722C" w:rsidP="00AA09D7">
      <w:pPr>
        <w:pStyle w:val="Prrafodelista"/>
        <w:numPr>
          <w:ilvl w:val="0"/>
          <w:numId w:val="5"/>
        </w:numPr>
        <w:autoSpaceDE w:val="0"/>
        <w:autoSpaceDN w:val="0"/>
        <w:adjustRightInd w:val="0"/>
        <w:ind w:left="567" w:hanging="567"/>
        <w:jc w:val="both"/>
        <w:rPr>
          <w:rFonts w:ascii="Arial Narrow" w:hAnsi="Arial Narrow" w:cstheme="minorHAnsi"/>
          <w:szCs w:val="24"/>
        </w:rPr>
      </w:pPr>
      <w:r w:rsidRPr="00E562B9">
        <w:rPr>
          <w:rFonts w:ascii="Arial Narrow" w:hAnsi="Arial Narrow" w:cstheme="minorHAnsi"/>
          <w:szCs w:val="24"/>
        </w:rPr>
        <w:t>Medir y controlar los riegos de liquidez, de acuer</w:t>
      </w:r>
      <w:r w:rsidR="004C60A2" w:rsidRPr="00E562B9">
        <w:rPr>
          <w:rFonts w:ascii="Arial Narrow" w:hAnsi="Arial Narrow" w:cstheme="minorHAnsi"/>
          <w:szCs w:val="24"/>
        </w:rPr>
        <w:t>do a las metodologías aprobadas e informar los resultados al Comité de Riesgos;</w:t>
      </w:r>
    </w:p>
    <w:p w14:paraId="018B529D" w14:textId="77777777" w:rsidR="00687B84" w:rsidRPr="00E562B9" w:rsidRDefault="00687B84" w:rsidP="00AA09D7">
      <w:pPr>
        <w:pStyle w:val="Prrafodelista"/>
        <w:numPr>
          <w:ilvl w:val="0"/>
          <w:numId w:val="5"/>
        </w:numPr>
        <w:autoSpaceDE w:val="0"/>
        <w:autoSpaceDN w:val="0"/>
        <w:adjustRightInd w:val="0"/>
        <w:ind w:left="567" w:hanging="567"/>
        <w:jc w:val="both"/>
        <w:rPr>
          <w:rFonts w:ascii="Arial Narrow" w:hAnsi="Arial Narrow" w:cstheme="minorHAnsi"/>
          <w:szCs w:val="24"/>
        </w:rPr>
      </w:pPr>
      <w:r w:rsidRPr="00E562B9">
        <w:rPr>
          <w:rFonts w:ascii="Arial Narrow" w:hAnsi="Arial Narrow" w:cstheme="minorHAnsi"/>
          <w:szCs w:val="24"/>
        </w:rPr>
        <w:t xml:space="preserve">Dar seguimiento periódico a las acciones correctivas presentadas por la unidad </w:t>
      </w:r>
      <w:r w:rsidR="00875CBA">
        <w:rPr>
          <w:rFonts w:ascii="Arial Narrow" w:hAnsi="Arial Narrow" w:cstheme="minorHAnsi"/>
          <w:szCs w:val="24"/>
        </w:rPr>
        <w:t xml:space="preserve">de riesgos </w:t>
      </w:r>
      <w:r w:rsidRPr="00E562B9">
        <w:rPr>
          <w:rFonts w:ascii="Arial Narrow" w:hAnsi="Arial Narrow" w:cstheme="minorHAnsi"/>
          <w:szCs w:val="24"/>
        </w:rPr>
        <w:t xml:space="preserve">para </w:t>
      </w:r>
      <w:r w:rsidR="00F55985" w:rsidRPr="00E562B9">
        <w:rPr>
          <w:rFonts w:ascii="Arial Narrow" w:hAnsi="Arial Narrow" w:cstheme="minorHAnsi"/>
          <w:szCs w:val="24"/>
        </w:rPr>
        <w:t>la mejora de gestión del riesgo de liquidez;</w:t>
      </w:r>
      <w:r w:rsidR="002B7770" w:rsidRPr="00E562B9">
        <w:rPr>
          <w:rFonts w:ascii="Arial Narrow" w:hAnsi="Arial Narrow" w:cstheme="minorHAnsi"/>
          <w:szCs w:val="24"/>
        </w:rPr>
        <w:t xml:space="preserve"> y</w:t>
      </w:r>
    </w:p>
    <w:p w14:paraId="018B529E" w14:textId="77777777" w:rsidR="005F5320" w:rsidRPr="00E562B9" w:rsidRDefault="005F5320" w:rsidP="00AA09D7">
      <w:pPr>
        <w:pStyle w:val="Prrafodelista"/>
        <w:numPr>
          <w:ilvl w:val="0"/>
          <w:numId w:val="5"/>
        </w:numPr>
        <w:autoSpaceDE w:val="0"/>
        <w:autoSpaceDN w:val="0"/>
        <w:adjustRightInd w:val="0"/>
        <w:ind w:left="567" w:hanging="567"/>
        <w:jc w:val="both"/>
        <w:rPr>
          <w:rFonts w:ascii="Arial Narrow" w:hAnsi="Arial Narrow" w:cstheme="minorHAnsi"/>
          <w:szCs w:val="24"/>
        </w:rPr>
      </w:pPr>
      <w:r w:rsidRPr="00E562B9">
        <w:rPr>
          <w:rFonts w:ascii="Arial Narrow" w:hAnsi="Arial Narrow" w:cstheme="minorHAnsi"/>
          <w:szCs w:val="24"/>
        </w:rPr>
        <w:t>Informar periódicamente al Comité de Rie</w:t>
      </w:r>
      <w:r w:rsidR="002B7770" w:rsidRPr="00E562B9">
        <w:rPr>
          <w:rFonts w:ascii="Arial Narrow" w:hAnsi="Arial Narrow" w:cstheme="minorHAnsi"/>
          <w:szCs w:val="24"/>
        </w:rPr>
        <w:t>sgos sobre la evolución de los riesgos de liquidez asumidos por la enti</w:t>
      </w:r>
      <w:r w:rsidR="004C60A2" w:rsidRPr="00E562B9">
        <w:rPr>
          <w:rFonts w:ascii="Arial Narrow" w:hAnsi="Arial Narrow" w:cstheme="minorHAnsi"/>
          <w:szCs w:val="24"/>
        </w:rPr>
        <w:t xml:space="preserve">dad. </w:t>
      </w:r>
    </w:p>
    <w:p w14:paraId="018B529F" w14:textId="77777777" w:rsidR="00EE337D" w:rsidRDefault="00EE337D" w:rsidP="008560EA">
      <w:pPr>
        <w:pStyle w:val="Textoindependiente"/>
        <w:rPr>
          <w:rFonts w:ascii="Arial Narrow" w:hAnsi="Arial Narrow" w:cstheme="minorHAnsi"/>
          <w:b/>
          <w:szCs w:val="24"/>
        </w:rPr>
      </w:pPr>
    </w:p>
    <w:p w14:paraId="018B52A0" w14:textId="77777777" w:rsidR="008560EA" w:rsidRPr="004A612F" w:rsidRDefault="008560EA" w:rsidP="008560EA">
      <w:pPr>
        <w:pStyle w:val="Textoindependiente"/>
        <w:rPr>
          <w:rFonts w:ascii="Arial Narrow" w:hAnsi="Arial Narrow" w:cstheme="minorHAnsi"/>
          <w:b/>
          <w:szCs w:val="24"/>
        </w:rPr>
      </w:pPr>
      <w:r w:rsidRPr="004A612F">
        <w:rPr>
          <w:rFonts w:ascii="Arial Narrow" w:hAnsi="Arial Narrow" w:cstheme="minorHAnsi"/>
          <w:b/>
          <w:szCs w:val="24"/>
        </w:rPr>
        <w:t>Auditoría interna</w:t>
      </w:r>
    </w:p>
    <w:p w14:paraId="018B52A1" w14:textId="77777777" w:rsidR="008560EA" w:rsidRPr="004A612F" w:rsidRDefault="008560EA" w:rsidP="008560EA">
      <w:pPr>
        <w:autoSpaceDE w:val="0"/>
        <w:autoSpaceDN w:val="0"/>
        <w:adjustRightInd w:val="0"/>
        <w:jc w:val="both"/>
        <w:rPr>
          <w:rFonts w:ascii="Arial Narrow" w:hAnsi="Arial Narrow" w:cstheme="minorHAnsi"/>
          <w:color w:val="FF0000"/>
          <w:lang w:val="es-MX"/>
        </w:rPr>
      </w:pPr>
      <w:r w:rsidRPr="004A612F">
        <w:rPr>
          <w:rFonts w:ascii="Arial Narrow" w:hAnsi="Arial Narrow" w:cstheme="minorHAnsi"/>
          <w:b/>
          <w:lang w:val="es-MX"/>
        </w:rPr>
        <w:t>Art. 9.-</w:t>
      </w:r>
      <w:r w:rsidRPr="004A612F">
        <w:rPr>
          <w:rFonts w:ascii="Arial Narrow" w:hAnsi="Arial Narrow" w:cstheme="minorHAnsi"/>
          <w:lang w:val="es-MX"/>
        </w:rPr>
        <w:t xml:space="preserve"> La auditoría interna debe evaluar periódicamente la efectividad y eficiencia del marco de gestión del riesgo de liquidez diseñada por la Unidad de Riesgos.</w:t>
      </w:r>
    </w:p>
    <w:p w14:paraId="018B52A2" w14:textId="77777777" w:rsidR="008560EA" w:rsidRPr="004A612F" w:rsidRDefault="008560EA" w:rsidP="008560EA">
      <w:pPr>
        <w:autoSpaceDE w:val="0"/>
        <w:autoSpaceDN w:val="0"/>
        <w:adjustRightInd w:val="0"/>
        <w:ind w:firstLine="708"/>
        <w:jc w:val="both"/>
        <w:rPr>
          <w:rFonts w:ascii="Arial Narrow" w:hAnsi="Arial Narrow" w:cstheme="minorHAnsi"/>
          <w:lang w:val="es-MX"/>
        </w:rPr>
      </w:pPr>
    </w:p>
    <w:p w14:paraId="018B52A3" w14:textId="77777777" w:rsidR="008560EA" w:rsidRPr="004A612F" w:rsidRDefault="008560EA" w:rsidP="008560EA">
      <w:pPr>
        <w:autoSpaceDE w:val="0"/>
        <w:autoSpaceDN w:val="0"/>
        <w:adjustRightInd w:val="0"/>
        <w:jc w:val="both"/>
        <w:rPr>
          <w:rFonts w:ascii="Arial Narrow" w:hAnsi="Arial Narrow" w:cstheme="minorHAnsi"/>
          <w:b/>
        </w:rPr>
      </w:pPr>
      <w:r w:rsidRPr="004A612F">
        <w:rPr>
          <w:rFonts w:ascii="Arial Narrow" w:hAnsi="Arial Narrow" w:cstheme="minorHAnsi"/>
          <w:b/>
        </w:rPr>
        <w:t xml:space="preserve">Política de </w:t>
      </w:r>
      <w:r w:rsidR="008A645E" w:rsidRPr="00B3208F">
        <w:rPr>
          <w:rFonts w:ascii="Arial Narrow" w:hAnsi="Arial Narrow" w:cstheme="minorHAnsi"/>
          <w:b/>
        </w:rPr>
        <w:t>gestión de riesgo</w:t>
      </w:r>
      <w:r w:rsidR="00614099" w:rsidRPr="00B3208F">
        <w:rPr>
          <w:rFonts w:ascii="Arial Narrow" w:hAnsi="Arial Narrow" w:cstheme="minorHAnsi"/>
          <w:b/>
        </w:rPr>
        <w:t xml:space="preserve"> de </w:t>
      </w:r>
      <w:r w:rsidRPr="004A612F">
        <w:rPr>
          <w:rFonts w:ascii="Arial Narrow" w:hAnsi="Arial Narrow" w:cstheme="minorHAnsi"/>
          <w:b/>
        </w:rPr>
        <w:t>liquidez</w:t>
      </w:r>
    </w:p>
    <w:p w14:paraId="018B52A4" w14:textId="77777777" w:rsidR="008560EA" w:rsidRPr="004A612F" w:rsidRDefault="008560EA" w:rsidP="002C37D4">
      <w:pPr>
        <w:autoSpaceDE w:val="0"/>
        <w:autoSpaceDN w:val="0"/>
        <w:adjustRightInd w:val="0"/>
        <w:jc w:val="both"/>
        <w:rPr>
          <w:rFonts w:ascii="Arial Narrow" w:hAnsi="Arial Narrow" w:cstheme="minorHAnsi"/>
        </w:rPr>
      </w:pPr>
      <w:r w:rsidRPr="004A612F">
        <w:rPr>
          <w:rFonts w:ascii="Arial Narrow" w:hAnsi="Arial Narrow" w:cstheme="minorHAnsi"/>
          <w:b/>
        </w:rPr>
        <w:t xml:space="preserve">Art. 10.- </w:t>
      </w:r>
      <w:r w:rsidRPr="004A612F">
        <w:rPr>
          <w:rFonts w:ascii="Arial Narrow" w:hAnsi="Arial Narrow" w:cstheme="minorHAnsi"/>
        </w:rPr>
        <w:t>Las entidades deben contar con una política que desarrolle de forma clara la estrategia para una adecuada gestión del riesgo de liquidez, diseñada conforme las características de la entidad y su posición dentro del sistema financiero, la cual debe ser aprobada por la Junta Directiva para asegurar que, en todo momento y bajo distintos escenarios normales o de crisis, existan fuentes de liquidez y suficientes recursos para garantizar la continuidad de las operaciones.</w:t>
      </w:r>
    </w:p>
    <w:p w14:paraId="018B52A5" w14:textId="77777777" w:rsidR="003E55F1" w:rsidRDefault="003E55F1" w:rsidP="008560EA">
      <w:pPr>
        <w:autoSpaceDE w:val="0"/>
        <w:autoSpaceDN w:val="0"/>
        <w:adjustRightInd w:val="0"/>
        <w:jc w:val="both"/>
        <w:rPr>
          <w:rFonts w:ascii="Arial Narrow" w:hAnsi="Arial Narrow" w:cstheme="minorHAnsi"/>
        </w:rPr>
      </w:pPr>
    </w:p>
    <w:p w14:paraId="018B52A6" w14:textId="77777777" w:rsidR="008560EA" w:rsidRPr="004A612F" w:rsidRDefault="008560EA" w:rsidP="008560EA">
      <w:pPr>
        <w:autoSpaceDE w:val="0"/>
        <w:autoSpaceDN w:val="0"/>
        <w:adjustRightInd w:val="0"/>
        <w:jc w:val="both"/>
        <w:rPr>
          <w:rFonts w:ascii="Arial Narrow" w:hAnsi="Arial Narrow" w:cstheme="minorHAnsi"/>
        </w:rPr>
      </w:pPr>
      <w:r w:rsidRPr="004A612F">
        <w:rPr>
          <w:rFonts w:ascii="Arial Narrow" w:hAnsi="Arial Narrow" w:cstheme="minorHAnsi"/>
        </w:rPr>
        <w:t>Esta política debe responder a la complejidad y al volumen de las operaciones que caracterizan al modelo de negocios y al perfil de riesgo asumido por la entidad, de manera que se logre un adecuado manejo de los activos, pasivos y operaciones fuera de balance, tomando en cuenta un equilibrio entre riesgo y rentabilidad.</w:t>
      </w:r>
    </w:p>
    <w:p w14:paraId="018B52A7" w14:textId="77777777" w:rsidR="008560EA" w:rsidRPr="004A612F" w:rsidRDefault="008560EA" w:rsidP="008560EA">
      <w:pPr>
        <w:autoSpaceDE w:val="0"/>
        <w:autoSpaceDN w:val="0"/>
        <w:adjustRightInd w:val="0"/>
        <w:jc w:val="both"/>
        <w:rPr>
          <w:rFonts w:ascii="Arial Narrow" w:hAnsi="Arial Narrow" w:cstheme="minorHAnsi"/>
        </w:rPr>
      </w:pPr>
    </w:p>
    <w:p w14:paraId="018B52A8" w14:textId="77777777" w:rsidR="008560EA" w:rsidRPr="004A612F" w:rsidRDefault="008560EA" w:rsidP="008560EA">
      <w:pPr>
        <w:autoSpaceDE w:val="0"/>
        <w:autoSpaceDN w:val="0"/>
        <w:adjustRightInd w:val="0"/>
        <w:spacing w:after="120"/>
        <w:jc w:val="both"/>
        <w:rPr>
          <w:rFonts w:ascii="Arial Narrow" w:hAnsi="Arial Narrow" w:cstheme="minorHAnsi"/>
        </w:rPr>
      </w:pPr>
      <w:r w:rsidRPr="004A612F">
        <w:rPr>
          <w:rFonts w:ascii="Arial Narrow" w:hAnsi="Arial Narrow" w:cstheme="minorHAnsi"/>
        </w:rPr>
        <w:t>La política debe considerar como mínimo lo siguiente:</w:t>
      </w:r>
    </w:p>
    <w:p w14:paraId="018B52A9" w14:textId="77777777" w:rsidR="008560EA" w:rsidRPr="004A612F" w:rsidRDefault="008560EA" w:rsidP="00AA09D7">
      <w:pPr>
        <w:pStyle w:val="Prrafodelista"/>
        <w:numPr>
          <w:ilvl w:val="0"/>
          <w:numId w:val="7"/>
        </w:numPr>
        <w:autoSpaceDE w:val="0"/>
        <w:autoSpaceDN w:val="0"/>
        <w:adjustRightInd w:val="0"/>
        <w:ind w:left="567" w:hanging="567"/>
        <w:jc w:val="both"/>
        <w:rPr>
          <w:rFonts w:ascii="Arial Narrow" w:hAnsi="Arial Narrow" w:cstheme="minorHAnsi"/>
          <w:szCs w:val="24"/>
        </w:rPr>
      </w:pPr>
      <w:r w:rsidRPr="004A612F">
        <w:rPr>
          <w:rFonts w:ascii="Arial Narrow" w:hAnsi="Arial Narrow" w:cstheme="minorHAnsi"/>
          <w:szCs w:val="24"/>
        </w:rPr>
        <w:t>Establecer los niveles mínimos de liquidez, los límites de concentración y de exposición al riesgo de liquidez;</w:t>
      </w:r>
    </w:p>
    <w:p w14:paraId="018B52AA" w14:textId="77777777" w:rsidR="008560EA" w:rsidRPr="004A612F" w:rsidRDefault="008560EA" w:rsidP="00AA09D7">
      <w:pPr>
        <w:pStyle w:val="Prrafodelista"/>
        <w:numPr>
          <w:ilvl w:val="0"/>
          <w:numId w:val="7"/>
        </w:numPr>
        <w:autoSpaceDE w:val="0"/>
        <w:autoSpaceDN w:val="0"/>
        <w:adjustRightInd w:val="0"/>
        <w:ind w:left="567" w:hanging="567"/>
        <w:jc w:val="both"/>
        <w:rPr>
          <w:rFonts w:ascii="Arial Narrow" w:hAnsi="Arial Narrow" w:cstheme="minorHAnsi"/>
          <w:szCs w:val="24"/>
        </w:rPr>
      </w:pPr>
      <w:r w:rsidRPr="004A612F">
        <w:rPr>
          <w:rFonts w:ascii="Arial Narrow" w:hAnsi="Arial Narrow" w:cstheme="minorHAnsi"/>
          <w:szCs w:val="24"/>
        </w:rPr>
        <w:t>Establecer lineamientos específicos de obtención y diversificación de las fuentes de fondeo;</w:t>
      </w:r>
    </w:p>
    <w:p w14:paraId="018B52AB" w14:textId="77777777" w:rsidR="008560EA" w:rsidRPr="004A612F" w:rsidRDefault="008560EA" w:rsidP="00AA09D7">
      <w:pPr>
        <w:pStyle w:val="Prrafodelista"/>
        <w:numPr>
          <w:ilvl w:val="0"/>
          <w:numId w:val="7"/>
        </w:numPr>
        <w:autoSpaceDE w:val="0"/>
        <w:autoSpaceDN w:val="0"/>
        <w:adjustRightInd w:val="0"/>
        <w:ind w:left="567" w:hanging="567"/>
        <w:jc w:val="both"/>
        <w:rPr>
          <w:rFonts w:ascii="Arial Narrow" w:hAnsi="Arial Narrow" w:cstheme="minorHAnsi"/>
          <w:szCs w:val="24"/>
        </w:rPr>
      </w:pPr>
      <w:r w:rsidRPr="004A612F">
        <w:rPr>
          <w:rFonts w:ascii="Arial Narrow" w:hAnsi="Arial Narrow" w:cstheme="minorHAnsi"/>
          <w:szCs w:val="24"/>
        </w:rPr>
        <w:t xml:space="preserve">Establecer indicadores de alerta temprana que permitan identificar </w:t>
      </w:r>
      <w:r w:rsidR="004076A6" w:rsidRPr="000022F7">
        <w:rPr>
          <w:rFonts w:ascii="Arial Narrow" w:hAnsi="Arial Narrow" w:cstheme="minorHAnsi"/>
          <w:szCs w:val="24"/>
        </w:rPr>
        <w:t>la</w:t>
      </w:r>
      <w:r w:rsidRPr="004A612F">
        <w:rPr>
          <w:rFonts w:ascii="Arial Narrow" w:hAnsi="Arial Narrow" w:cstheme="minorHAnsi"/>
          <w:szCs w:val="24"/>
        </w:rPr>
        <w:t xml:space="preserve"> exposición al riesgo de liquidez;</w:t>
      </w:r>
    </w:p>
    <w:p w14:paraId="018B52AC" w14:textId="77777777" w:rsidR="008560EA" w:rsidRPr="004A612F" w:rsidRDefault="00581661" w:rsidP="00C42BA1">
      <w:pPr>
        <w:pStyle w:val="Prrafodelista"/>
        <w:widowControl w:val="0"/>
        <w:numPr>
          <w:ilvl w:val="0"/>
          <w:numId w:val="7"/>
        </w:numPr>
        <w:autoSpaceDE w:val="0"/>
        <w:autoSpaceDN w:val="0"/>
        <w:adjustRightInd w:val="0"/>
        <w:ind w:left="567" w:hanging="567"/>
        <w:jc w:val="both"/>
        <w:rPr>
          <w:rFonts w:ascii="Arial Narrow" w:hAnsi="Arial Narrow" w:cstheme="minorHAnsi"/>
          <w:szCs w:val="24"/>
        </w:rPr>
      </w:pPr>
      <w:r w:rsidRPr="000022F7">
        <w:rPr>
          <w:rFonts w:ascii="Arial Narrow" w:hAnsi="Arial Narrow" w:cstheme="minorHAnsi"/>
          <w:szCs w:val="24"/>
        </w:rPr>
        <w:t>Establecer</w:t>
      </w:r>
      <w:r w:rsidRPr="00581661">
        <w:rPr>
          <w:rFonts w:ascii="Arial Narrow" w:hAnsi="Arial Narrow" w:cstheme="minorHAnsi"/>
          <w:szCs w:val="24"/>
        </w:rPr>
        <w:t xml:space="preserve"> </w:t>
      </w:r>
      <w:r w:rsidR="008560EA" w:rsidRPr="004A612F">
        <w:rPr>
          <w:rFonts w:ascii="Arial Narrow" w:hAnsi="Arial Narrow" w:cstheme="minorHAnsi"/>
          <w:szCs w:val="24"/>
        </w:rPr>
        <w:t>los mecanismos para la implementación de las acciones correctivas requeridas en caso de que existan desviaciones</w:t>
      </w:r>
      <w:r w:rsidR="006C01D4" w:rsidRPr="002C37D4">
        <w:rPr>
          <w:rFonts w:ascii="Arial Narrow" w:hAnsi="Arial Narrow" w:cstheme="minorHAnsi"/>
          <w:szCs w:val="24"/>
        </w:rPr>
        <w:t xml:space="preserve"> o excepciones</w:t>
      </w:r>
      <w:r w:rsidR="008560EA" w:rsidRPr="004A612F">
        <w:rPr>
          <w:rFonts w:ascii="Arial Narrow" w:hAnsi="Arial Narrow" w:cstheme="minorHAnsi"/>
          <w:szCs w:val="24"/>
        </w:rPr>
        <w:t xml:space="preserve"> con respecto al nivel de riesgo de liquidez asumido;</w:t>
      </w:r>
      <w:r w:rsidR="002C37D4">
        <w:rPr>
          <w:rFonts w:ascii="Arial Narrow" w:hAnsi="Arial Narrow" w:cstheme="minorHAnsi"/>
          <w:szCs w:val="24"/>
        </w:rPr>
        <w:t xml:space="preserve"> y</w:t>
      </w:r>
    </w:p>
    <w:p w14:paraId="018B52AD" w14:textId="77777777" w:rsidR="008560EA" w:rsidRPr="004A612F" w:rsidRDefault="00581661" w:rsidP="00AA09D7">
      <w:pPr>
        <w:pStyle w:val="Prrafodelista"/>
        <w:numPr>
          <w:ilvl w:val="0"/>
          <w:numId w:val="7"/>
        </w:numPr>
        <w:autoSpaceDE w:val="0"/>
        <w:autoSpaceDN w:val="0"/>
        <w:adjustRightInd w:val="0"/>
        <w:ind w:left="567" w:hanging="567"/>
        <w:jc w:val="both"/>
        <w:rPr>
          <w:rFonts w:ascii="Arial Narrow" w:hAnsi="Arial Narrow" w:cstheme="minorHAnsi"/>
          <w:szCs w:val="24"/>
        </w:rPr>
      </w:pPr>
      <w:r w:rsidRPr="000022F7">
        <w:rPr>
          <w:rFonts w:ascii="Arial Narrow" w:hAnsi="Arial Narrow" w:cstheme="minorHAnsi"/>
          <w:szCs w:val="24"/>
        </w:rPr>
        <w:t xml:space="preserve">Establecer </w:t>
      </w:r>
      <w:r w:rsidR="008560EA" w:rsidRPr="004A612F">
        <w:rPr>
          <w:rFonts w:ascii="Arial Narrow" w:hAnsi="Arial Narrow" w:cstheme="minorHAnsi"/>
          <w:szCs w:val="24"/>
        </w:rPr>
        <w:t>un nivel de activos líquidos de alta calidad y libres de cualquier gravamen, para ser utilizado frente a una s</w:t>
      </w:r>
      <w:r w:rsidR="002C37D4">
        <w:rPr>
          <w:rFonts w:ascii="Arial Narrow" w:hAnsi="Arial Narrow" w:cstheme="minorHAnsi"/>
          <w:szCs w:val="24"/>
        </w:rPr>
        <w:t>erie de tensiones de liquidez.</w:t>
      </w:r>
    </w:p>
    <w:p w14:paraId="018B52AE" w14:textId="77777777" w:rsidR="008560EA" w:rsidRPr="004A612F" w:rsidRDefault="008560EA" w:rsidP="008560EA">
      <w:pPr>
        <w:autoSpaceDE w:val="0"/>
        <w:autoSpaceDN w:val="0"/>
        <w:adjustRightInd w:val="0"/>
        <w:jc w:val="both"/>
        <w:rPr>
          <w:rFonts w:ascii="Arial Narrow" w:hAnsi="Arial Narrow" w:cstheme="minorHAnsi"/>
        </w:rPr>
      </w:pPr>
    </w:p>
    <w:p w14:paraId="018B52AF" w14:textId="77777777" w:rsidR="008560EA" w:rsidRPr="004A612F" w:rsidRDefault="008560EA" w:rsidP="008560EA">
      <w:pPr>
        <w:autoSpaceDE w:val="0"/>
        <w:autoSpaceDN w:val="0"/>
        <w:adjustRightInd w:val="0"/>
        <w:jc w:val="both"/>
        <w:rPr>
          <w:rFonts w:ascii="Arial Narrow" w:hAnsi="Arial Narrow" w:cstheme="minorHAnsi"/>
          <w:b/>
        </w:rPr>
      </w:pPr>
      <w:r w:rsidRPr="004A612F">
        <w:rPr>
          <w:rFonts w:ascii="Arial Narrow" w:hAnsi="Arial Narrow" w:cstheme="minorHAnsi"/>
          <w:b/>
        </w:rPr>
        <w:t xml:space="preserve">Manual de gestión del riesgo de liquidez. </w:t>
      </w:r>
    </w:p>
    <w:p w14:paraId="018B52B0" w14:textId="77777777" w:rsidR="008560EA" w:rsidRPr="004A612F" w:rsidRDefault="008560EA" w:rsidP="008560EA">
      <w:pPr>
        <w:jc w:val="both"/>
        <w:rPr>
          <w:rFonts w:ascii="Arial Narrow" w:hAnsi="Arial Narrow" w:cstheme="minorHAnsi"/>
        </w:rPr>
      </w:pPr>
      <w:r w:rsidRPr="004A612F">
        <w:rPr>
          <w:rFonts w:ascii="Arial Narrow" w:hAnsi="Arial Narrow" w:cstheme="minorHAnsi"/>
          <w:b/>
        </w:rPr>
        <w:t xml:space="preserve">Art. 11.- </w:t>
      </w:r>
      <w:r w:rsidRPr="004A612F">
        <w:rPr>
          <w:rFonts w:ascii="Arial Narrow" w:hAnsi="Arial Narrow" w:cstheme="minorHAnsi"/>
        </w:rPr>
        <w:t>Las entidades deben contar con un manual de gestión de riesgo de liquidez que agrupe la política, las funciones y responsabilidades de las áreas involucradas, la metodología, los procesos asociados y la periodicidad con la que se debe informar al Comité de Riesgos, Junta Directiva y a la Alta Gerencia sobre la exposición a dicho riesgo.</w:t>
      </w:r>
    </w:p>
    <w:p w14:paraId="018B52B1" w14:textId="77777777" w:rsidR="008560EA" w:rsidRPr="004A612F" w:rsidRDefault="008560EA" w:rsidP="008560EA">
      <w:pPr>
        <w:autoSpaceDE w:val="0"/>
        <w:autoSpaceDN w:val="0"/>
        <w:adjustRightInd w:val="0"/>
        <w:rPr>
          <w:rFonts w:ascii="Arial Narrow" w:hAnsi="Arial Narrow" w:cstheme="minorHAnsi"/>
          <w:b/>
        </w:rPr>
      </w:pPr>
    </w:p>
    <w:p w14:paraId="018B52B2" w14:textId="5DCA5466" w:rsidR="008560EA" w:rsidRPr="004A612F" w:rsidRDefault="008560EA" w:rsidP="008560EA">
      <w:pPr>
        <w:autoSpaceDE w:val="0"/>
        <w:autoSpaceDN w:val="0"/>
        <w:adjustRightInd w:val="0"/>
        <w:jc w:val="center"/>
        <w:rPr>
          <w:rFonts w:ascii="Arial Narrow" w:hAnsi="Arial Narrow" w:cstheme="minorHAnsi"/>
          <w:b/>
        </w:rPr>
      </w:pPr>
      <w:r w:rsidRPr="004A612F">
        <w:rPr>
          <w:rFonts w:ascii="Arial Narrow" w:hAnsi="Arial Narrow" w:cstheme="minorHAnsi"/>
          <w:b/>
        </w:rPr>
        <w:t>CAP</w:t>
      </w:r>
      <w:r w:rsidR="0009029A" w:rsidRPr="0003135F">
        <w:rPr>
          <w:rFonts w:ascii="Arial Narrow" w:hAnsi="Arial Narrow" w:cstheme="minorHAnsi"/>
          <w:b/>
        </w:rPr>
        <w:t>Í</w:t>
      </w:r>
      <w:r w:rsidRPr="004A612F">
        <w:rPr>
          <w:rFonts w:ascii="Arial Narrow" w:hAnsi="Arial Narrow" w:cstheme="minorHAnsi"/>
          <w:b/>
        </w:rPr>
        <w:t>TULO III</w:t>
      </w:r>
    </w:p>
    <w:p w14:paraId="018B52B3" w14:textId="77777777" w:rsidR="00D5687A" w:rsidRDefault="008560EA" w:rsidP="00D5687A">
      <w:pPr>
        <w:autoSpaceDE w:val="0"/>
        <w:autoSpaceDN w:val="0"/>
        <w:adjustRightInd w:val="0"/>
        <w:jc w:val="center"/>
        <w:rPr>
          <w:rFonts w:ascii="Arial Narrow" w:hAnsi="Arial Narrow" w:cstheme="minorHAnsi"/>
          <w:b/>
        </w:rPr>
      </w:pPr>
      <w:r w:rsidRPr="004A612F">
        <w:rPr>
          <w:rFonts w:ascii="Arial Narrow" w:hAnsi="Arial Narrow" w:cstheme="minorHAnsi"/>
          <w:b/>
        </w:rPr>
        <w:t>GESTIÓN DE</w:t>
      </w:r>
      <w:r w:rsidR="0033432C">
        <w:rPr>
          <w:rFonts w:ascii="Arial Narrow" w:hAnsi="Arial Narrow" w:cstheme="minorHAnsi"/>
          <w:b/>
        </w:rPr>
        <w:t>L</w:t>
      </w:r>
      <w:r w:rsidRPr="004A612F">
        <w:rPr>
          <w:rFonts w:ascii="Arial Narrow" w:hAnsi="Arial Narrow" w:cstheme="minorHAnsi"/>
          <w:b/>
        </w:rPr>
        <w:t xml:space="preserve"> RIESGO DE LIQUIDEZ</w:t>
      </w:r>
    </w:p>
    <w:p w14:paraId="018B52B4" w14:textId="77777777" w:rsidR="004A612F" w:rsidRPr="004A612F" w:rsidRDefault="004A612F" w:rsidP="00D5687A">
      <w:pPr>
        <w:autoSpaceDE w:val="0"/>
        <w:autoSpaceDN w:val="0"/>
        <w:adjustRightInd w:val="0"/>
        <w:jc w:val="center"/>
        <w:rPr>
          <w:rFonts w:ascii="Arial Narrow" w:hAnsi="Arial Narrow" w:cstheme="minorHAnsi"/>
          <w:b/>
        </w:rPr>
      </w:pPr>
    </w:p>
    <w:p w14:paraId="018B52B5" w14:textId="77777777" w:rsidR="008560EA" w:rsidRPr="004A612F" w:rsidRDefault="008560EA" w:rsidP="00D5687A">
      <w:pPr>
        <w:autoSpaceDE w:val="0"/>
        <w:autoSpaceDN w:val="0"/>
        <w:adjustRightInd w:val="0"/>
        <w:rPr>
          <w:rFonts w:ascii="Arial Narrow" w:hAnsi="Arial Narrow" w:cstheme="minorHAnsi"/>
          <w:b/>
        </w:rPr>
      </w:pPr>
      <w:r w:rsidRPr="004A612F">
        <w:rPr>
          <w:rFonts w:ascii="Arial Narrow" w:hAnsi="Arial Narrow" w:cstheme="minorHAnsi"/>
          <w:b/>
        </w:rPr>
        <w:t xml:space="preserve">Etapas del proceso de gestión </w:t>
      </w:r>
    </w:p>
    <w:p w14:paraId="018B52B6" w14:textId="77777777" w:rsidR="008560EA" w:rsidRPr="004A612F" w:rsidRDefault="008560EA" w:rsidP="008560EA">
      <w:pPr>
        <w:pStyle w:val="Textoindependiente"/>
        <w:rPr>
          <w:rFonts w:ascii="Arial Narrow" w:hAnsi="Arial Narrow" w:cstheme="minorHAnsi"/>
          <w:szCs w:val="24"/>
        </w:rPr>
      </w:pPr>
      <w:r w:rsidRPr="004A612F">
        <w:rPr>
          <w:rFonts w:ascii="Arial Narrow" w:hAnsi="Arial Narrow" w:cstheme="minorHAnsi"/>
          <w:b/>
          <w:szCs w:val="24"/>
        </w:rPr>
        <w:t>Art. 12</w:t>
      </w:r>
      <w:r w:rsidRPr="004A612F">
        <w:rPr>
          <w:rFonts w:ascii="Arial Narrow" w:hAnsi="Arial Narrow" w:cstheme="minorHAnsi"/>
          <w:szCs w:val="24"/>
        </w:rPr>
        <w:t>.- Para la gestión del riesgo de liquidez, las entidades deben contar con un proceso continuo y documentado para identificar, medir, controlar y mitigar, monitorear y comunicar el riesgo de liquidez, que debe incluir un marco robusto que ofrezca una proyección completa de la posición de liquidez.</w:t>
      </w:r>
    </w:p>
    <w:p w14:paraId="018B52B7" w14:textId="77777777" w:rsidR="008560EA" w:rsidRPr="004A612F" w:rsidRDefault="008560EA" w:rsidP="008560EA">
      <w:pPr>
        <w:autoSpaceDE w:val="0"/>
        <w:autoSpaceDN w:val="0"/>
        <w:adjustRightInd w:val="0"/>
        <w:jc w:val="both"/>
        <w:rPr>
          <w:rFonts w:ascii="Arial Narrow" w:hAnsi="Arial Narrow" w:cstheme="minorHAnsi"/>
          <w:b/>
        </w:rPr>
      </w:pPr>
    </w:p>
    <w:p w14:paraId="018B52B8" w14:textId="77777777" w:rsidR="008560EA" w:rsidRPr="004A612F" w:rsidRDefault="008560EA" w:rsidP="008560EA">
      <w:pPr>
        <w:autoSpaceDE w:val="0"/>
        <w:autoSpaceDN w:val="0"/>
        <w:adjustRightInd w:val="0"/>
        <w:jc w:val="both"/>
        <w:rPr>
          <w:rFonts w:ascii="Arial Narrow" w:hAnsi="Arial Narrow" w:cstheme="minorHAnsi"/>
          <w:b/>
        </w:rPr>
      </w:pPr>
      <w:r w:rsidRPr="004A612F">
        <w:rPr>
          <w:rFonts w:ascii="Arial Narrow" w:hAnsi="Arial Narrow" w:cstheme="minorHAnsi"/>
          <w:b/>
        </w:rPr>
        <w:t xml:space="preserve">Identificación </w:t>
      </w:r>
    </w:p>
    <w:p w14:paraId="018B52B9" w14:textId="77777777" w:rsidR="008560EA" w:rsidRPr="004A612F" w:rsidRDefault="008560EA" w:rsidP="008560EA">
      <w:pPr>
        <w:autoSpaceDE w:val="0"/>
        <w:autoSpaceDN w:val="0"/>
        <w:adjustRightInd w:val="0"/>
        <w:jc w:val="both"/>
        <w:rPr>
          <w:rFonts w:ascii="Arial Narrow" w:hAnsi="Arial Narrow" w:cstheme="minorHAnsi"/>
        </w:rPr>
      </w:pPr>
      <w:r w:rsidRPr="004A612F">
        <w:rPr>
          <w:rFonts w:ascii="Arial Narrow" w:hAnsi="Arial Narrow" w:cstheme="minorHAnsi"/>
          <w:b/>
        </w:rPr>
        <w:t>Art. 13.-</w:t>
      </w:r>
      <w:r w:rsidRPr="004A612F">
        <w:rPr>
          <w:rFonts w:ascii="Arial Narrow" w:hAnsi="Arial Narrow" w:cstheme="minorHAnsi"/>
        </w:rPr>
        <w:t xml:space="preserve"> Las entidades deben identificar los factores tanto internos como externos, que puedan impactar su liquidez, por lo que deben contar con herramientas que les permitan una adecua</w:t>
      </w:r>
      <w:r w:rsidR="005C33EE">
        <w:rPr>
          <w:rFonts w:ascii="Arial Narrow" w:hAnsi="Arial Narrow" w:cstheme="minorHAnsi"/>
        </w:rPr>
        <w:t>da identificación de ese riesgo.</w:t>
      </w:r>
      <w:r w:rsidRPr="004A612F">
        <w:rPr>
          <w:rFonts w:ascii="Arial Narrow" w:hAnsi="Arial Narrow" w:cstheme="minorHAnsi"/>
        </w:rPr>
        <w:t xml:space="preserve"> </w:t>
      </w:r>
    </w:p>
    <w:p w14:paraId="018B52BA" w14:textId="77777777" w:rsidR="0033432C" w:rsidRDefault="0033432C" w:rsidP="008560EA">
      <w:pPr>
        <w:autoSpaceDE w:val="0"/>
        <w:autoSpaceDN w:val="0"/>
        <w:adjustRightInd w:val="0"/>
        <w:jc w:val="both"/>
        <w:rPr>
          <w:rFonts w:ascii="Arial Narrow" w:hAnsi="Arial Narrow" w:cstheme="minorHAnsi"/>
        </w:rPr>
      </w:pPr>
    </w:p>
    <w:p w14:paraId="018B52BB" w14:textId="77777777" w:rsidR="00B018AC" w:rsidRDefault="008560EA" w:rsidP="008560EA">
      <w:pPr>
        <w:autoSpaceDE w:val="0"/>
        <w:autoSpaceDN w:val="0"/>
        <w:adjustRightInd w:val="0"/>
        <w:jc w:val="both"/>
        <w:rPr>
          <w:rFonts w:ascii="Arial Narrow" w:hAnsi="Arial Narrow" w:cstheme="minorHAnsi"/>
          <w:color w:val="FF0000"/>
        </w:rPr>
      </w:pPr>
      <w:r w:rsidRPr="004A612F">
        <w:rPr>
          <w:rFonts w:ascii="Arial Narrow" w:hAnsi="Arial Narrow" w:cstheme="minorHAnsi"/>
        </w:rPr>
        <w:t>Las entidades deberán identificar los principales factores que afectan a su capacidad de captar fondos u obtener recursos, vigilándolos estrechamente para asegurarse de la vigencia de las estimaciones para obtener financiamiento.</w:t>
      </w:r>
      <w:r w:rsidR="00B018AC">
        <w:rPr>
          <w:rFonts w:ascii="Arial Narrow" w:hAnsi="Arial Narrow" w:cstheme="minorHAnsi"/>
        </w:rPr>
        <w:t xml:space="preserve"> </w:t>
      </w:r>
      <w:r w:rsidRPr="004A612F">
        <w:rPr>
          <w:rFonts w:ascii="Arial Narrow" w:hAnsi="Arial Narrow" w:cstheme="minorHAnsi"/>
        </w:rPr>
        <w:t xml:space="preserve">Además deberán identificar a los clientes que afectarán la posición de liquidez de la </w:t>
      </w:r>
      <w:r w:rsidRPr="00DD2B1A">
        <w:rPr>
          <w:rFonts w:ascii="Arial Narrow" w:hAnsi="Arial Narrow" w:cstheme="minorHAnsi"/>
        </w:rPr>
        <w:t>entidad</w:t>
      </w:r>
      <w:r w:rsidR="00DD2B1A">
        <w:rPr>
          <w:rFonts w:ascii="Arial Narrow" w:hAnsi="Arial Narrow" w:cstheme="minorHAnsi"/>
        </w:rPr>
        <w:t>.</w:t>
      </w:r>
      <w:r w:rsidRPr="00DD2B1A">
        <w:rPr>
          <w:rFonts w:ascii="Arial Narrow" w:hAnsi="Arial Narrow" w:cstheme="minorHAnsi"/>
          <w:color w:val="FF0000"/>
        </w:rPr>
        <w:t xml:space="preserve"> </w:t>
      </w:r>
    </w:p>
    <w:p w14:paraId="018B52BE" w14:textId="77777777" w:rsidR="00724ABA" w:rsidRDefault="00724ABA" w:rsidP="008560EA">
      <w:pPr>
        <w:autoSpaceDE w:val="0"/>
        <w:autoSpaceDN w:val="0"/>
        <w:adjustRightInd w:val="0"/>
        <w:jc w:val="both"/>
        <w:rPr>
          <w:rFonts w:ascii="Arial Narrow" w:hAnsi="Arial Narrow" w:cstheme="minorHAnsi"/>
        </w:rPr>
      </w:pPr>
    </w:p>
    <w:p w14:paraId="018B52BF" w14:textId="77777777" w:rsidR="008560EA" w:rsidRPr="004A612F" w:rsidRDefault="008560EA" w:rsidP="008560EA">
      <w:pPr>
        <w:autoSpaceDE w:val="0"/>
        <w:autoSpaceDN w:val="0"/>
        <w:adjustRightInd w:val="0"/>
        <w:jc w:val="both"/>
        <w:rPr>
          <w:rFonts w:ascii="Arial Narrow" w:hAnsi="Arial Narrow" w:cstheme="minorHAnsi"/>
          <w:b/>
        </w:rPr>
      </w:pPr>
      <w:r w:rsidRPr="004A612F">
        <w:rPr>
          <w:rFonts w:ascii="Arial Narrow" w:hAnsi="Arial Narrow" w:cstheme="minorHAnsi"/>
          <w:b/>
        </w:rPr>
        <w:t xml:space="preserve">Medición </w:t>
      </w:r>
    </w:p>
    <w:p w14:paraId="018B52C0" w14:textId="77777777" w:rsidR="008560EA" w:rsidRPr="004A612F" w:rsidRDefault="008560EA" w:rsidP="008560EA">
      <w:pPr>
        <w:autoSpaceDE w:val="0"/>
        <w:autoSpaceDN w:val="0"/>
        <w:adjustRightInd w:val="0"/>
        <w:jc w:val="both"/>
        <w:rPr>
          <w:rFonts w:ascii="Arial Narrow" w:hAnsi="Arial Narrow" w:cstheme="minorHAnsi"/>
        </w:rPr>
      </w:pPr>
      <w:r w:rsidRPr="004A612F">
        <w:rPr>
          <w:rFonts w:ascii="Arial Narrow" w:hAnsi="Arial Narrow" w:cstheme="minorHAnsi"/>
          <w:b/>
        </w:rPr>
        <w:t xml:space="preserve">Art. 14.- </w:t>
      </w:r>
      <w:r w:rsidRPr="004A612F">
        <w:rPr>
          <w:rFonts w:ascii="Arial Narrow" w:hAnsi="Arial Narrow" w:cstheme="minorHAnsi"/>
        </w:rPr>
        <w:t>Las entidades debe</w:t>
      </w:r>
      <w:r w:rsidR="00F43442">
        <w:rPr>
          <w:rFonts w:ascii="Arial Narrow" w:hAnsi="Arial Narrow" w:cstheme="minorHAnsi"/>
        </w:rPr>
        <w:t>n</w:t>
      </w:r>
      <w:r w:rsidRPr="004A612F">
        <w:rPr>
          <w:rFonts w:ascii="Arial Narrow" w:hAnsi="Arial Narrow" w:cstheme="minorHAnsi"/>
        </w:rPr>
        <w:t xml:space="preserve"> cuantificar el riesgo de liquidez con el objeto de determinar el cumplimiento o adecuación de las políticas, límites fijados y medir el posible impacto económico en los resultados financieros.</w:t>
      </w:r>
    </w:p>
    <w:p w14:paraId="018B52C1" w14:textId="77777777" w:rsidR="008560EA" w:rsidRPr="004A612F" w:rsidRDefault="008560EA" w:rsidP="008560EA">
      <w:pPr>
        <w:autoSpaceDE w:val="0"/>
        <w:autoSpaceDN w:val="0"/>
        <w:adjustRightInd w:val="0"/>
        <w:jc w:val="both"/>
        <w:rPr>
          <w:rFonts w:ascii="Arial Narrow" w:hAnsi="Arial Narrow" w:cstheme="minorHAnsi"/>
        </w:rPr>
      </w:pPr>
    </w:p>
    <w:p w14:paraId="018B52C2" w14:textId="77777777" w:rsidR="008560EA" w:rsidRPr="004A612F" w:rsidRDefault="008560EA" w:rsidP="008560EA">
      <w:pPr>
        <w:autoSpaceDE w:val="0"/>
        <w:autoSpaceDN w:val="0"/>
        <w:adjustRightInd w:val="0"/>
        <w:jc w:val="both"/>
        <w:rPr>
          <w:rFonts w:ascii="Arial Narrow" w:hAnsi="Arial Narrow" w:cstheme="minorHAnsi"/>
        </w:rPr>
      </w:pPr>
      <w:r w:rsidRPr="004A612F">
        <w:rPr>
          <w:rFonts w:ascii="Arial Narrow" w:hAnsi="Arial Narrow" w:cstheme="minorHAnsi"/>
        </w:rPr>
        <w:t>Las entidades deben poseer herramientas de medición para determinar la exposición al riesgo de liquidez en el corto, mediano y largo plazo, tomando en cuenta las fuentes de liquidez, la volatilidad de activos, pasivos y posiciones fuera de balance; su experiencia histórica y proyecciones de negocio, adecuándose en función de la complejidad de las operaciones que desarrolla, entre otros aspectos.</w:t>
      </w:r>
    </w:p>
    <w:p w14:paraId="018B52C3" w14:textId="77777777" w:rsidR="008560EA" w:rsidRPr="004A612F" w:rsidRDefault="008560EA" w:rsidP="008560EA">
      <w:pPr>
        <w:autoSpaceDE w:val="0"/>
        <w:autoSpaceDN w:val="0"/>
        <w:adjustRightInd w:val="0"/>
        <w:jc w:val="both"/>
        <w:rPr>
          <w:rFonts w:ascii="Arial Narrow" w:hAnsi="Arial Narrow" w:cstheme="minorHAnsi"/>
        </w:rPr>
      </w:pPr>
    </w:p>
    <w:p w14:paraId="018B52C4" w14:textId="77777777" w:rsidR="008560EA" w:rsidRPr="004A612F" w:rsidRDefault="008560EA" w:rsidP="008560EA">
      <w:pPr>
        <w:autoSpaceDE w:val="0"/>
        <w:autoSpaceDN w:val="0"/>
        <w:adjustRightInd w:val="0"/>
        <w:jc w:val="both"/>
        <w:rPr>
          <w:rFonts w:ascii="Arial Narrow" w:hAnsi="Arial Narrow" w:cstheme="minorHAnsi"/>
        </w:rPr>
      </w:pPr>
      <w:r w:rsidRPr="004A612F">
        <w:rPr>
          <w:rFonts w:ascii="Arial Narrow" w:hAnsi="Arial Narrow" w:cstheme="minorHAnsi"/>
          <w:b/>
        </w:rPr>
        <w:t xml:space="preserve">Control y mitigación </w:t>
      </w:r>
    </w:p>
    <w:p w14:paraId="018B52C5" w14:textId="77777777" w:rsidR="008560EA" w:rsidRPr="004A612F" w:rsidRDefault="008560EA" w:rsidP="00C42BA1">
      <w:pPr>
        <w:widowControl w:val="0"/>
        <w:autoSpaceDE w:val="0"/>
        <w:autoSpaceDN w:val="0"/>
        <w:adjustRightInd w:val="0"/>
        <w:jc w:val="both"/>
        <w:rPr>
          <w:rFonts w:ascii="Arial Narrow" w:hAnsi="Arial Narrow" w:cstheme="minorHAnsi"/>
        </w:rPr>
      </w:pPr>
      <w:r w:rsidRPr="004A612F">
        <w:rPr>
          <w:rFonts w:ascii="Arial Narrow" w:hAnsi="Arial Narrow" w:cstheme="minorHAnsi"/>
          <w:b/>
        </w:rPr>
        <w:t>Art. 15.-</w:t>
      </w:r>
      <w:r w:rsidRPr="004A612F">
        <w:rPr>
          <w:rFonts w:ascii="Arial Narrow" w:hAnsi="Arial Narrow" w:cstheme="minorHAnsi"/>
        </w:rPr>
        <w:t xml:space="preserve"> Las entidades deben dar seguimiento permanentemente a los niveles de exposición del riesgo de liquidez y al cumplimiento de los límites de riesgos aprobados por la Junta Directiva, debiendo adoptar acciones inmediatas para los casos de incumplimiento. </w:t>
      </w:r>
    </w:p>
    <w:p w14:paraId="018B52C6" w14:textId="77777777" w:rsidR="008560EA" w:rsidRPr="004A612F" w:rsidRDefault="008560EA" w:rsidP="008560EA">
      <w:pPr>
        <w:autoSpaceDE w:val="0"/>
        <w:autoSpaceDN w:val="0"/>
        <w:adjustRightInd w:val="0"/>
        <w:jc w:val="both"/>
        <w:rPr>
          <w:rFonts w:ascii="Arial Narrow" w:hAnsi="Arial Narrow" w:cstheme="minorHAnsi"/>
        </w:rPr>
      </w:pPr>
    </w:p>
    <w:p w14:paraId="018B52C7" w14:textId="77777777" w:rsidR="008560EA" w:rsidRPr="005F4E69" w:rsidRDefault="00BE703C" w:rsidP="008560EA">
      <w:pPr>
        <w:autoSpaceDE w:val="0"/>
        <w:autoSpaceDN w:val="0"/>
        <w:adjustRightInd w:val="0"/>
        <w:jc w:val="both"/>
        <w:rPr>
          <w:rFonts w:ascii="Arial Narrow" w:hAnsi="Arial Narrow" w:cstheme="minorHAnsi"/>
        </w:rPr>
      </w:pPr>
      <w:r w:rsidRPr="005F4E69">
        <w:rPr>
          <w:rFonts w:ascii="Arial Narrow" w:hAnsi="Arial Narrow" w:cs="Calibri"/>
        </w:rPr>
        <w:t>Adicionalmente es fundamental la elaboración e implementación de un plan de contingencia de liquidez que incluya acciones a tomar en el caso de crisis</w:t>
      </w:r>
      <w:r w:rsidR="00876CAB">
        <w:rPr>
          <w:rFonts w:ascii="Arial Narrow" w:hAnsi="Arial Narrow" w:cs="Calibri"/>
        </w:rPr>
        <w:t xml:space="preserve"> </w:t>
      </w:r>
      <w:r w:rsidRPr="005F4E69">
        <w:rPr>
          <w:rFonts w:ascii="Arial Narrow" w:hAnsi="Arial Narrow" w:cs="Calibri"/>
        </w:rPr>
        <w:t>leves, s</w:t>
      </w:r>
      <w:r w:rsidR="00100EBC">
        <w:rPr>
          <w:rFonts w:ascii="Arial Narrow" w:hAnsi="Arial Narrow" w:cs="Calibri"/>
        </w:rPr>
        <w:t>everas, coyunturales o cíclicas</w:t>
      </w:r>
      <w:r w:rsidRPr="005F4E69">
        <w:rPr>
          <w:rFonts w:ascii="Arial Narrow" w:hAnsi="Arial Narrow" w:cs="Calibri"/>
        </w:rPr>
        <w:t xml:space="preserve"> y crisis sistémicas.</w:t>
      </w:r>
    </w:p>
    <w:p w14:paraId="018B52C9" w14:textId="77777777" w:rsidR="008560EA" w:rsidRPr="004A612F" w:rsidRDefault="008560EA" w:rsidP="008560EA">
      <w:pPr>
        <w:autoSpaceDE w:val="0"/>
        <w:autoSpaceDN w:val="0"/>
        <w:adjustRightInd w:val="0"/>
        <w:jc w:val="both"/>
        <w:rPr>
          <w:rFonts w:ascii="Arial Narrow" w:hAnsi="Arial Narrow" w:cstheme="minorHAnsi"/>
          <w:b/>
        </w:rPr>
      </w:pPr>
      <w:r w:rsidRPr="004A612F">
        <w:rPr>
          <w:rFonts w:ascii="Arial Narrow" w:hAnsi="Arial Narrow" w:cstheme="minorHAnsi"/>
          <w:b/>
        </w:rPr>
        <w:t xml:space="preserve">Monitoreo y comunicación </w:t>
      </w:r>
    </w:p>
    <w:p w14:paraId="018B52CA" w14:textId="77777777" w:rsidR="008560EA" w:rsidRPr="004A612F" w:rsidRDefault="008560EA" w:rsidP="008560EA">
      <w:pPr>
        <w:autoSpaceDE w:val="0"/>
        <w:autoSpaceDN w:val="0"/>
        <w:adjustRightInd w:val="0"/>
        <w:jc w:val="both"/>
        <w:rPr>
          <w:rFonts w:ascii="Arial Narrow" w:hAnsi="Arial Narrow" w:cstheme="minorHAnsi"/>
        </w:rPr>
      </w:pPr>
      <w:r w:rsidRPr="004A612F">
        <w:rPr>
          <w:rFonts w:ascii="Arial Narrow" w:hAnsi="Arial Narrow" w:cstheme="minorHAnsi"/>
          <w:b/>
        </w:rPr>
        <w:t>Art. 16.-</w:t>
      </w:r>
      <w:r w:rsidRPr="004A612F">
        <w:rPr>
          <w:rFonts w:ascii="Arial Narrow" w:hAnsi="Arial Narrow" w:cstheme="minorHAnsi"/>
        </w:rPr>
        <w:t xml:space="preserve"> Las entidades deben establecer un</w:t>
      </w:r>
      <w:r w:rsidRPr="004A612F">
        <w:rPr>
          <w:rFonts w:ascii="Arial Narrow" w:hAnsi="Arial Narrow" w:cstheme="minorHAnsi"/>
          <w:b/>
        </w:rPr>
        <w:t xml:space="preserve"> </w:t>
      </w:r>
      <w:r w:rsidRPr="004A612F">
        <w:rPr>
          <w:rFonts w:ascii="Arial Narrow" w:hAnsi="Arial Narrow" w:cstheme="minorHAnsi"/>
        </w:rPr>
        <w:t>proceso de evaluación continua de las posiciones de riesgo de liquidez asumidas, así como el funcionamiento de todo el sistema de gestión del riesgo de liquidez. Este proceso debe detectar y corregir anticipadamente las deficiencias que pudieran existir en la aplicación de políticas, el desarrollo de procesos, procedimientos y cualquier otro aspecto relacionado con la gestión del riesgo de liquidez.</w:t>
      </w:r>
    </w:p>
    <w:p w14:paraId="018B52CB" w14:textId="77777777" w:rsidR="008560EA" w:rsidRPr="004A612F" w:rsidRDefault="008560EA" w:rsidP="008560EA">
      <w:pPr>
        <w:autoSpaceDE w:val="0"/>
        <w:autoSpaceDN w:val="0"/>
        <w:adjustRightInd w:val="0"/>
        <w:jc w:val="both"/>
        <w:rPr>
          <w:rFonts w:ascii="Arial Narrow" w:hAnsi="Arial Narrow" w:cstheme="minorHAnsi"/>
          <w:b/>
        </w:rPr>
      </w:pPr>
    </w:p>
    <w:p w14:paraId="018B52CC" w14:textId="77777777" w:rsidR="008560EA" w:rsidRPr="004A612F" w:rsidRDefault="008560EA" w:rsidP="008560EA">
      <w:pPr>
        <w:autoSpaceDE w:val="0"/>
        <w:autoSpaceDN w:val="0"/>
        <w:adjustRightInd w:val="0"/>
        <w:jc w:val="both"/>
        <w:rPr>
          <w:rFonts w:ascii="Arial Narrow" w:hAnsi="Arial Narrow" w:cstheme="minorHAnsi"/>
        </w:rPr>
      </w:pPr>
      <w:r w:rsidRPr="004A612F">
        <w:rPr>
          <w:rFonts w:ascii="Arial Narrow" w:hAnsi="Arial Narrow" w:cstheme="minorHAnsi"/>
        </w:rPr>
        <w:t>Por consiguiente, debe producir reportes sobre los resultados de este proceso de seguimiento y monitoreo, los cuales deben ser analizados y evaluados en las reuniones del Comité de Riesgos.</w:t>
      </w:r>
    </w:p>
    <w:p w14:paraId="018B52CD" w14:textId="77777777" w:rsidR="008560EA" w:rsidRPr="004A612F" w:rsidRDefault="008560EA" w:rsidP="008560EA">
      <w:pPr>
        <w:autoSpaceDE w:val="0"/>
        <w:autoSpaceDN w:val="0"/>
        <w:adjustRightInd w:val="0"/>
        <w:jc w:val="both"/>
        <w:rPr>
          <w:rFonts w:ascii="Arial Narrow" w:hAnsi="Arial Narrow" w:cstheme="minorHAnsi"/>
          <w:b/>
        </w:rPr>
      </w:pPr>
    </w:p>
    <w:p w14:paraId="018B52CE" w14:textId="77777777" w:rsidR="008560EA" w:rsidRPr="004A612F" w:rsidRDefault="008560EA" w:rsidP="008560EA">
      <w:pPr>
        <w:autoSpaceDE w:val="0"/>
        <w:autoSpaceDN w:val="0"/>
        <w:adjustRightInd w:val="0"/>
        <w:jc w:val="both"/>
        <w:rPr>
          <w:rFonts w:ascii="Arial Narrow" w:hAnsi="Arial Narrow" w:cstheme="minorHAnsi"/>
        </w:rPr>
      </w:pPr>
      <w:r w:rsidRPr="004A612F">
        <w:rPr>
          <w:rFonts w:ascii="Arial Narrow" w:hAnsi="Arial Narrow" w:cstheme="minorHAnsi"/>
        </w:rPr>
        <w:t>Además, las entidades deben divulgar y distribuir información apropiada sobre la posición de liquidez y los mecanismos de gestión a la Junta Directiva, Alta Gerencia y personal de acuerdo a las políticas adoptadas internamente para este propósito específico.</w:t>
      </w:r>
    </w:p>
    <w:p w14:paraId="018B52CF" w14:textId="77777777" w:rsidR="008560EA" w:rsidRPr="004A612F" w:rsidRDefault="008560EA" w:rsidP="008560EA">
      <w:pPr>
        <w:autoSpaceDE w:val="0"/>
        <w:autoSpaceDN w:val="0"/>
        <w:adjustRightInd w:val="0"/>
        <w:jc w:val="both"/>
        <w:rPr>
          <w:rFonts w:ascii="Arial Narrow" w:hAnsi="Arial Narrow" w:cstheme="minorHAnsi"/>
          <w:b/>
        </w:rPr>
      </w:pPr>
    </w:p>
    <w:p w14:paraId="018B52D0" w14:textId="77777777" w:rsidR="008560EA" w:rsidRPr="004A612F" w:rsidRDefault="008560EA" w:rsidP="008560EA">
      <w:pPr>
        <w:autoSpaceDE w:val="0"/>
        <w:autoSpaceDN w:val="0"/>
        <w:adjustRightInd w:val="0"/>
        <w:jc w:val="both"/>
        <w:rPr>
          <w:rFonts w:ascii="Arial Narrow" w:hAnsi="Arial Narrow" w:cstheme="minorHAnsi"/>
        </w:rPr>
      </w:pPr>
      <w:r w:rsidRPr="004A612F">
        <w:rPr>
          <w:rFonts w:ascii="Arial Narrow" w:hAnsi="Arial Narrow" w:cstheme="minorHAnsi"/>
          <w:b/>
        </w:rPr>
        <w:t>Art. 17.-</w:t>
      </w:r>
      <w:r w:rsidRPr="004A612F">
        <w:rPr>
          <w:rFonts w:ascii="Arial Narrow" w:hAnsi="Arial Narrow" w:cstheme="minorHAnsi"/>
        </w:rPr>
        <w:t xml:space="preserve"> Las </w:t>
      </w:r>
      <w:r w:rsidRPr="00116207">
        <w:rPr>
          <w:rFonts w:ascii="Arial Narrow" w:hAnsi="Arial Narrow" w:cstheme="minorHAnsi"/>
        </w:rPr>
        <w:t xml:space="preserve">entidades </w:t>
      </w:r>
      <w:r w:rsidR="00F43442" w:rsidRPr="00116207">
        <w:rPr>
          <w:rFonts w:ascii="Arial Narrow" w:hAnsi="Arial Narrow" w:cstheme="minorHAnsi"/>
        </w:rPr>
        <w:t xml:space="preserve">deben </w:t>
      </w:r>
      <w:r w:rsidRPr="00116207">
        <w:rPr>
          <w:rFonts w:ascii="Arial Narrow" w:hAnsi="Arial Narrow" w:cstheme="minorHAnsi"/>
        </w:rPr>
        <w:t>desarrollar</w:t>
      </w:r>
      <w:r w:rsidRPr="004A612F">
        <w:rPr>
          <w:rFonts w:ascii="Arial Narrow" w:hAnsi="Arial Narrow" w:cstheme="minorHAnsi"/>
        </w:rPr>
        <w:t xml:space="preserve"> e implementar sistemas de información, bases de datos y mecanismos de divulgación que le permita mantener los niveles de exposición al riesgo bajo control y efectuar seguimiento oportuno al riesgo de liquidez.</w:t>
      </w:r>
    </w:p>
    <w:p w14:paraId="018B52D1" w14:textId="77777777" w:rsidR="002776F1" w:rsidRDefault="002776F1" w:rsidP="008560EA">
      <w:pPr>
        <w:autoSpaceDE w:val="0"/>
        <w:autoSpaceDN w:val="0"/>
        <w:adjustRightInd w:val="0"/>
        <w:jc w:val="both"/>
        <w:rPr>
          <w:rFonts w:ascii="Arial Narrow" w:hAnsi="Arial Narrow" w:cstheme="minorHAnsi"/>
        </w:rPr>
      </w:pPr>
    </w:p>
    <w:p w14:paraId="018B52D2" w14:textId="77777777" w:rsidR="008560EA" w:rsidRPr="00D74E5E" w:rsidRDefault="008560EA" w:rsidP="008560EA">
      <w:pPr>
        <w:autoSpaceDE w:val="0"/>
        <w:autoSpaceDN w:val="0"/>
        <w:adjustRightInd w:val="0"/>
        <w:jc w:val="both"/>
        <w:rPr>
          <w:rFonts w:ascii="Arial Narrow" w:hAnsi="Arial Narrow" w:cstheme="minorHAnsi"/>
          <w:b/>
          <w:color w:val="FF0000"/>
        </w:rPr>
      </w:pPr>
      <w:r w:rsidRPr="00116207">
        <w:rPr>
          <w:rFonts w:ascii="Arial Narrow" w:hAnsi="Arial Narrow" w:cstheme="minorHAnsi"/>
          <w:b/>
        </w:rPr>
        <w:t>Pruebas de tensión</w:t>
      </w:r>
      <w:r w:rsidR="00204D71">
        <w:rPr>
          <w:rFonts w:ascii="Arial Narrow" w:hAnsi="Arial Narrow" w:cstheme="minorHAnsi"/>
          <w:b/>
          <w:color w:val="FF0000"/>
        </w:rPr>
        <w:t xml:space="preserve"> </w:t>
      </w:r>
    </w:p>
    <w:p w14:paraId="018B52D3" w14:textId="77777777" w:rsidR="00DD2B1A" w:rsidRDefault="008560EA" w:rsidP="005A2FE1">
      <w:pPr>
        <w:autoSpaceDE w:val="0"/>
        <w:autoSpaceDN w:val="0"/>
        <w:adjustRightInd w:val="0"/>
        <w:spacing w:after="120"/>
        <w:jc w:val="both"/>
        <w:rPr>
          <w:rFonts w:ascii="Arial Narrow" w:hAnsi="Arial Narrow" w:cstheme="minorHAnsi"/>
        </w:rPr>
      </w:pPr>
      <w:r w:rsidRPr="004A612F">
        <w:rPr>
          <w:rFonts w:ascii="Arial Narrow" w:hAnsi="Arial Narrow" w:cstheme="minorHAnsi"/>
          <w:b/>
        </w:rPr>
        <w:t>Art. 18.-</w:t>
      </w:r>
      <w:r w:rsidRPr="004A612F">
        <w:rPr>
          <w:rFonts w:ascii="Arial Narrow" w:hAnsi="Arial Narrow" w:cstheme="minorHAnsi"/>
        </w:rPr>
        <w:t xml:space="preserve"> Las entidades deben efectuar pruebas de tensión cada </w:t>
      </w:r>
      <w:r w:rsidR="00116207" w:rsidRPr="00100EBC">
        <w:rPr>
          <w:rFonts w:ascii="Arial Narrow" w:hAnsi="Arial Narrow" w:cstheme="minorHAnsi"/>
        </w:rPr>
        <w:t xml:space="preserve">seis </w:t>
      </w:r>
      <w:r w:rsidRPr="004A612F">
        <w:rPr>
          <w:rFonts w:ascii="Arial Narrow" w:hAnsi="Arial Narrow" w:cstheme="minorHAnsi"/>
        </w:rPr>
        <w:t>meses que comprendan como mínimo</w:t>
      </w:r>
      <w:r w:rsidR="00DD2B1A">
        <w:rPr>
          <w:rFonts w:ascii="Arial Narrow" w:hAnsi="Arial Narrow" w:cstheme="minorHAnsi"/>
        </w:rPr>
        <w:t>:</w:t>
      </w:r>
    </w:p>
    <w:p w14:paraId="018B52D4" w14:textId="77777777" w:rsidR="00E273FE" w:rsidRPr="00100EBC" w:rsidRDefault="00DA3672" w:rsidP="00E273FE">
      <w:pPr>
        <w:pStyle w:val="Prrafodelista"/>
        <w:numPr>
          <w:ilvl w:val="0"/>
          <w:numId w:val="11"/>
        </w:numPr>
        <w:autoSpaceDE w:val="0"/>
        <w:autoSpaceDN w:val="0"/>
        <w:adjustRightInd w:val="0"/>
        <w:ind w:left="567" w:hanging="567"/>
        <w:jc w:val="both"/>
        <w:rPr>
          <w:rFonts w:ascii="Arial Narrow" w:hAnsi="Arial Narrow" w:cstheme="minorHAnsi"/>
          <w:szCs w:val="24"/>
          <w:lang w:val="es-SV"/>
        </w:rPr>
      </w:pPr>
      <w:r w:rsidRPr="00100EBC">
        <w:rPr>
          <w:rFonts w:ascii="Arial Narrow" w:hAnsi="Arial Narrow" w:cstheme="minorHAnsi"/>
          <w:szCs w:val="24"/>
          <w:lang w:val="es-SV"/>
        </w:rPr>
        <w:t xml:space="preserve">Un </w:t>
      </w:r>
      <w:r w:rsidR="005E37C6" w:rsidRPr="00100EBC">
        <w:rPr>
          <w:rFonts w:ascii="Arial Narrow" w:hAnsi="Arial Narrow" w:cstheme="minorHAnsi"/>
          <w:szCs w:val="24"/>
          <w:lang w:val="es-SV"/>
        </w:rPr>
        <w:t>escenario</w:t>
      </w:r>
      <w:r w:rsidR="00EE337D" w:rsidRPr="00100EBC">
        <w:rPr>
          <w:rFonts w:ascii="Arial Narrow" w:hAnsi="Arial Narrow" w:cstheme="minorHAnsi"/>
          <w:szCs w:val="24"/>
          <w:lang w:val="es-SV"/>
        </w:rPr>
        <w:t xml:space="preserve"> de tens</w:t>
      </w:r>
      <w:r w:rsidR="00B40B28" w:rsidRPr="00100EBC">
        <w:rPr>
          <w:rFonts w:ascii="Arial Narrow" w:hAnsi="Arial Narrow" w:cstheme="minorHAnsi"/>
          <w:szCs w:val="24"/>
          <w:lang w:val="es-SV"/>
        </w:rPr>
        <w:t xml:space="preserve">ión propio </w:t>
      </w:r>
      <w:r w:rsidR="007418F6" w:rsidRPr="00100EBC">
        <w:rPr>
          <w:rFonts w:ascii="Arial Narrow" w:hAnsi="Arial Narrow" w:cstheme="minorHAnsi"/>
          <w:szCs w:val="24"/>
          <w:lang w:val="es-SV"/>
        </w:rPr>
        <w:t>basado en las operaciones que realizan de conformidad a los supuestos o premisas que en lo particular establezca</w:t>
      </w:r>
      <w:r w:rsidR="005E37C6" w:rsidRPr="00100EBC">
        <w:rPr>
          <w:rFonts w:ascii="Arial Narrow" w:hAnsi="Arial Narrow" w:cstheme="minorHAnsi"/>
          <w:szCs w:val="24"/>
          <w:lang w:val="es-SV"/>
        </w:rPr>
        <w:t xml:space="preserve"> la entidad</w:t>
      </w:r>
      <w:r w:rsidR="005A2C67" w:rsidRPr="00100EBC">
        <w:rPr>
          <w:rFonts w:ascii="Arial Narrow" w:hAnsi="Arial Narrow" w:cstheme="minorHAnsi"/>
          <w:szCs w:val="24"/>
          <w:lang w:val="es-SV"/>
        </w:rPr>
        <w:t xml:space="preserve">; </w:t>
      </w:r>
      <w:r w:rsidR="00E273FE" w:rsidRPr="00100EBC">
        <w:rPr>
          <w:rFonts w:ascii="Arial Narrow" w:hAnsi="Arial Narrow" w:cstheme="minorHAnsi"/>
          <w:szCs w:val="24"/>
          <w:lang w:val="es-SV"/>
        </w:rPr>
        <w:t>y</w:t>
      </w:r>
    </w:p>
    <w:p w14:paraId="018B52D5" w14:textId="77777777" w:rsidR="00764293" w:rsidRDefault="00764293" w:rsidP="008560EA">
      <w:pPr>
        <w:pStyle w:val="Prrafodelista"/>
        <w:numPr>
          <w:ilvl w:val="0"/>
          <w:numId w:val="11"/>
        </w:numPr>
        <w:autoSpaceDE w:val="0"/>
        <w:autoSpaceDN w:val="0"/>
        <w:adjustRightInd w:val="0"/>
        <w:ind w:left="567" w:hanging="567"/>
        <w:jc w:val="both"/>
        <w:rPr>
          <w:rFonts w:ascii="Arial Narrow" w:hAnsi="Arial Narrow" w:cstheme="minorHAnsi"/>
          <w:szCs w:val="24"/>
          <w:lang w:val="es-SV"/>
        </w:rPr>
      </w:pPr>
      <w:r w:rsidRPr="00100EBC">
        <w:rPr>
          <w:rFonts w:ascii="Arial Narrow" w:hAnsi="Arial Narrow" w:cstheme="minorHAnsi"/>
          <w:szCs w:val="24"/>
          <w:lang w:val="es-SV"/>
        </w:rPr>
        <w:t xml:space="preserve">Un escenario de tensión en base a los supuestos o premisas especificadas en el </w:t>
      </w:r>
      <w:r w:rsidR="00DE7EC0" w:rsidRPr="00100EBC">
        <w:rPr>
          <w:rFonts w:ascii="Arial Narrow" w:hAnsi="Arial Narrow" w:cstheme="minorHAnsi"/>
          <w:szCs w:val="24"/>
          <w:lang w:val="es-SV"/>
        </w:rPr>
        <w:t>Anexo No. 2</w:t>
      </w:r>
      <w:r w:rsidR="00DA3672" w:rsidRPr="00100EBC">
        <w:rPr>
          <w:rFonts w:ascii="Arial Narrow" w:hAnsi="Arial Narrow" w:cstheme="minorHAnsi"/>
          <w:szCs w:val="24"/>
          <w:lang w:val="es-SV"/>
        </w:rPr>
        <w:t>.</w:t>
      </w:r>
      <w:r w:rsidR="0081157F">
        <w:rPr>
          <w:rFonts w:ascii="Arial Narrow" w:hAnsi="Arial Narrow" w:cstheme="minorHAnsi"/>
          <w:szCs w:val="24"/>
          <w:lang w:val="es-SV"/>
        </w:rPr>
        <w:t xml:space="preserve"> Se exceptúa de esta obligación al Banco de Desarrollo de El Salvador</w:t>
      </w:r>
      <w:r w:rsidR="00940C64">
        <w:rPr>
          <w:rFonts w:ascii="Arial Narrow" w:hAnsi="Arial Narrow" w:cstheme="minorHAnsi"/>
          <w:szCs w:val="24"/>
          <w:lang w:val="es-SV"/>
        </w:rPr>
        <w:t>.</w:t>
      </w:r>
      <w:r w:rsidR="00DE7EC0" w:rsidRPr="00100EBC">
        <w:rPr>
          <w:rFonts w:ascii="Arial Narrow" w:hAnsi="Arial Narrow" w:cstheme="minorHAnsi"/>
          <w:szCs w:val="24"/>
          <w:lang w:val="es-SV"/>
        </w:rPr>
        <w:t xml:space="preserve"> </w:t>
      </w:r>
    </w:p>
    <w:p w14:paraId="018B52D6" w14:textId="77777777" w:rsidR="00E7017B" w:rsidRDefault="00E7017B" w:rsidP="00DA3672">
      <w:pPr>
        <w:autoSpaceDE w:val="0"/>
        <w:autoSpaceDN w:val="0"/>
        <w:adjustRightInd w:val="0"/>
        <w:jc w:val="both"/>
        <w:rPr>
          <w:rFonts w:ascii="Arial Narrow" w:hAnsi="Arial Narrow" w:cstheme="minorHAnsi"/>
        </w:rPr>
      </w:pPr>
    </w:p>
    <w:p w14:paraId="018B52D7" w14:textId="77777777" w:rsidR="008560EA" w:rsidRPr="004A612F" w:rsidRDefault="008560EA" w:rsidP="00DA3672">
      <w:pPr>
        <w:autoSpaceDE w:val="0"/>
        <w:autoSpaceDN w:val="0"/>
        <w:adjustRightInd w:val="0"/>
        <w:jc w:val="both"/>
        <w:rPr>
          <w:rFonts w:ascii="Arial Narrow" w:hAnsi="Arial Narrow" w:cstheme="minorHAnsi"/>
        </w:rPr>
      </w:pPr>
      <w:r w:rsidRPr="004A612F">
        <w:rPr>
          <w:rFonts w:ascii="Arial Narrow" w:hAnsi="Arial Narrow" w:cstheme="minorHAnsi"/>
        </w:rPr>
        <w:t>El alcance y los supuestos a utilizarse en las pruebas de tensión dependerán de la naturaleza, complejidad, vulnerabilidad y volumen de las operaciones que realiza la entidad, así como de su exposición al riesgo de liquidez. El análisis debe considerar diferentes horizontes de tiempo, así como aspectos del comportamiento del mercado y de las condiciones macroeconómicas locales e internacionales.</w:t>
      </w:r>
    </w:p>
    <w:p w14:paraId="018B52D8" w14:textId="77777777" w:rsidR="00DA3672" w:rsidRDefault="00DA3672" w:rsidP="00DA3672">
      <w:pPr>
        <w:autoSpaceDE w:val="0"/>
        <w:autoSpaceDN w:val="0"/>
        <w:adjustRightInd w:val="0"/>
        <w:jc w:val="both"/>
        <w:rPr>
          <w:rFonts w:ascii="Arial Narrow" w:hAnsi="Arial Narrow" w:cstheme="minorHAnsi"/>
        </w:rPr>
      </w:pPr>
    </w:p>
    <w:p w14:paraId="018B52D9" w14:textId="77777777" w:rsidR="008560EA" w:rsidRPr="00100EBC" w:rsidRDefault="00DA3672" w:rsidP="00DA3672">
      <w:pPr>
        <w:autoSpaceDE w:val="0"/>
        <w:autoSpaceDN w:val="0"/>
        <w:adjustRightInd w:val="0"/>
        <w:jc w:val="both"/>
        <w:rPr>
          <w:rFonts w:ascii="Arial Narrow" w:hAnsi="Arial Narrow" w:cstheme="minorHAnsi"/>
        </w:rPr>
      </w:pPr>
      <w:r w:rsidRPr="00100EBC">
        <w:rPr>
          <w:rFonts w:ascii="Arial Narrow" w:hAnsi="Arial Narrow" w:cstheme="minorHAnsi"/>
        </w:rPr>
        <w:t>Los escenarios de las pruebas de tensión</w:t>
      </w:r>
      <w:r w:rsidR="00835C02">
        <w:rPr>
          <w:rFonts w:ascii="Arial Narrow" w:hAnsi="Arial Narrow" w:cstheme="minorHAnsi"/>
        </w:rPr>
        <w:t xml:space="preserve"> </w:t>
      </w:r>
      <w:r w:rsidR="00835C02" w:rsidRPr="00393507">
        <w:rPr>
          <w:rFonts w:ascii="Arial Narrow" w:hAnsi="Arial Narrow" w:cstheme="minorHAnsi"/>
        </w:rPr>
        <w:t>con las premisas que lo soportan,</w:t>
      </w:r>
      <w:r w:rsidR="002808BA">
        <w:rPr>
          <w:rFonts w:ascii="Arial Narrow" w:hAnsi="Arial Narrow" w:cstheme="minorHAnsi"/>
        </w:rPr>
        <w:t xml:space="preserve"> </w:t>
      </w:r>
      <w:r w:rsidRPr="00100EBC">
        <w:rPr>
          <w:rFonts w:ascii="Arial Narrow" w:hAnsi="Arial Narrow" w:cstheme="minorHAnsi"/>
        </w:rPr>
        <w:t>serán r</w:t>
      </w:r>
      <w:r w:rsidR="0023357E" w:rsidRPr="00100EBC">
        <w:rPr>
          <w:rFonts w:ascii="Arial Narrow" w:hAnsi="Arial Narrow" w:cstheme="minorHAnsi"/>
        </w:rPr>
        <w:t>emitidos a la Superintendencia, en el p</w:t>
      </w:r>
      <w:r w:rsidR="009A7B34" w:rsidRPr="00100EBC">
        <w:rPr>
          <w:rFonts w:ascii="Arial Narrow" w:hAnsi="Arial Narrow" w:cstheme="minorHAnsi"/>
        </w:rPr>
        <w:t xml:space="preserve">lazo establecido en el </w:t>
      </w:r>
      <w:r w:rsidR="0023357E" w:rsidRPr="00100EBC">
        <w:rPr>
          <w:rFonts w:ascii="Arial Narrow" w:hAnsi="Arial Narrow" w:cstheme="minorHAnsi"/>
        </w:rPr>
        <w:t>artículo 21 literal b) de las presentes Normas.</w:t>
      </w:r>
    </w:p>
    <w:p w14:paraId="018B52DA" w14:textId="77777777" w:rsidR="00DA3672" w:rsidRDefault="00DA3672" w:rsidP="008560EA">
      <w:pPr>
        <w:autoSpaceDE w:val="0"/>
        <w:autoSpaceDN w:val="0"/>
        <w:adjustRightInd w:val="0"/>
        <w:jc w:val="both"/>
        <w:rPr>
          <w:rFonts w:ascii="Arial Narrow" w:hAnsi="Arial Narrow" w:cstheme="minorHAnsi"/>
          <w:b/>
        </w:rPr>
      </w:pPr>
    </w:p>
    <w:p w14:paraId="018B52DB" w14:textId="77777777" w:rsidR="008560EA" w:rsidRPr="00803BEE" w:rsidRDefault="008560EA" w:rsidP="008560EA">
      <w:pPr>
        <w:autoSpaceDE w:val="0"/>
        <w:autoSpaceDN w:val="0"/>
        <w:adjustRightInd w:val="0"/>
        <w:jc w:val="both"/>
        <w:rPr>
          <w:rFonts w:ascii="Arial Narrow" w:hAnsi="Arial Narrow" w:cstheme="minorHAnsi"/>
          <w:b/>
        </w:rPr>
      </w:pPr>
      <w:r w:rsidRPr="00803BEE">
        <w:rPr>
          <w:rFonts w:ascii="Arial Narrow" w:hAnsi="Arial Narrow" w:cstheme="minorHAnsi"/>
          <w:b/>
        </w:rPr>
        <w:t>Plan de contingencia de liquidez</w:t>
      </w:r>
    </w:p>
    <w:p w14:paraId="018B52DC" w14:textId="77777777" w:rsidR="008560EA" w:rsidRPr="004A612F" w:rsidRDefault="008560EA" w:rsidP="008560EA">
      <w:pPr>
        <w:pStyle w:val="Default"/>
        <w:spacing w:after="120"/>
        <w:jc w:val="both"/>
        <w:rPr>
          <w:rFonts w:cstheme="minorHAnsi"/>
        </w:rPr>
      </w:pPr>
      <w:r w:rsidRPr="004A612F">
        <w:rPr>
          <w:rFonts w:cstheme="minorHAnsi"/>
          <w:b/>
        </w:rPr>
        <w:t>Art. 19.-</w:t>
      </w:r>
      <w:r w:rsidRPr="004A612F">
        <w:rPr>
          <w:rFonts w:cstheme="minorHAnsi"/>
        </w:rPr>
        <w:t xml:space="preserve"> Las entidades deben elaborar un plan de contingencia que contenga la estrategia para manejar las crisis de liquidez y que permita afrontar situaciones atípicas o extremas. Para su formulación, la entidad debe definir acciones que incluyan fuentes idóneas de financiamiento y criterios claros para su activación. Entre otros aspectos, debe contener información actualizada sobre:</w:t>
      </w:r>
    </w:p>
    <w:p w14:paraId="018B52DD" w14:textId="77777777" w:rsidR="008560EA" w:rsidRPr="004A612F" w:rsidRDefault="0046790A" w:rsidP="00AA09D7">
      <w:pPr>
        <w:numPr>
          <w:ilvl w:val="0"/>
          <w:numId w:val="3"/>
        </w:numPr>
        <w:autoSpaceDE w:val="0"/>
        <w:autoSpaceDN w:val="0"/>
        <w:adjustRightInd w:val="0"/>
        <w:ind w:left="567" w:hanging="567"/>
        <w:jc w:val="both"/>
        <w:rPr>
          <w:rFonts w:ascii="Arial Narrow" w:hAnsi="Arial Narrow" w:cstheme="minorHAnsi"/>
        </w:rPr>
      </w:pPr>
      <w:r>
        <w:rPr>
          <w:rFonts w:ascii="Arial Narrow" w:hAnsi="Arial Narrow" w:cstheme="minorHAnsi"/>
        </w:rPr>
        <w:t>R</w:t>
      </w:r>
      <w:r w:rsidR="008560EA" w:rsidRPr="004A612F">
        <w:rPr>
          <w:rFonts w:ascii="Arial Narrow" w:hAnsi="Arial Narrow" w:cstheme="minorHAnsi"/>
        </w:rPr>
        <w:t>oles y responsabilidades de las áreas involucradas en la implementación del plan de contingencia;</w:t>
      </w:r>
    </w:p>
    <w:p w14:paraId="018B52DE" w14:textId="77777777" w:rsidR="008560EA" w:rsidRPr="004A612F" w:rsidRDefault="0046790A" w:rsidP="00AA09D7">
      <w:pPr>
        <w:numPr>
          <w:ilvl w:val="0"/>
          <w:numId w:val="3"/>
        </w:numPr>
        <w:autoSpaceDE w:val="0"/>
        <w:autoSpaceDN w:val="0"/>
        <w:adjustRightInd w:val="0"/>
        <w:ind w:left="567" w:hanging="567"/>
        <w:jc w:val="both"/>
        <w:rPr>
          <w:rFonts w:ascii="Arial Narrow" w:hAnsi="Arial Narrow" w:cstheme="minorHAnsi"/>
        </w:rPr>
      </w:pPr>
      <w:r>
        <w:rPr>
          <w:rFonts w:ascii="Arial Narrow" w:hAnsi="Arial Narrow" w:cstheme="minorHAnsi"/>
        </w:rPr>
        <w:t>E</w:t>
      </w:r>
      <w:r w:rsidR="008560EA" w:rsidRPr="004A612F">
        <w:rPr>
          <w:rFonts w:ascii="Arial Narrow" w:hAnsi="Arial Narrow" w:cstheme="minorHAnsi"/>
        </w:rPr>
        <w:t>ventos o indicadores que activen el plan de contingencia de liquidez;</w:t>
      </w:r>
    </w:p>
    <w:p w14:paraId="018B52DF" w14:textId="77777777" w:rsidR="008560EA" w:rsidRPr="004A612F" w:rsidRDefault="0046790A" w:rsidP="00AA09D7">
      <w:pPr>
        <w:numPr>
          <w:ilvl w:val="0"/>
          <w:numId w:val="3"/>
        </w:numPr>
        <w:autoSpaceDE w:val="0"/>
        <w:autoSpaceDN w:val="0"/>
        <w:adjustRightInd w:val="0"/>
        <w:ind w:left="567" w:hanging="567"/>
        <w:jc w:val="both"/>
        <w:rPr>
          <w:rFonts w:ascii="Arial Narrow" w:hAnsi="Arial Narrow" w:cstheme="minorHAnsi"/>
        </w:rPr>
      </w:pPr>
      <w:r>
        <w:rPr>
          <w:rFonts w:ascii="Arial Narrow" w:hAnsi="Arial Narrow" w:cstheme="minorHAnsi"/>
        </w:rPr>
        <w:t>E</w:t>
      </w:r>
      <w:r w:rsidR="008560EA" w:rsidRPr="004A612F">
        <w:rPr>
          <w:rFonts w:ascii="Arial Narrow" w:hAnsi="Arial Narrow" w:cstheme="minorHAnsi"/>
        </w:rPr>
        <w:t>strategia para administrar una eventual falta de liquidez a nivel de la entidad o sistémica;</w:t>
      </w:r>
    </w:p>
    <w:p w14:paraId="018B52E0" w14:textId="77777777" w:rsidR="008560EA" w:rsidRPr="004A612F" w:rsidRDefault="0046790A" w:rsidP="00AA09D7">
      <w:pPr>
        <w:numPr>
          <w:ilvl w:val="0"/>
          <w:numId w:val="3"/>
        </w:numPr>
        <w:autoSpaceDE w:val="0"/>
        <w:autoSpaceDN w:val="0"/>
        <w:adjustRightInd w:val="0"/>
        <w:ind w:left="567" w:hanging="567"/>
        <w:jc w:val="both"/>
        <w:rPr>
          <w:rFonts w:ascii="Arial Narrow" w:hAnsi="Arial Narrow" w:cstheme="minorHAnsi"/>
        </w:rPr>
      </w:pPr>
      <w:r>
        <w:rPr>
          <w:rFonts w:ascii="Arial Narrow" w:hAnsi="Arial Narrow" w:cstheme="minorHAnsi"/>
        </w:rPr>
        <w:t>I</w:t>
      </w:r>
      <w:r w:rsidR="008560EA" w:rsidRPr="004A612F">
        <w:rPr>
          <w:rFonts w:ascii="Arial Narrow" w:hAnsi="Arial Narrow" w:cstheme="minorHAnsi"/>
        </w:rPr>
        <w:t>dentificación de fuentes de fondeo alternas externas e internas necesarias para enfrentar la crisis de liquidez, incluyendo líneas de crédito contingenciales. Las necesidades de fondos deben estar respaldadas por escenarios de tensión para los factores de riesgos identificados;</w:t>
      </w:r>
    </w:p>
    <w:p w14:paraId="018B52E1" w14:textId="77777777" w:rsidR="008560EA" w:rsidRPr="004A612F" w:rsidRDefault="0046790A" w:rsidP="00AA09D7">
      <w:pPr>
        <w:numPr>
          <w:ilvl w:val="0"/>
          <w:numId w:val="3"/>
        </w:numPr>
        <w:autoSpaceDE w:val="0"/>
        <w:autoSpaceDN w:val="0"/>
        <w:adjustRightInd w:val="0"/>
        <w:ind w:left="567" w:hanging="567"/>
        <w:jc w:val="both"/>
        <w:rPr>
          <w:rFonts w:ascii="Arial Narrow" w:hAnsi="Arial Narrow" w:cstheme="minorHAnsi"/>
        </w:rPr>
      </w:pPr>
      <w:r>
        <w:rPr>
          <w:rFonts w:ascii="Arial Narrow" w:hAnsi="Arial Narrow" w:cstheme="minorHAnsi"/>
        </w:rPr>
        <w:t>C</w:t>
      </w:r>
      <w:r w:rsidR="008560EA" w:rsidRPr="004A612F">
        <w:rPr>
          <w:rFonts w:ascii="Arial Narrow" w:hAnsi="Arial Narrow" w:cstheme="minorHAnsi"/>
        </w:rPr>
        <w:t>anales de comunicación internos y externos, con los reportes mínimos que se generarán, detallando periodicidad y ejecutivos responsables y/o involucrados;</w:t>
      </w:r>
    </w:p>
    <w:p w14:paraId="018B52E2" w14:textId="77777777" w:rsidR="008560EA" w:rsidRPr="004A612F" w:rsidRDefault="004407FD" w:rsidP="00AA09D7">
      <w:pPr>
        <w:pStyle w:val="Textocomentario"/>
        <w:numPr>
          <w:ilvl w:val="0"/>
          <w:numId w:val="3"/>
        </w:numPr>
        <w:ind w:left="567" w:hanging="567"/>
        <w:jc w:val="both"/>
        <w:rPr>
          <w:rFonts w:ascii="Arial Narrow" w:hAnsi="Arial Narrow"/>
          <w:sz w:val="24"/>
          <w:szCs w:val="24"/>
        </w:rPr>
      </w:pPr>
      <w:r>
        <w:rPr>
          <w:rFonts w:ascii="Arial Narrow" w:hAnsi="Arial Narrow"/>
          <w:sz w:val="24"/>
          <w:szCs w:val="24"/>
          <w:lang w:val="es-SV"/>
        </w:rPr>
        <w:t>Cl</w:t>
      </w:r>
      <w:r w:rsidRPr="008D6AD0">
        <w:rPr>
          <w:rFonts w:ascii="Arial Narrow" w:hAnsi="Arial Narrow"/>
          <w:sz w:val="24"/>
          <w:szCs w:val="24"/>
          <w:lang w:val="es-ES_tradnl"/>
        </w:rPr>
        <w:t>asificación</w:t>
      </w:r>
      <w:r w:rsidR="008560EA" w:rsidRPr="004A612F">
        <w:rPr>
          <w:rFonts w:ascii="Arial Narrow" w:hAnsi="Arial Narrow"/>
          <w:sz w:val="24"/>
          <w:szCs w:val="24"/>
        </w:rPr>
        <w:t xml:space="preserve"> de los depositantes por nivel de dependencia que afectarían la posición de liquidez de la entidad, con el objeto de mantener </w:t>
      </w:r>
      <w:r w:rsidR="00D502EA" w:rsidRPr="00393507">
        <w:rPr>
          <w:rFonts w:ascii="Arial Narrow" w:hAnsi="Arial Narrow"/>
          <w:sz w:val="24"/>
          <w:szCs w:val="24"/>
        </w:rPr>
        <w:t>contacto</w:t>
      </w:r>
      <w:r w:rsidR="00D502EA" w:rsidRPr="00E62FDE">
        <w:rPr>
          <w:rFonts w:ascii="Arial Narrow" w:hAnsi="Arial Narrow"/>
          <w:sz w:val="24"/>
          <w:szCs w:val="24"/>
        </w:rPr>
        <w:t xml:space="preserve"> permanente</w:t>
      </w:r>
      <w:r w:rsidR="00D502EA" w:rsidRPr="00E62FDE">
        <w:rPr>
          <w:rFonts w:ascii="Arial Narrow" w:hAnsi="Arial Narrow"/>
          <w:color w:val="FF0000"/>
          <w:sz w:val="24"/>
          <w:szCs w:val="24"/>
        </w:rPr>
        <w:t xml:space="preserve"> </w:t>
      </w:r>
      <w:r w:rsidR="008560EA" w:rsidRPr="00E62FDE">
        <w:rPr>
          <w:rFonts w:ascii="Arial Narrow" w:hAnsi="Arial Narrow"/>
          <w:sz w:val="24"/>
          <w:szCs w:val="24"/>
        </w:rPr>
        <w:t>con los mismos</w:t>
      </w:r>
      <w:r w:rsidR="0081157F" w:rsidRPr="00CD5A96">
        <w:rPr>
          <w:rFonts w:ascii="Arial Narrow" w:hAnsi="Arial Narrow"/>
          <w:sz w:val="24"/>
          <w:szCs w:val="24"/>
        </w:rPr>
        <w:t xml:space="preserve">. </w:t>
      </w:r>
      <w:r w:rsidR="00A55B5F">
        <w:rPr>
          <w:rFonts w:ascii="Arial Narrow" w:hAnsi="Arial Narrow" w:cstheme="minorHAnsi"/>
          <w:sz w:val="24"/>
          <w:szCs w:val="24"/>
          <w:lang w:val="es-SV"/>
        </w:rPr>
        <w:t>Se exceptúa de esta obligación al Banco de Desarrollo de El Salvador</w:t>
      </w:r>
      <w:r w:rsidR="008560EA" w:rsidRPr="004A612F">
        <w:rPr>
          <w:rFonts w:ascii="Arial Narrow" w:hAnsi="Arial Narrow"/>
          <w:sz w:val="24"/>
          <w:szCs w:val="24"/>
        </w:rPr>
        <w:t>;</w:t>
      </w:r>
      <w:r w:rsidR="00284FF3">
        <w:rPr>
          <w:rFonts w:ascii="Arial Narrow" w:hAnsi="Arial Narrow"/>
          <w:sz w:val="24"/>
          <w:szCs w:val="24"/>
        </w:rPr>
        <w:t xml:space="preserve"> </w:t>
      </w:r>
      <w:r w:rsidR="008560EA" w:rsidRPr="004A612F">
        <w:rPr>
          <w:rFonts w:ascii="Arial Narrow" w:hAnsi="Arial Narrow"/>
          <w:sz w:val="24"/>
          <w:szCs w:val="24"/>
        </w:rPr>
        <w:t>y</w:t>
      </w:r>
    </w:p>
    <w:p w14:paraId="018B52E3" w14:textId="77777777" w:rsidR="008560EA" w:rsidRPr="004A612F" w:rsidRDefault="004407FD" w:rsidP="00AA09D7">
      <w:pPr>
        <w:numPr>
          <w:ilvl w:val="0"/>
          <w:numId w:val="3"/>
        </w:numPr>
        <w:autoSpaceDE w:val="0"/>
        <w:autoSpaceDN w:val="0"/>
        <w:adjustRightInd w:val="0"/>
        <w:ind w:left="567" w:hanging="567"/>
        <w:jc w:val="both"/>
        <w:rPr>
          <w:rFonts w:ascii="Arial Narrow" w:hAnsi="Arial Narrow" w:cstheme="minorHAnsi"/>
        </w:rPr>
      </w:pPr>
      <w:r>
        <w:rPr>
          <w:rFonts w:ascii="Arial Narrow" w:hAnsi="Arial Narrow" w:cstheme="minorHAnsi"/>
          <w:lang w:val="es-ES"/>
        </w:rPr>
        <w:t>G</w:t>
      </w:r>
      <w:r w:rsidR="008560EA" w:rsidRPr="004A612F">
        <w:rPr>
          <w:rFonts w:ascii="Arial Narrow" w:hAnsi="Arial Narrow" w:cstheme="minorHAnsi"/>
        </w:rPr>
        <w:t>rado de dependencia de fuentes de fondos, por naturaleza, tipo de instrumento, mercado, entre otros.</w:t>
      </w:r>
    </w:p>
    <w:p w14:paraId="018B52E4" w14:textId="77777777" w:rsidR="008560EA" w:rsidRPr="004A612F" w:rsidRDefault="008560EA" w:rsidP="008560EA">
      <w:pPr>
        <w:autoSpaceDE w:val="0"/>
        <w:autoSpaceDN w:val="0"/>
        <w:adjustRightInd w:val="0"/>
        <w:jc w:val="both"/>
        <w:rPr>
          <w:rFonts w:ascii="Arial Narrow" w:hAnsi="Arial Narrow" w:cstheme="minorHAnsi"/>
        </w:rPr>
      </w:pPr>
    </w:p>
    <w:p w14:paraId="018B52E5" w14:textId="77777777" w:rsidR="008560EA" w:rsidRPr="004A612F" w:rsidRDefault="008560EA" w:rsidP="008560EA">
      <w:pPr>
        <w:pStyle w:val="Default"/>
        <w:jc w:val="both"/>
        <w:rPr>
          <w:rFonts w:cstheme="minorHAnsi"/>
          <w:color w:val="auto"/>
          <w:lang w:val="es-ES" w:eastAsia="es-ES"/>
        </w:rPr>
      </w:pPr>
      <w:r w:rsidRPr="004A612F">
        <w:rPr>
          <w:rFonts w:cstheme="minorHAnsi"/>
          <w:color w:val="auto"/>
          <w:lang w:val="es-ES" w:eastAsia="es-ES"/>
        </w:rPr>
        <w:t>El plan de contingencia a elaborar, no debe basarse únicamente en apoyo de liquidez que pudiese otorgar el Banco Central</w:t>
      </w:r>
      <w:r w:rsidR="00940C64">
        <w:rPr>
          <w:rFonts w:cstheme="minorHAnsi"/>
          <w:color w:val="auto"/>
          <w:lang w:val="es-ES" w:eastAsia="es-ES"/>
        </w:rPr>
        <w:t xml:space="preserve"> de Reserva de El Salvador</w:t>
      </w:r>
      <w:r w:rsidRPr="004A612F">
        <w:rPr>
          <w:rFonts w:cstheme="minorHAnsi"/>
          <w:color w:val="auto"/>
          <w:lang w:val="es-ES" w:eastAsia="es-ES"/>
        </w:rPr>
        <w:t>.</w:t>
      </w:r>
    </w:p>
    <w:p w14:paraId="018B52E6" w14:textId="77777777" w:rsidR="00054409" w:rsidRPr="00FA14E1" w:rsidRDefault="00054409" w:rsidP="008560EA">
      <w:pPr>
        <w:autoSpaceDE w:val="0"/>
        <w:autoSpaceDN w:val="0"/>
        <w:adjustRightInd w:val="0"/>
        <w:jc w:val="both"/>
        <w:rPr>
          <w:rFonts w:ascii="Arial Narrow" w:hAnsi="Arial Narrow" w:cstheme="minorHAnsi"/>
        </w:rPr>
      </w:pPr>
    </w:p>
    <w:p w14:paraId="018B52E7" w14:textId="77777777" w:rsidR="00FA14E1" w:rsidRPr="008D6AD0" w:rsidRDefault="00054409" w:rsidP="00FA14E1">
      <w:pPr>
        <w:autoSpaceDE w:val="0"/>
        <w:autoSpaceDN w:val="0"/>
        <w:adjustRightInd w:val="0"/>
        <w:jc w:val="both"/>
        <w:rPr>
          <w:rFonts w:ascii="Arial Narrow" w:hAnsi="Arial Narrow" w:cstheme="minorHAnsi"/>
          <w:lang w:val="es-ES"/>
        </w:rPr>
      </w:pPr>
      <w:r w:rsidRPr="008D6AD0">
        <w:rPr>
          <w:rFonts w:ascii="Arial Narrow" w:hAnsi="Arial Narrow" w:cstheme="minorHAnsi"/>
          <w:lang w:val="es-ES"/>
        </w:rPr>
        <w:t xml:space="preserve">El plan de contingencia </w:t>
      </w:r>
      <w:r w:rsidR="004D4CD6" w:rsidRPr="008D6AD0">
        <w:rPr>
          <w:rFonts w:ascii="Arial Narrow" w:hAnsi="Arial Narrow" w:cstheme="minorHAnsi"/>
          <w:lang w:val="es-ES"/>
        </w:rPr>
        <w:t>aprobado</w:t>
      </w:r>
      <w:r w:rsidR="002808BA">
        <w:rPr>
          <w:rFonts w:ascii="Arial Narrow" w:hAnsi="Arial Narrow" w:cstheme="minorHAnsi"/>
          <w:lang w:val="es-ES"/>
        </w:rPr>
        <w:t xml:space="preserve"> </w:t>
      </w:r>
      <w:r w:rsidRPr="008D6AD0">
        <w:rPr>
          <w:rFonts w:ascii="Arial Narrow" w:hAnsi="Arial Narrow" w:cstheme="minorHAnsi"/>
          <w:lang w:val="es-ES"/>
        </w:rPr>
        <w:t xml:space="preserve">deberá ser remitido </w:t>
      </w:r>
      <w:r w:rsidR="00BE0A8B" w:rsidRPr="008D6AD0">
        <w:rPr>
          <w:rFonts w:ascii="Arial Narrow" w:hAnsi="Arial Narrow" w:cstheme="minorHAnsi"/>
          <w:lang w:val="es-ES"/>
        </w:rPr>
        <w:t xml:space="preserve">por las entidades </w:t>
      </w:r>
      <w:r w:rsidRPr="008D6AD0">
        <w:rPr>
          <w:rFonts w:ascii="Arial Narrow" w:hAnsi="Arial Narrow" w:cstheme="minorHAnsi"/>
          <w:lang w:val="es-ES"/>
        </w:rPr>
        <w:t>a la Superintendencia</w:t>
      </w:r>
      <w:r w:rsidR="00FA14E1" w:rsidRPr="008D6AD0">
        <w:rPr>
          <w:rFonts w:ascii="Arial Narrow" w:hAnsi="Arial Narrow" w:cstheme="minorHAnsi"/>
          <w:lang w:val="es-ES"/>
        </w:rPr>
        <w:t xml:space="preserve"> </w:t>
      </w:r>
      <w:r w:rsidR="001B494E" w:rsidRPr="008D6AD0">
        <w:rPr>
          <w:rFonts w:ascii="Arial Narrow" w:hAnsi="Arial Narrow" w:cstheme="minorHAnsi"/>
          <w:lang w:val="es-ES"/>
        </w:rPr>
        <w:t>en forma anual</w:t>
      </w:r>
      <w:r w:rsidRPr="008D6AD0">
        <w:rPr>
          <w:rFonts w:ascii="Arial Narrow" w:hAnsi="Arial Narrow" w:cstheme="minorHAnsi"/>
          <w:lang w:val="es-ES"/>
        </w:rPr>
        <w:t xml:space="preserve"> en los primeros diez días hábiles de </w:t>
      </w:r>
      <w:r w:rsidR="00BE0A8B" w:rsidRPr="008D6AD0">
        <w:rPr>
          <w:rFonts w:ascii="Arial Narrow" w:hAnsi="Arial Narrow" w:cstheme="minorHAnsi"/>
          <w:lang w:val="es-ES"/>
        </w:rPr>
        <w:t>cada año, así también</w:t>
      </w:r>
      <w:r w:rsidR="00FF542A" w:rsidRPr="008D6AD0">
        <w:rPr>
          <w:rFonts w:ascii="Arial Narrow" w:hAnsi="Arial Narrow" w:cstheme="minorHAnsi"/>
          <w:lang w:val="es-ES"/>
        </w:rPr>
        <w:t xml:space="preserve"> </w:t>
      </w:r>
      <w:r w:rsidR="00BE0A8B" w:rsidRPr="008D6AD0">
        <w:rPr>
          <w:rFonts w:ascii="Arial Narrow" w:hAnsi="Arial Narrow" w:cstheme="minorHAnsi"/>
          <w:lang w:val="es-ES"/>
        </w:rPr>
        <w:t>remitirán</w:t>
      </w:r>
      <w:r w:rsidR="00FF542A" w:rsidRPr="008D6AD0">
        <w:rPr>
          <w:rFonts w:ascii="Arial Narrow" w:hAnsi="Arial Narrow" w:cstheme="minorHAnsi"/>
          <w:lang w:val="es-ES"/>
        </w:rPr>
        <w:t xml:space="preserve"> las </w:t>
      </w:r>
      <w:r w:rsidR="008C1CA9" w:rsidRPr="008D6AD0">
        <w:rPr>
          <w:rFonts w:ascii="Arial Narrow" w:hAnsi="Arial Narrow" w:cstheme="minorHAnsi"/>
          <w:lang w:val="es-ES"/>
        </w:rPr>
        <w:t xml:space="preserve">modificaciones efectuadas a dicho </w:t>
      </w:r>
      <w:r w:rsidR="00FF542A" w:rsidRPr="008D6AD0">
        <w:rPr>
          <w:rFonts w:ascii="Arial Narrow" w:hAnsi="Arial Narrow" w:cstheme="minorHAnsi"/>
          <w:lang w:val="es-ES"/>
        </w:rPr>
        <w:t xml:space="preserve">plan, </w:t>
      </w:r>
      <w:r w:rsidR="00FA14E1" w:rsidRPr="008D6AD0">
        <w:rPr>
          <w:rFonts w:ascii="Arial Narrow" w:hAnsi="Arial Narrow" w:cstheme="minorHAnsi"/>
          <w:lang w:val="es-ES"/>
        </w:rPr>
        <w:t xml:space="preserve">en un </w:t>
      </w:r>
      <w:r w:rsidR="0036530D" w:rsidRPr="008D6AD0">
        <w:rPr>
          <w:rFonts w:ascii="Arial Narrow" w:hAnsi="Arial Narrow" w:cstheme="minorHAnsi"/>
          <w:lang w:val="es-ES"/>
        </w:rPr>
        <w:t xml:space="preserve">plazo </w:t>
      </w:r>
      <w:r w:rsidR="00FA14E1" w:rsidRPr="008D6AD0">
        <w:rPr>
          <w:rFonts w:ascii="Arial Narrow" w:hAnsi="Arial Narrow" w:cstheme="minorHAnsi"/>
          <w:lang w:val="es-ES"/>
        </w:rPr>
        <w:t>máximo de diez días hábi</w:t>
      </w:r>
      <w:r w:rsidR="00FF542A" w:rsidRPr="008D6AD0">
        <w:rPr>
          <w:rFonts w:ascii="Arial Narrow" w:hAnsi="Arial Narrow" w:cstheme="minorHAnsi"/>
          <w:lang w:val="es-ES"/>
        </w:rPr>
        <w:t>les, a partir de su aprobación</w:t>
      </w:r>
      <w:r w:rsidR="00FA14E1" w:rsidRPr="008D6AD0">
        <w:rPr>
          <w:rFonts w:ascii="Arial Narrow" w:hAnsi="Arial Narrow" w:cstheme="minorHAnsi"/>
          <w:lang w:val="es-ES"/>
        </w:rPr>
        <w:t>.</w:t>
      </w:r>
    </w:p>
    <w:p w14:paraId="15540038" w14:textId="77777777" w:rsidR="00C42BA1" w:rsidRDefault="00C42BA1" w:rsidP="008560EA">
      <w:pPr>
        <w:autoSpaceDE w:val="0"/>
        <w:autoSpaceDN w:val="0"/>
        <w:adjustRightInd w:val="0"/>
        <w:jc w:val="center"/>
        <w:rPr>
          <w:rFonts w:ascii="Arial Narrow" w:hAnsi="Arial Narrow" w:cstheme="minorHAnsi"/>
          <w:b/>
          <w:bCs/>
        </w:rPr>
      </w:pPr>
    </w:p>
    <w:p w14:paraId="018B52E8" w14:textId="77777777" w:rsidR="008560EA" w:rsidRPr="004A612F" w:rsidRDefault="008560EA" w:rsidP="008560EA">
      <w:pPr>
        <w:autoSpaceDE w:val="0"/>
        <w:autoSpaceDN w:val="0"/>
        <w:adjustRightInd w:val="0"/>
        <w:jc w:val="center"/>
        <w:rPr>
          <w:rFonts w:ascii="Arial Narrow" w:hAnsi="Arial Narrow" w:cstheme="minorHAnsi"/>
          <w:b/>
          <w:bCs/>
        </w:rPr>
      </w:pPr>
      <w:r w:rsidRPr="004A612F">
        <w:rPr>
          <w:rFonts w:ascii="Arial Narrow" w:hAnsi="Arial Narrow" w:cstheme="minorHAnsi"/>
          <w:b/>
          <w:bCs/>
        </w:rPr>
        <w:t>CAPÍTULO IV</w:t>
      </w:r>
    </w:p>
    <w:p w14:paraId="018B52E9" w14:textId="77777777" w:rsidR="008560EA" w:rsidRPr="004A612F" w:rsidRDefault="008560EA" w:rsidP="008560EA">
      <w:pPr>
        <w:autoSpaceDE w:val="0"/>
        <w:autoSpaceDN w:val="0"/>
        <w:adjustRightInd w:val="0"/>
        <w:jc w:val="center"/>
        <w:rPr>
          <w:rFonts w:ascii="Arial Narrow" w:hAnsi="Arial Narrow" w:cstheme="minorHAnsi"/>
        </w:rPr>
      </w:pPr>
      <w:r w:rsidRPr="004A612F">
        <w:rPr>
          <w:rFonts w:ascii="Arial Narrow" w:hAnsi="Arial Narrow" w:cstheme="minorHAnsi"/>
          <w:b/>
          <w:bCs/>
        </w:rPr>
        <w:t>DESARROLLO DE METODOLOGÍA Y REQUERIMIENTO DE INFORMACIÓN</w:t>
      </w:r>
    </w:p>
    <w:p w14:paraId="018B52EA" w14:textId="77777777" w:rsidR="008560EA" w:rsidRPr="004A612F" w:rsidRDefault="008560EA" w:rsidP="008560EA">
      <w:pPr>
        <w:jc w:val="center"/>
        <w:rPr>
          <w:rFonts w:ascii="Arial Narrow" w:hAnsi="Arial Narrow" w:cstheme="minorHAnsi"/>
          <w:b/>
        </w:rPr>
      </w:pPr>
    </w:p>
    <w:p w14:paraId="018B52EB" w14:textId="77777777" w:rsidR="008560EA" w:rsidRPr="004A612F" w:rsidRDefault="00C97CFD" w:rsidP="008560EA">
      <w:pPr>
        <w:jc w:val="both"/>
        <w:rPr>
          <w:rFonts w:ascii="Arial Narrow" w:hAnsi="Arial Narrow" w:cstheme="minorHAnsi"/>
          <w:b/>
        </w:rPr>
      </w:pPr>
      <w:r>
        <w:rPr>
          <w:rFonts w:ascii="Arial Narrow" w:hAnsi="Arial Narrow" w:cstheme="minorHAnsi"/>
          <w:b/>
        </w:rPr>
        <w:t>Aplicación de metodologí</w:t>
      </w:r>
      <w:r w:rsidR="008560EA" w:rsidRPr="004A612F">
        <w:rPr>
          <w:rFonts w:ascii="Arial Narrow" w:hAnsi="Arial Narrow" w:cstheme="minorHAnsi"/>
          <w:b/>
        </w:rPr>
        <w:t>a</w:t>
      </w:r>
    </w:p>
    <w:p w14:paraId="018B52EC" w14:textId="77777777" w:rsidR="008560EA" w:rsidRPr="004A612F" w:rsidRDefault="008560EA" w:rsidP="008560EA">
      <w:pPr>
        <w:jc w:val="both"/>
        <w:rPr>
          <w:rFonts w:ascii="Arial Narrow" w:hAnsi="Arial Narrow" w:cstheme="minorHAnsi"/>
        </w:rPr>
      </w:pPr>
      <w:r w:rsidRPr="004A612F">
        <w:rPr>
          <w:rFonts w:ascii="Arial Narrow" w:hAnsi="Arial Narrow" w:cstheme="minorHAnsi"/>
          <w:b/>
        </w:rPr>
        <w:t xml:space="preserve">Art. 20.- </w:t>
      </w:r>
      <w:r w:rsidRPr="004A612F">
        <w:rPr>
          <w:rFonts w:ascii="Arial Narrow" w:hAnsi="Arial Narrow" w:cstheme="minorHAnsi"/>
        </w:rPr>
        <w:t>Las entidades</w:t>
      </w:r>
      <w:r w:rsidRPr="004A612F">
        <w:rPr>
          <w:rFonts w:ascii="Arial Narrow" w:hAnsi="Arial Narrow" w:cstheme="minorHAnsi"/>
          <w:b/>
        </w:rPr>
        <w:t xml:space="preserve"> </w:t>
      </w:r>
      <w:r w:rsidRPr="004A612F">
        <w:rPr>
          <w:rFonts w:ascii="Arial Narrow" w:hAnsi="Arial Narrow" w:cstheme="minorHAnsi"/>
        </w:rPr>
        <w:t>deben establecer una metodología que cuantifique su riesgo de liquidez, la cual debe guardar relación con el nivel y perfil de riesgo, mercado objetivo, tamaño, naturaleza, complejidad, exposición al riesgo cambiario y demás características propias de la entidad, así como sus indicadores de liquidez.</w:t>
      </w:r>
    </w:p>
    <w:p w14:paraId="018B52ED" w14:textId="77777777" w:rsidR="008560EA" w:rsidRPr="004A612F" w:rsidRDefault="008560EA" w:rsidP="008560EA">
      <w:pPr>
        <w:tabs>
          <w:tab w:val="left" w:pos="1757"/>
        </w:tabs>
        <w:jc w:val="both"/>
        <w:rPr>
          <w:rFonts w:ascii="Arial Narrow" w:hAnsi="Arial Narrow" w:cstheme="minorHAnsi"/>
        </w:rPr>
      </w:pPr>
    </w:p>
    <w:p w14:paraId="018B52EE" w14:textId="77777777" w:rsidR="008560EA" w:rsidRPr="004A612F" w:rsidRDefault="008560EA" w:rsidP="008560EA">
      <w:pPr>
        <w:tabs>
          <w:tab w:val="left" w:pos="709"/>
          <w:tab w:val="left" w:pos="1757"/>
        </w:tabs>
        <w:jc w:val="both"/>
        <w:rPr>
          <w:rFonts w:ascii="Arial Narrow" w:hAnsi="Arial Narrow" w:cstheme="minorHAnsi"/>
        </w:rPr>
      </w:pPr>
      <w:r w:rsidRPr="004A612F">
        <w:rPr>
          <w:rFonts w:ascii="Arial Narrow" w:hAnsi="Arial Narrow" w:cstheme="minorHAnsi"/>
        </w:rPr>
        <w:t>Adicionalmente la entidad deberá realizar pruebas retrospectivas, con el fin de validar la precisión de su metodología respecto de los valores reales observados, el cual deberá estar a la disposición de la Superintendencia cuando lo requiera en el proceso de evaluación.</w:t>
      </w:r>
    </w:p>
    <w:p w14:paraId="018B52EF" w14:textId="77777777" w:rsidR="008560EA" w:rsidRPr="004A612F" w:rsidRDefault="008560EA" w:rsidP="008560EA">
      <w:pPr>
        <w:tabs>
          <w:tab w:val="left" w:pos="1757"/>
        </w:tabs>
        <w:jc w:val="both"/>
        <w:rPr>
          <w:rFonts w:ascii="Arial Narrow" w:hAnsi="Arial Narrow" w:cstheme="minorHAnsi"/>
        </w:rPr>
      </w:pPr>
      <w:r w:rsidRPr="004A612F">
        <w:rPr>
          <w:rFonts w:ascii="Arial Narrow" w:hAnsi="Arial Narrow" w:cstheme="minorHAnsi"/>
        </w:rPr>
        <w:tab/>
      </w:r>
    </w:p>
    <w:p w14:paraId="018B52F0" w14:textId="77777777" w:rsidR="0036530D" w:rsidRPr="008D6AD0" w:rsidRDefault="008560EA" w:rsidP="0036530D">
      <w:pPr>
        <w:autoSpaceDE w:val="0"/>
        <w:autoSpaceDN w:val="0"/>
        <w:adjustRightInd w:val="0"/>
        <w:jc w:val="both"/>
        <w:rPr>
          <w:rFonts w:ascii="Arial Narrow" w:hAnsi="Arial Narrow" w:cstheme="minorHAnsi"/>
        </w:rPr>
      </w:pPr>
      <w:r w:rsidRPr="004A612F">
        <w:rPr>
          <w:rFonts w:ascii="Arial Narrow" w:hAnsi="Arial Narrow" w:cstheme="minorHAnsi"/>
        </w:rPr>
        <w:t>Las políticas y metodologías relativas a la gestión del riesgo de liquidez deben ser remitidas a la Superintendencia para su conocimiento, debiendo comuni</w:t>
      </w:r>
      <w:r w:rsidR="0036530D">
        <w:rPr>
          <w:rFonts w:ascii="Arial Narrow" w:hAnsi="Arial Narrow" w:cstheme="minorHAnsi"/>
        </w:rPr>
        <w:t xml:space="preserve">car sus cambios cuando ocurran </w:t>
      </w:r>
      <w:r w:rsidR="0036530D" w:rsidRPr="008D6AD0">
        <w:rPr>
          <w:rFonts w:ascii="Arial Narrow" w:hAnsi="Arial Narrow" w:cstheme="minorHAnsi"/>
        </w:rPr>
        <w:t>en un plazo máximo de diez días hábiles, a partir de su aprobación.</w:t>
      </w:r>
    </w:p>
    <w:p w14:paraId="34694EAF" w14:textId="77777777" w:rsidR="001B3AD1" w:rsidRPr="004A612F" w:rsidRDefault="001B3AD1" w:rsidP="008560EA">
      <w:pPr>
        <w:jc w:val="both"/>
        <w:rPr>
          <w:rFonts w:ascii="Arial Narrow" w:hAnsi="Arial Narrow" w:cstheme="minorHAnsi"/>
        </w:rPr>
      </w:pPr>
    </w:p>
    <w:p w14:paraId="018B52F2" w14:textId="77777777" w:rsidR="008560EA" w:rsidRPr="004A612F" w:rsidRDefault="00D502EA" w:rsidP="008560EA">
      <w:pPr>
        <w:jc w:val="both"/>
        <w:rPr>
          <w:rFonts w:ascii="Arial Narrow" w:hAnsi="Arial Narrow" w:cstheme="minorHAnsi"/>
          <w:b/>
        </w:rPr>
      </w:pPr>
      <w:r>
        <w:rPr>
          <w:rFonts w:ascii="Arial Narrow" w:hAnsi="Arial Narrow" w:cstheme="minorHAnsi"/>
          <w:b/>
        </w:rPr>
        <w:t xml:space="preserve">Requerimiento de información </w:t>
      </w:r>
    </w:p>
    <w:p w14:paraId="018B52F3" w14:textId="77777777" w:rsidR="00E540F6" w:rsidRDefault="008560EA" w:rsidP="00E540F6">
      <w:pPr>
        <w:spacing w:after="120"/>
        <w:jc w:val="both"/>
        <w:rPr>
          <w:rFonts w:ascii="Arial Narrow" w:hAnsi="Arial Narrow" w:cstheme="minorHAnsi"/>
        </w:rPr>
      </w:pPr>
      <w:r w:rsidRPr="004A612F">
        <w:rPr>
          <w:rFonts w:ascii="Arial Narrow" w:hAnsi="Arial Narrow" w:cstheme="minorHAnsi"/>
          <w:b/>
        </w:rPr>
        <w:t>Art. 21.-</w:t>
      </w:r>
      <w:r w:rsidRPr="004A612F">
        <w:rPr>
          <w:rFonts w:ascii="Arial Narrow" w:hAnsi="Arial Narrow" w:cstheme="minorHAnsi"/>
        </w:rPr>
        <w:t xml:space="preserve"> Las entidades</w:t>
      </w:r>
      <w:r w:rsidR="00E540F6">
        <w:rPr>
          <w:rFonts w:ascii="Arial Narrow" w:hAnsi="Arial Narrow" w:cstheme="minorHAnsi"/>
        </w:rPr>
        <w:t xml:space="preserve"> deben presentar </w:t>
      </w:r>
      <w:r w:rsidRPr="004A612F">
        <w:rPr>
          <w:rFonts w:ascii="Arial Narrow" w:hAnsi="Arial Narrow" w:cstheme="minorHAnsi"/>
        </w:rPr>
        <w:t xml:space="preserve">a la Superintendencia la información siguiente: </w:t>
      </w:r>
    </w:p>
    <w:p w14:paraId="018B52F4" w14:textId="77777777" w:rsidR="008560EA" w:rsidRDefault="00027A3B" w:rsidP="0023357E">
      <w:pPr>
        <w:pStyle w:val="Prrafodelista"/>
        <w:numPr>
          <w:ilvl w:val="0"/>
          <w:numId w:val="12"/>
        </w:numPr>
        <w:ind w:left="567" w:hanging="567"/>
        <w:jc w:val="both"/>
        <w:rPr>
          <w:rFonts w:ascii="Arial Narrow" w:hAnsi="Arial Narrow" w:cstheme="minorHAnsi"/>
        </w:rPr>
      </w:pPr>
      <w:r w:rsidRPr="0023357E">
        <w:rPr>
          <w:rFonts w:ascii="Arial Narrow" w:hAnsi="Arial Narrow" w:cstheme="minorHAnsi"/>
        </w:rPr>
        <w:t>Anexo No.</w:t>
      </w:r>
      <w:r w:rsidRPr="00E27322">
        <w:rPr>
          <w:rFonts w:ascii="Arial Narrow" w:hAnsi="Arial Narrow" w:cstheme="minorHAnsi"/>
        </w:rPr>
        <w:t>1</w:t>
      </w:r>
      <w:r w:rsidR="008560EA" w:rsidRPr="0023357E">
        <w:rPr>
          <w:rFonts w:ascii="Arial Narrow" w:hAnsi="Arial Narrow" w:cstheme="minorHAnsi"/>
        </w:rPr>
        <w:t xml:space="preserve"> “Liquidez por plazo de vencimiento”, con periodicidad mensual, el cual deberá ser remitido dentro de los </w:t>
      </w:r>
      <w:r w:rsidR="004A1BEE">
        <w:rPr>
          <w:rFonts w:ascii="Arial Narrow" w:hAnsi="Arial Narrow" w:cstheme="minorHAnsi"/>
        </w:rPr>
        <w:t>quince</w:t>
      </w:r>
      <w:r w:rsidR="00F160D7" w:rsidRPr="00393507">
        <w:rPr>
          <w:rFonts w:ascii="Arial Narrow" w:hAnsi="Arial Narrow" w:cstheme="minorHAnsi"/>
        </w:rPr>
        <w:t xml:space="preserve"> </w:t>
      </w:r>
      <w:r w:rsidR="00F160D7">
        <w:rPr>
          <w:rFonts w:ascii="Arial Narrow" w:hAnsi="Arial Narrow" w:cstheme="minorHAnsi"/>
        </w:rPr>
        <w:t>días</w:t>
      </w:r>
      <w:r w:rsidR="0045089A" w:rsidRPr="00393507">
        <w:rPr>
          <w:rFonts w:ascii="Arial Narrow" w:hAnsi="Arial Narrow" w:cstheme="minorHAnsi"/>
        </w:rPr>
        <w:t xml:space="preserve"> hábiles</w:t>
      </w:r>
      <w:r w:rsidR="008560EA" w:rsidRPr="0023357E">
        <w:rPr>
          <w:rFonts w:ascii="Arial Narrow" w:hAnsi="Arial Narrow" w:cstheme="minorHAnsi"/>
        </w:rPr>
        <w:t xml:space="preserve"> posteriores al cierre de cada mes;</w:t>
      </w:r>
      <w:r w:rsidR="00C2512B">
        <w:rPr>
          <w:rFonts w:ascii="Arial Narrow" w:hAnsi="Arial Narrow" w:cstheme="minorHAnsi"/>
        </w:rPr>
        <w:t xml:space="preserve"> y</w:t>
      </w:r>
    </w:p>
    <w:p w14:paraId="018B52F5" w14:textId="77777777" w:rsidR="00E27322" w:rsidRPr="00E27322" w:rsidRDefault="00027A3B" w:rsidP="00E27322">
      <w:pPr>
        <w:pStyle w:val="Prrafodelista"/>
        <w:numPr>
          <w:ilvl w:val="0"/>
          <w:numId w:val="12"/>
        </w:numPr>
        <w:ind w:left="567" w:hanging="567"/>
        <w:jc w:val="both"/>
        <w:rPr>
          <w:rFonts w:ascii="Arial Narrow" w:hAnsi="Arial Narrow" w:cstheme="minorHAnsi"/>
        </w:rPr>
      </w:pPr>
      <w:r w:rsidRPr="00E27322">
        <w:rPr>
          <w:rFonts w:ascii="Arial Narrow" w:hAnsi="Arial Narrow" w:cstheme="minorHAnsi"/>
        </w:rPr>
        <w:t>Anexo No.2</w:t>
      </w:r>
      <w:r w:rsidR="008560EA" w:rsidRPr="00E27322">
        <w:rPr>
          <w:rFonts w:ascii="Arial Narrow" w:hAnsi="Arial Narrow" w:cstheme="minorHAnsi"/>
        </w:rPr>
        <w:t xml:space="preserve"> “Simulación de escenarios de tensión”, con periodicidad</w:t>
      </w:r>
      <w:r w:rsidRPr="00E27322">
        <w:rPr>
          <w:rFonts w:ascii="Arial Narrow" w:hAnsi="Arial Narrow" w:cstheme="minorHAnsi"/>
        </w:rPr>
        <w:t xml:space="preserve"> semestral</w:t>
      </w:r>
      <w:r w:rsidR="008560EA" w:rsidRPr="00E27322">
        <w:rPr>
          <w:rFonts w:ascii="Arial Narrow" w:hAnsi="Arial Narrow" w:cstheme="minorHAnsi"/>
          <w:szCs w:val="24"/>
        </w:rPr>
        <w:t xml:space="preserve"> </w:t>
      </w:r>
      <w:r w:rsidR="008560EA" w:rsidRPr="0035786A">
        <w:rPr>
          <w:rFonts w:ascii="Arial Narrow" w:hAnsi="Arial Narrow" w:cstheme="minorHAnsi"/>
        </w:rPr>
        <w:t>e</w:t>
      </w:r>
      <w:r w:rsidR="008560EA" w:rsidRPr="00E27322">
        <w:rPr>
          <w:rFonts w:ascii="Arial Narrow" w:hAnsi="Arial Narrow" w:cstheme="minorHAnsi"/>
          <w:szCs w:val="24"/>
        </w:rPr>
        <w:t>l cual deberá ser remitido</w:t>
      </w:r>
      <w:r w:rsidR="0065432D">
        <w:rPr>
          <w:rFonts w:ascii="Arial Narrow" w:hAnsi="Arial Narrow" w:cstheme="minorHAnsi"/>
          <w:szCs w:val="24"/>
        </w:rPr>
        <w:t xml:space="preserve"> con referencia a </w:t>
      </w:r>
      <w:r w:rsidR="00BB30E4">
        <w:rPr>
          <w:rFonts w:ascii="Arial Narrow" w:hAnsi="Arial Narrow" w:cstheme="minorHAnsi"/>
          <w:szCs w:val="24"/>
        </w:rPr>
        <w:t xml:space="preserve">los meses de </w:t>
      </w:r>
      <w:r w:rsidR="0065432D">
        <w:rPr>
          <w:rFonts w:ascii="Arial Narrow" w:hAnsi="Arial Narrow" w:cstheme="minorHAnsi"/>
          <w:szCs w:val="24"/>
        </w:rPr>
        <w:t>junio y diciembre</w:t>
      </w:r>
      <w:r w:rsidR="008560EA" w:rsidRPr="00E27322">
        <w:rPr>
          <w:rFonts w:ascii="Arial Narrow" w:hAnsi="Arial Narrow" w:cstheme="minorHAnsi"/>
          <w:szCs w:val="24"/>
        </w:rPr>
        <w:t xml:space="preserve"> </w:t>
      </w:r>
      <w:r w:rsidR="008560EA" w:rsidRPr="00393507">
        <w:rPr>
          <w:rFonts w:ascii="Arial Narrow" w:hAnsi="Arial Narrow" w:cstheme="minorHAnsi"/>
        </w:rPr>
        <w:t xml:space="preserve">dentro de </w:t>
      </w:r>
      <w:r w:rsidR="008560EA" w:rsidRPr="00E27322">
        <w:rPr>
          <w:rFonts w:ascii="Arial Narrow" w:hAnsi="Arial Narrow" w:cstheme="minorHAnsi"/>
        </w:rPr>
        <w:t xml:space="preserve">los </w:t>
      </w:r>
      <w:r w:rsidR="004A1BEE">
        <w:rPr>
          <w:rFonts w:ascii="Arial Narrow" w:hAnsi="Arial Narrow" w:cstheme="minorHAnsi"/>
        </w:rPr>
        <w:t>quince</w:t>
      </w:r>
      <w:r w:rsidR="00FF0176" w:rsidRPr="00393507">
        <w:rPr>
          <w:rFonts w:ascii="Arial Narrow" w:hAnsi="Arial Narrow" w:cstheme="minorHAnsi"/>
        </w:rPr>
        <w:t xml:space="preserve"> </w:t>
      </w:r>
      <w:r w:rsidR="008560EA" w:rsidRPr="00393507">
        <w:rPr>
          <w:rFonts w:ascii="Arial Narrow" w:hAnsi="Arial Narrow" w:cstheme="minorHAnsi"/>
        </w:rPr>
        <w:t xml:space="preserve">días </w:t>
      </w:r>
      <w:bookmarkStart w:id="8" w:name="OLE_LINK3"/>
      <w:bookmarkStart w:id="9" w:name="OLE_LINK4"/>
      <w:r w:rsidR="008560EA" w:rsidRPr="00393507">
        <w:rPr>
          <w:rFonts w:ascii="Arial Narrow" w:hAnsi="Arial Narrow" w:cstheme="minorHAnsi"/>
        </w:rPr>
        <w:t>hábiles</w:t>
      </w:r>
      <w:bookmarkEnd w:id="8"/>
      <w:bookmarkEnd w:id="9"/>
      <w:r w:rsidR="008560EA" w:rsidRPr="00E27322">
        <w:rPr>
          <w:rFonts w:ascii="Arial Narrow" w:hAnsi="Arial Narrow" w:cstheme="minorHAnsi"/>
          <w:szCs w:val="24"/>
        </w:rPr>
        <w:t xml:space="preserve"> posteriores al cierre de cada </w:t>
      </w:r>
      <w:r w:rsidRPr="00E27322">
        <w:rPr>
          <w:rFonts w:ascii="Arial Narrow" w:hAnsi="Arial Narrow" w:cstheme="minorHAnsi"/>
          <w:szCs w:val="24"/>
        </w:rPr>
        <w:t>semestre</w:t>
      </w:r>
      <w:r w:rsidR="00E62FDE">
        <w:rPr>
          <w:rFonts w:ascii="Arial Narrow" w:hAnsi="Arial Narrow" w:cstheme="minorHAnsi"/>
          <w:szCs w:val="24"/>
        </w:rPr>
        <w:t xml:space="preserve">. </w:t>
      </w:r>
      <w:r w:rsidR="00E62FDE">
        <w:rPr>
          <w:rFonts w:ascii="Arial Narrow" w:hAnsi="Arial Narrow" w:cstheme="minorHAnsi"/>
          <w:szCs w:val="24"/>
          <w:lang w:val="es-SV"/>
        </w:rPr>
        <w:t>Se exceptúa de esta obligación al Banco de Desarrollo de El Salvador</w:t>
      </w:r>
      <w:r w:rsidR="00E27322" w:rsidRPr="00E27322">
        <w:rPr>
          <w:rFonts w:ascii="Arial Narrow" w:hAnsi="Arial Narrow" w:cstheme="minorHAnsi"/>
          <w:szCs w:val="24"/>
        </w:rPr>
        <w:t>.</w:t>
      </w:r>
    </w:p>
    <w:p w14:paraId="018B52F6" w14:textId="77777777" w:rsidR="004407FD" w:rsidRPr="0033410E" w:rsidRDefault="004407FD" w:rsidP="00155A1B">
      <w:pPr>
        <w:autoSpaceDE w:val="0"/>
        <w:autoSpaceDN w:val="0"/>
        <w:adjustRightInd w:val="0"/>
        <w:jc w:val="both"/>
        <w:rPr>
          <w:rFonts w:ascii="Arial Narrow" w:hAnsi="Arial Narrow" w:cstheme="minorHAnsi"/>
          <w:color w:val="000000"/>
          <w:lang w:val="es-ES_tradnl"/>
        </w:rPr>
      </w:pPr>
    </w:p>
    <w:p w14:paraId="018B52F7" w14:textId="77777777" w:rsidR="008560EA" w:rsidRPr="004A612F" w:rsidRDefault="008560EA" w:rsidP="008B4EAB">
      <w:pPr>
        <w:autoSpaceDE w:val="0"/>
        <w:autoSpaceDN w:val="0"/>
        <w:adjustRightInd w:val="0"/>
        <w:jc w:val="both"/>
        <w:rPr>
          <w:rFonts w:ascii="Arial Narrow" w:hAnsi="Arial Narrow" w:cstheme="minorHAnsi"/>
          <w:b/>
        </w:rPr>
      </w:pPr>
      <w:r w:rsidRPr="004A612F">
        <w:rPr>
          <w:rFonts w:ascii="Arial Narrow" w:hAnsi="Arial Narrow" w:cstheme="minorHAnsi"/>
          <w:b/>
        </w:rPr>
        <w:t>Remisión de información</w:t>
      </w:r>
    </w:p>
    <w:p w14:paraId="018B52F8" w14:textId="77777777" w:rsidR="008560EA" w:rsidRDefault="008560EA" w:rsidP="008560EA">
      <w:pPr>
        <w:jc w:val="both"/>
        <w:rPr>
          <w:rFonts w:ascii="Arial Narrow" w:hAnsi="Arial Narrow" w:cstheme="minorHAnsi"/>
        </w:rPr>
      </w:pPr>
      <w:r w:rsidRPr="004A612F">
        <w:rPr>
          <w:rFonts w:ascii="Arial Narrow" w:hAnsi="Arial Narrow" w:cstheme="minorHAnsi"/>
          <w:b/>
        </w:rPr>
        <w:t>Art. 22.-</w:t>
      </w:r>
      <w:r w:rsidRPr="004A612F">
        <w:rPr>
          <w:rFonts w:ascii="Arial Narrow" w:hAnsi="Arial Narrow" w:cstheme="minorHAnsi"/>
        </w:rPr>
        <w:t xml:space="preserve"> Las entidades deben presentar a la Superintendencia un informe que incluya las metodologías, criterios y supuestos utilizados para efectuar las estimaciones que sean requeridas en la elaboración de los Anexos No.1 y No.</w:t>
      </w:r>
      <w:r w:rsidR="00C62BAC" w:rsidRPr="00C2512B">
        <w:rPr>
          <w:rFonts w:ascii="Arial Narrow" w:hAnsi="Arial Narrow" w:cstheme="minorHAnsi"/>
        </w:rPr>
        <w:t>2.</w:t>
      </w:r>
      <w:r w:rsidR="00C2512B">
        <w:rPr>
          <w:rFonts w:ascii="Arial Narrow" w:hAnsi="Arial Narrow" w:cstheme="minorHAnsi"/>
          <w:color w:val="FF0000"/>
        </w:rPr>
        <w:t xml:space="preserve"> </w:t>
      </w:r>
      <w:r w:rsidRPr="004A612F">
        <w:rPr>
          <w:rFonts w:ascii="Arial Narrow" w:hAnsi="Arial Narrow" w:cstheme="minorHAnsi"/>
        </w:rPr>
        <w:t>El mencionado informe deberá ser enviado, conjuntamente con la primera entrega de los anexos antes señalados y cada vez que sean modificados o actualizados.</w:t>
      </w:r>
    </w:p>
    <w:p w14:paraId="018B52F9" w14:textId="77777777" w:rsidR="008D4C78" w:rsidRPr="004A612F" w:rsidRDefault="008D4C78" w:rsidP="008560EA">
      <w:pPr>
        <w:jc w:val="both"/>
        <w:rPr>
          <w:rFonts w:ascii="Arial Narrow" w:hAnsi="Arial Narrow" w:cstheme="minorHAnsi"/>
        </w:rPr>
      </w:pPr>
    </w:p>
    <w:p w14:paraId="018B52FA" w14:textId="77777777" w:rsidR="00FF1BD9" w:rsidRPr="00FF1BD9" w:rsidRDefault="008560EA" w:rsidP="00FF1BD9">
      <w:pPr>
        <w:jc w:val="both"/>
        <w:rPr>
          <w:rFonts w:ascii="Arial Narrow" w:hAnsi="Arial Narrow" w:cstheme="minorHAnsi"/>
        </w:rPr>
      </w:pPr>
      <w:r w:rsidRPr="004A612F">
        <w:rPr>
          <w:rFonts w:ascii="Arial Narrow" w:hAnsi="Arial Narrow" w:cstheme="minorHAnsi"/>
        </w:rPr>
        <w:t xml:space="preserve">La Superintendencia podrá </w:t>
      </w:r>
      <w:r w:rsidR="00AD6AC3">
        <w:rPr>
          <w:rFonts w:ascii="Arial Narrow" w:hAnsi="Arial Narrow" w:cstheme="minorHAnsi"/>
        </w:rPr>
        <w:t xml:space="preserve">requerir </w:t>
      </w:r>
      <w:r w:rsidRPr="004A612F">
        <w:rPr>
          <w:rFonts w:ascii="Arial Narrow" w:hAnsi="Arial Narrow" w:cstheme="minorHAnsi"/>
        </w:rPr>
        <w:t xml:space="preserve">la presentación de información adicional que fundamente la metodología, criterios y supuestos de las estimaciones </w:t>
      </w:r>
      <w:r w:rsidR="00FF1BD9" w:rsidRPr="00FF1BD9">
        <w:rPr>
          <w:rFonts w:ascii="Arial Narrow" w:hAnsi="Arial Narrow" w:cstheme="minorHAnsi"/>
        </w:rPr>
        <w:t xml:space="preserve">que considere necesarias para la medición del riesgo de liquidez.  </w:t>
      </w:r>
    </w:p>
    <w:p w14:paraId="018B52FB" w14:textId="77777777" w:rsidR="00D70C00" w:rsidRPr="004A612F" w:rsidRDefault="00D70C00" w:rsidP="008560EA">
      <w:pPr>
        <w:jc w:val="both"/>
        <w:rPr>
          <w:rFonts w:ascii="Arial Narrow" w:hAnsi="Arial Narrow" w:cstheme="minorHAnsi"/>
        </w:rPr>
      </w:pPr>
    </w:p>
    <w:p w14:paraId="018B52FE" w14:textId="77777777" w:rsidR="008560EA" w:rsidRPr="004A612F" w:rsidRDefault="008560EA" w:rsidP="008560EA">
      <w:pPr>
        <w:pStyle w:val="Ttulo1"/>
        <w:jc w:val="center"/>
        <w:rPr>
          <w:rFonts w:ascii="Arial Narrow" w:hAnsi="Arial Narrow" w:cstheme="minorHAnsi"/>
          <w:szCs w:val="24"/>
        </w:rPr>
      </w:pPr>
      <w:r w:rsidRPr="004A612F">
        <w:rPr>
          <w:rFonts w:ascii="Arial Narrow" w:hAnsi="Arial Narrow" w:cstheme="minorHAnsi"/>
          <w:szCs w:val="24"/>
        </w:rPr>
        <w:t>CAPÍTULO V</w:t>
      </w:r>
    </w:p>
    <w:p w14:paraId="018B52FF" w14:textId="77777777" w:rsidR="008560EA" w:rsidRPr="004A612F" w:rsidRDefault="008560EA" w:rsidP="004A612F">
      <w:pPr>
        <w:pStyle w:val="Ttulo1"/>
        <w:jc w:val="center"/>
        <w:rPr>
          <w:rFonts w:ascii="Arial Narrow" w:hAnsi="Arial Narrow" w:cstheme="minorHAnsi"/>
          <w:szCs w:val="24"/>
        </w:rPr>
      </w:pPr>
      <w:bookmarkStart w:id="10" w:name="_Toc97029186"/>
      <w:bookmarkStart w:id="11" w:name="_Toc97030862"/>
      <w:bookmarkStart w:id="12" w:name="_Toc97031155"/>
      <w:bookmarkStart w:id="13" w:name="_Toc97031402"/>
      <w:bookmarkStart w:id="14" w:name="_Toc97032430"/>
      <w:r w:rsidRPr="004A612F">
        <w:rPr>
          <w:rFonts w:ascii="Arial Narrow" w:hAnsi="Arial Narrow" w:cstheme="minorHAnsi"/>
          <w:szCs w:val="24"/>
        </w:rPr>
        <w:t>OTRAS DISPOSICIONES Y VIGENCIA</w:t>
      </w:r>
      <w:bookmarkEnd w:id="10"/>
      <w:bookmarkEnd w:id="11"/>
      <w:bookmarkEnd w:id="12"/>
      <w:bookmarkEnd w:id="13"/>
      <w:bookmarkEnd w:id="14"/>
    </w:p>
    <w:p w14:paraId="018B5300" w14:textId="77777777" w:rsidR="008B4EAB" w:rsidRPr="004A612F" w:rsidRDefault="008B4EAB" w:rsidP="008560EA">
      <w:pPr>
        <w:pStyle w:val="Sinespaciado"/>
        <w:tabs>
          <w:tab w:val="left" w:pos="4820"/>
        </w:tabs>
        <w:jc w:val="both"/>
        <w:rPr>
          <w:rFonts w:ascii="Arial Narrow" w:hAnsi="Arial Narrow"/>
          <w:b/>
          <w:sz w:val="24"/>
          <w:szCs w:val="24"/>
          <w:vertAlign w:val="baseline"/>
        </w:rPr>
      </w:pPr>
    </w:p>
    <w:p w14:paraId="018B5301" w14:textId="77777777" w:rsidR="008560EA" w:rsidRPr="004A612F" w:rsidRDefault="008560EA" w:rsidP="008560EA">
      <w:pPr>
        <w:pStyle w:val="Sinespaciado"/>
        <w:tabs>
          <w:tab w:val="left" w:pos="4820"/>
        </w:tabs>
        <w:jc w:val="both"/>
        <w:rPr>
          <w:rFonts w:ascii="Arial Narrow" w:hAnsi="Arial Narrow"/>
          <w:b/>
          <w:sz w:val="24"/>
          <w:szCs w:val="24"/>
          <w:vertAlign w:val="baseline"/>
        </w:rPr>
      </w:pPr>
      <w:r w:rsidRPr="004A612F">
        <w:rPr>
          <w:rFonts w:ascii="Arial Narrow" w:hAnsi="Arial Narrow"/>
          <w:b/>
          <w:sz w:val="24"/>
          <w:szCs w:val="24"/>
          <w:vertAlign w:val="baseline"/>
        </w:rPr>
        <w:t>Sanciones</w:t>
      </w:r>
    </w:p>
    <w:p w14:paraId="018B5302" w14:textId="77777777" w:rsidR="008560EA" w:rsidRPr="004A612F" w:rsidRDefault="008560EA" w:rsidP="008560EA">
      <w:pPr>
        <w:pStyle w:val="Sinespaciado"/>
        <w:tabs>
          <w:tab w:val="left" w:pos="4820"/>
        </w:tabs>
        <w:jc w:val="both"/>
        <w:rPr>
          <w:rFonts w:ascii="Arial Narrow" w:hAnsi="Arial Narrow"/>
          <w:b/>
          <w:sz w:val="24"/>
          <w:szCs w:val="24"/>
          <w:vertAlign w:val="baseline"/>
        </w:rPr>
      </w:pPr>
      <w:r w:rsidRPr="000A149E">
        <w:rPr>
          <w:rFonts w:ascii="Arial Narrow" w:hAnsi="Arial Narrow" w:cstheme="minorHAnsi"/>
          <w:b/>
          <w:bCs/>
          <w:sz w:val="24"/>
          <w:szCs w:val="24"/>
          <w:vertAlign w:val="baseline"/>
          <w:lang w:eastAsia="es-ES"/>
        </w:rPr>
        <w:t xml:space="preserve"> Art. 2</w:t>
      </w:r>
      <w:r w:rsidR="000A149E" w:rsidRPr="000A149E">
        <w:rPr>
          <w:rFonts w:ascii="Arial Narrow" w:hAnsi="Arial Narrow" w:cstheme="minorHAnsi"/>
          <w:b/>
          <w:bCs/>
          <w:sz w:val="24"/>
          <w:szCs w:val="24"/>
          <w:vertAlign w:val="baseline"/>
          <w:lang w:eastAsia="es-ES"/>
        </w:rPr>
        <w:t>3</w:t>
      </w:r>
      <w:r w:rsidRPr="000A149E">
        <w:rPr>
          <w:rFonts w:ascii="Arial Narrow" w:hAnsi="Arial Narrow" w:cstheme="minorHAnsi"/>
          <w:b/>
          <w:bCs/>
          <w:sz w:val="24"/>
          <w:szCs w:val="24"/>
          <w:vertAlign w:val="baseline"/>
          <w:lang w:eastAsia="es-ES"/>
        </w:rPr>
        <w:t>.-</w:t>
      </w:r>
      <w:r w:rsidRPr="004A612F">
        <w:rPr>
          <w:rFonts w:ascii="Arial Narrow" w:hAnsi="Arial Narrow"/>
          <w:b/>
          <w:sz w:val="24"/>
          <w:szCs w:val="24"/>
          <w:vertAlign w:val="baseline"/>
        </w:rPr>
        <w:t xml:space="preserve"> </w:t>
      </w:r>
      <w:r w:rsidRPr="004A612F">
        <w:rPr>
          <w:rFonts w:ascii="Arial Narrow" w:hAnsi="Arial Narrow"/>
          <w:sz w:val="24"/>
          <w:szCs w:val="24"/>
          <w:vertAlign w:val="baseline"/>
        </w:rPr>
        <w:t xml:space="preserve">Los incumplimientos a </w:t>
      </w:r>
      <w:r w:rsidR="00863EAE">
        <w:rPr>
          <w:rFonts w:ascii="Arial Narrow" w:hAnsi="Arial Narrow"/>
          <w:sz w:val="24"/>
          <w:szCs w:val="24"/>
          <w:vertAlign w:val="baseline"/>
        </w:rPr>
        <w:t xml:space="preserve">las </w:t>
      </w:r>
      <w:r w:rsidRPr="004A612F">
        <w:rPr>
          <w:rFonts w:ascii="Arial Narrow" w:hAnsi="Arial Narrow"/>
          <w:sz w:val="24"/>
          <w:szCs w:val="24"/>
          <w:vertAlign w:val="baseline"/>
        </w:rPr>
        <w:t>disposiciones contenidas en la presentes Normas, serán sancionados de conformidad a lo establecido en la Ley de Supervisión y Regulación del Sistema Financiero.</w:t>
      </w:r>
    </w:p>
    <w:p w14:paraId="018B5303" w14:textId="77777777" w:rsidR="00863EAE" w:rsidRDefault="00863EAE" w:rsidP="008560EA">
      <w:pPr>
        <w:jc w:val="both"/>
        <w:rPr>
          <w:rFonts w:ascii="Arial Narrow" w:hAnsi="Arial Narrow" w:cstheme="minorHAnsi"/>
          <w:b/>
        </w:rPr>
      </w:pPr>
    </w:p>
    <w:p w14:paraId="018B5304" w14:textId="77777777" w:rsidR="00B94F7D" w:rsidRDefault="00B94F7D" w:rsidP="00B94F7D">
      <w:pPr>
        <w:jc w:val="both"/>
        <w:rPr>
          <w:rFonts w:ascii="Arial Narrow" w:hAnsi="Arial Narrow" w:cs="Calibri"/>
        </w:rPr>
      </w:pPr>
      <w:r>
        <w:rPr>
          <w:rFonts w:ascii="Arial Narrow" w:hAnsi="Arial Narrow" w:cs="Calibri"/>
          <w:b/>
        </w:rPr>
        <w:t>Transitorios y derogatoria</w:t>
      </w:r>
    </w:p>
    <w:p w14:paraId="018B5305" w14:textId="796CF8AF" w:rsidR="008560EA" w:rsidRDefault="00B94F7D" w:rsidP="008560EA">
      <w:pPr>
        <w:jc w:val="both"/>
        <w:rPr>
          <w:rFonts w:ascii="Arial Narrow" w:hAnsi="Arial Narrow" w:cstheme="minorHAnsi"/>
        </w:rPr>
      </w:pPr>
      <w:r>
        <w:rPr>
          <w:rFonts w:ascii="Arial Narrow" w:hAnsi="Arial Narrow" w:cs="Calibri"/>
          <w:b/>
          <w:bCs/>
        </w:rPr>
        <w:t>Art. 24.-</w:t>
      </w:r>
      <w:r w:rsidR="007136EB" w:rsidRPr="00C102BC">
        <w:rPr>
          <w:rFonts w:ascii="Arial Narrow" w:hAnsi="Arial Narrow" w:cstheme="minorHAnsi"/>
        </w:rPr>
        <w:t xml:space="preserve">Para cumplir con las disposiciones de estas Normas, las entidades deben presentar a la Superintendencia un plan de </w:t>
      </w:r>
      <w:r w:rsidR="007136EB">
        <w:rPr>
          <w:rFonts w:ascii="Arial Narrow" w:hAnsi="Arial Narrow" w:cstheme="minorHAnsi"/>
        </w:rPr>
        <w:t xml:space="preserve">adecuación </w:t>
      </w:r>
      <w:r w:rsidR="007136EB" w:rsidRPr="00C102BC">
        <w:rPr>
          <w:rFonts w:ascii="Arial Narrow" w:hAnsi="Arial Narrow" w:cstheme="minorHAnsi"/>
        </w:rPr>
        <w:t>dentro de los seis meses siguientes a la vigencia de la misma. Una vez presentado el plan, las entidades deben implementarlo en un plazo máximo de seis meses, contados a partir de la presentación de dicho plan.</w:t>
      </w:r>
    </w:p>
    <w:p w14:paraId="018B5306" w14:textId="77777777" w:rsidR="00BF55E0" w:rsidRPr="00B94F7D" w:rsidRDefault="00BF55E0" w:rsidP="008560EA">
      <w:pPr>
        <w:jc w:val="both"/>
        <w:rPr>
          <w:rFonts w:ascii="Arial Narrow" w:hAnsi="Arial Narrow" w:cstheme="minorHAnsi"/>
        </w:rPr>
      </w:pPr>
    </w:p>
    <w:p w14:paraId="018B5307" w14:textId="77777777" w:rsidR="008560EA" w:rsidRDefault="000A149E" w:rsidP="008560EA">
      <w:pPr>
        <w:autoSpaceDE w:val="0"/>
        <w:autoSpaceDN w:val="0"/>
        <w:adjustRightInd w:val="0"/>
        <w:jc w:val="both"/>
        <w:rPr>
          <w:rFonts w:ascii="Arial Narrow" w:hAnsi="Arial Narrow" w:cstheme="minorHAnsi"/>
        </w:rPr>
      </w:pPr>
      <w:r>
        <w:rPr>
          <w:rFonts w:ascii="Arial Narrow" w:hAnsi="Arial Narrow" w:cstheme="minorHAnsi"/>
          <w:b/>
        </w:rPr>
        <w:t>Art. 25</w:t>
      </w:r>
      <w:r w:rsidR="008560EA" w:rsidRPr="004A612F">
        <w:rPr>
          <w:rFonts w:ascii="Arial Narrow" w:hAnsi="Arial Narrow" w:cstheme="minorHAnsi"/>
          <w:b/>
        </w:rPr>
        <w:t>.-</w:t>
      </w:r>
      <w:r w:rsidR="008560EA" w:rsidRPr="004A612F">
        <w:rPr>
          <w:rFonts w:ascii="Arial Narrow" w:hAnsi="Arial Narrow" w:cstheme="minorHAnsi"/>
        </w:rPr>
        <w:t xml:space="preserve"> Los detalles técnicos relacionados con el envío de </w:t>
      </w:r>
      <w:r w:rsidR="008A0E29" w:rsidRPr="004A612F">
        <w:rPr>
          <w:rFonts w:ascii="Arial Narrow" w:hAnsi="Arial Narrow" w:cstheme="minorHAnsi"/>
        </w:rPr>
        <w:t>información</w:t>
      </w:r>
      <w:r w:rsidR="008560EA" w:rsidRPr="004A612F">
        <w:rPr>
          <w:rFonts w:ascii="Arial Narrow" w:hAnsi="Arial Narrow" w:cstheme="minorHAnsi"/>
        </w:rPr>
        <w:t xml:space="preserve"> solicitada en </w:t>
      </w:r>
      <w:r w:rsidR="009835F4" w:rsidRPr="008A0E29">
        <w:rPr>
          <w:rFonts w:ascii="Arial Narrow" w:hAnsi="Arial Narrow" w:cstheme="minorHAnsi"/>
        </w:rPr>
        <w:t xml:space="preserve">los Anexos No.1 y No.2 </w:t>
      </w:r>
      <w:r w:rsidR="009835F4" w:rsidRPr="00E86795">
        <w:rPr>
          <w:rFonts w:ascii="Arial Narrow" w:hAnsi="Arial Narrow" w:cstheme="minorHAnsi"/>
        </w:rPr>
        <w:t>requeridos</w:t>
      </w:r>
      <w:r w:rsidR="008560EA" w:rsidRPr="00E86795">
        <w:rPr>
          <w:rFonts w:ascii="Arial Narrow" w:hAnsi="Arial Narrow" w:cstheme="minorHAnsi"/>
        </w:rPr>
        <w:t xml:space="preserve"> en el artículo 2</w:t>
      </w:r>
      <w:r w:rsidR="00E561C6" w:rsidRPr="00E86795">
        <w:rPr>
          <w:rFonts w:ascii="Arial Narrow" w:hAnsi="Arial Narrow" w:cstheme="minorHAnsi"/>
        </w:rPr>
        <w:t>1</w:t>
      </w:r>
      <w:r w:rsidR="009B2A6E">
        <w:rPr>
          <w:rFonts w:ascii="Arial Narrow" w:hAnsi="Arial Narrow" w:cstheme="minorHAnsi"/>
        </w:rPr>
        <w:t xml:space="preserve"> </w:t>
      </w:r>
      <w:r w:rsidR="008560EA" w:rsidRPr="00E86795">
        <w:rPr>
          <w:rFonts w:ascii="Arial Narrow" w:hAnsi="Arial Narrow" w:cstheme="minorHAnsi"/>
        </w:rPr>
        <w:t>de</w:t>
      </w:r>
      <w:r w:rsidR="008560EA" w:rsidRPr="004A612F">
        <w:rPr>
          <w:rFonts w:ascii="Arial Narrow" w:hAnsi="Arial Narrow" w:cstheme="minorHAnsi"/>
        </w:rPr>
        <w:t xml:space="preserve"> las presentes Normas, serán comunicados por la Superintendencia</w:t>
      </w:r>
      <w:r w:rsidR="006479F3">
        <w:rPr>
          <w:rFonts w:ascii="Arial Narrow" w:hAnsi="Arial Narrow" w:cstheme="minorHAnsi"/>
        </w:rPr>
        <w:t>,</w:t>
      </w:r>
      <w:r w:rsidR="008560EA" w:rsidRPr="004A612F">
        <w:rPr>
          <w:rFonts w:ascii="Arial Narrow" w:hAnsi="Arial Narrow" w:cstheme="minorHAnsi"/>
        </w:rPr>
        <w:t xml:space="preserve"> </w:t>
      </w:r>
      <w:r w:rsidR="000E503E">
        <w:rPr>
          <w:rFonts w:ascii="Arial Narrow" w:hAnsi="Arial Narrow" w:cstheme="minorHAnsi"/>
        </w:rPr>
        <w:t xml:space="preserve">en un plazo </w:t>
      </w:r>
      <w:r w:rsidR="006F1FDE">
        <w:rPr>
          <w:rFonts w:ascii="Arial Narrow" w:hAnsi="Arial Narrow" w:cstheme="minorHAnsi"/>
        </w:rPr>
        <w:t xml:space="preserve">máximo de sesenta días posterior a la </w:t>
      </w:r>
      <w:r w:rsidR="006479F3">
        <w:rPr>
          <w:rFonts w:ascii="Arial Narrow" w:hAnsi="Arial Narrow" w:cstheme="minorHAnsi"/>
        </w:rPr>
        <w:t>entrada en vigencia de las presentes Normas.</w:t>
      </w:r>
    </w:p>
    <w:p w14:paraId="46FC5AF4" w14:textId="77777777" w:rsidR="001B3AD1" w:rsidRPr="0071651D" w:rsidRDefault="001B3AD1" w:rsidP="008560EA">
      <w:pPr>
        <w:autoSpaceDE w:val="0"/>
        <w:autoSpaceDN w:val="0"/>
        <w:adjustRightInd w:val="0"/>
        <w:jc w:val="both"/>
        <w:rPr>
          <w:rFonts w:ascii="Arial Narrow" w:hAnsi="Arial Narrow" w:cstheme="minorHAnsi"/>
          <w:color w:val="FF0000"/>
        </w:rPr>
      </w:pPr>
    </w:p>
    <w:p w14:paraId="018B5309" w14:textId="77777777" w:rsidR="00B619AD" w:rsidRDefault="000A149E" w:rsidP="0083063C">
      <w:pPr>
        <w:autoSpaceDE w:val="0"/>
        <w:autoSpaceDN w:val="0"/>
        <w:adjustRightInd w:val="0"/>
        <w:jc w:val="both"/>
        <w:rPr>
          <w:rFonts w:ascii="Arial" w:hAnsi="Arial" w:cs="Arial"/>
        </w:rPr>
      </w:pPr>
      <w:r w:rsidRPr="00424CA5">
        <w:rPr>
          <w:rFonts w:ascii="Arial Narrow" w:hAnsi="Arial Narrow" w:cstheme="minorHAnsi"/>
          <w:b/>
        </w:rPr>
        <w:t>Art. 26</w:t>
      </w:r>
      <w:r w:rsidR="008560EA" w:rsidRPr="00424CA5">
        <w:rPr>
          <w:rFonts w:ascii="Arial Narrow" w:hAnsi="Arial Narrow" w:cstheme="minorHAnsi"/>
          <w:b/>
        </w:rPr>
        <w:t>.-</w:t>
      </w:r>
      <w:r w:rsidR="008560EA" w:rsidRPr="000105D0">
        <w:rPr>
          <w:rFonts w:ascii="Arial Narrow" w:hAnsi="Arial Narrow" w:cstheme="minorHAnsi"/>
          <w:bCs/>
        </w:rPr>
        <w:t xml:space="preserve"> Las entidades remitirán la información solicitada en el artículo 2</w:t>
      </w:r>
      <w:r w:rsidR="001E60E3" w:rsidRPr="000105D0">
        <w:rPr>
          <w:rFonts w:ascii="Arial Narrow" w:hAnsi="Arial Narrow" w:cstheme="minorHAnsi"/>
          <w:bCs/>
        </w:rPr>
        <w:t>1</w:t>
      </w:r>
      <w:r w:rsidR="00E210B0">
        <w:rPr>
          <w:rFonts w:ascii="Arial Narrow" w:hAnsi="Arial Narrow" w:cstheme="minorHAnsi"/>
          <w:bCs/>
        </w:rPr>
        <w:t xml:space="preserve"> de las presentes Normas</w:t>
      </w:r>
      <w:r w:rsidR="008560EA" w:rsidRPr="000105D0">
        <w:rPr>
          <w:rFonts w:ascii="Arial Narrow" w:hAnsi="Arial Narrow" w:cstheme="minorHAnsi"/>
          <w:bCs/>
        </w:rPr>
        <w:t>, a partir de</w:t>
      </w:r>
      <w:r w:rsidR="00B96A31" w:rsidRPr="000105D0">
        <w:rPr>
          <w:rFonts w:ascii="Arial Narrow" w:hAnsi="Arial Narrow" w:cstheme="minorHAnsi"/>
          <w:bCs/>
        </w:rPr>
        <w:t xml:space="preserve"> </w:t>
      </w:r>
      <w:r w:rsidR="00275FC9">
        <w:rPr>
          <w:rFonts w:ascii="Arial Narrow" w:hAnsi="Arial Narrow" w:cstheme="minorHAnsi"/>
          <w:bCs/>
        </w:rPr>
        <w:t xml:space="preserve">octubre </w:t>
      </w:r>
      <w:r w:rsidR="00A439A5" w:rsidRPr="000105D0">
        <w:rPr>
          <w:rFonts w:ascii="Arial Narrow" w:hAnsi="Arial Narrow" w:cstheme="minorHAnsi"/>
          <w:bCs/>
        </w:rPr>
        <w:t>de dos mil trece,</w:t>
      </w:r>
      <w:r w:rsidR="008560EA" w:rsidRPr="000105D0">
        <w:rPr>
          <w:rFonts w:ascii="Arial Narrow" w:hAnsi="Arial Narrow" w:cstheme="minorHAnsi"/>
          <w:bCs/>
        </w:rPr>
        <w:t xml:space="preserve"> </w:t>
      </w:r>
      <w:r w:rsidR="008560EA" w:rsidRPr="000105D0">
        <w:rPr>
          <w:rFonts w:ascii="Arial Narrow" w:hAnsi="Arial Narrow" w:cstheme="minorHAnsi"/>
        </w:rPr>
        <w:t xml:space="preserve">fecha </w:t>
      </w:r>
      <w:r w:rsidR="002D6AFD" w:rsidRPr="000105D0">
        <w:rPr>
          <w:rFonts w:ascii="Arial Narrow" w:hAnsi="Arial Narrow" w:cstheme="minorHAnsi"/>
        </w:rPr>
        <w:t xml:space="preserve">en </w:t>
      </w:r>
      <w:r w:rsidR="008560EA" w:rsidRPr="000105D0">
        <w:rPr>
          <w:rFonts w:ascii="Arial Narrow" w:hAnsi="Arial Narrow" w:cstheme="minorHAnsi"/>
        </w:rPr>
        <w:t>la cual</w:t>
      </w:r>
      <w:r w:rsidR="008560EA" w:rsidRPr="000105D0">
        <w:rPr>
          <w:rFonts w:ascii="Arial Narrow" w:hAnsi="Arial Narrow" w:cstheme="minorHAnsi"/>
          <w:bCs/>
        </w:rPr>
        <w:t xml:space="preserve"> quedan derogadas las Normas para Determinar las Relaciones de Plazo entre las Operaciones Activas y Pasivas de los Bancos, (NPB3-08) aprobadas por el Consejo Directivo de la Superintendencia del Sistema </w:t>
      </w:r>
      <w:r w:rsidR="008560EA" w:rsidRPr="00DB51F9">
        <w:rPr>
          <w:rFonts w:ascii="Arial Narrow" w:hAnsi="Arial Narrow" w:cstheme="minorHAnsi"/>
          <w:bCs/>
        </w:rPr>
        <w:t>Financiero,</w:t>
      </w:r>
      <w:r w:rsidR="00DB51F9" w:rsidRPr="00DB51F9">
        <w:rPr>
          <w:rFonts w:ascii="Arial Narrow" w:hAnsi="Arial Narrow" w:cstheme="minorHAnsi"/>
          <w:bCs/>
        </w:rPr>
        <w:t xml:space="preserve"> cuya Ley Orgánica </w:t>
      </w:r>
      <w:r w:rsidR="001568F3">
        <w:rPr>
          <w:rFonts w:ascii="Arial Narrow" w:hAnsi="Arial Narrow" w:cstheme="minorHAnsi"/>
          <w:bCs/>
        </w:rPr>
        <w:t>se derogó</w:t>
      </w:r>
      <w:r w:rsidR="008D4C78" w:rsidRPr="00DB51F9">
        <w:rPr>
          <w:rFonts w:ascii="Arial Narrow" w:hAnsi="Arial Narrow" w:cstheme="minorHAnsi"/>
          <w:bCs/>
        </w:rPr>
        <w:t xml:space="preserve"> </w:t>
      </w:r>
      <w:r w:rsidR="001568F3">
        <w:rPr>
          <w:rFonts w:ascii="Arial Narrow" w:hAnsi="Arial Narrow" w:cstheme="minorHAnsi"/>
          <w:bCs/>
        </w:rPr>
        <w:t>por Decreto Legislativo Número 592 que contiene la Ley de Supervisión y Reg</w:t>
      </w:r>
      <w:r w:rsidR="00424CA5">
        <w:rPr>
          <w:rFonts w:ascii="Arial Narrow" w:hAnsi="Arial Narrow" w:cstheme="minorHAnsi"/>
          <w:bCs/>
        </w:rPr>
        <w:t>ulación del Sistema Financiero,</w:t>
      </w:r>
      <w:r w:rsidR="008D4C78" w:rsidRPr="00DB51F9">
        <w:rPr>
          <w:rFonts w:ascii="Arial Narrow" w:hAnsi="Arial Narrow" w:cstheme="minorHAnsi"/>
          <w:bCs/>
        </w:rPr>
        <w:t xml:space="preserve"> publicada en el Diario Oficial Número 23, Tomo 390,</w:t>
      </w:r>
      <w:r w:rsidR="001568F3">
        <w:rPr>
          <w:rFonts w:ascii="Arial Narrow" w:hAnsi="Arial Narrow" w:cstheme="minorHAnsi"/>
          <w:bCs/>
        </w:rPr>
        <w:t xml:space="preserve"> de fecha</w:t>
      </w:r>
      <w:r w:rsidR="008D4C78" w:rsidRPr="00DB51F9">
        <w:rPr>
          <w:rFonts w:ascii="Arial Narrow" w:hAnsi="Arial Narrow" w:cstheme="minorHAnsi"/>
          <w:bCs/>
        </w:rPr>
        <w:t xml:space="preserve"> 2 de febrero de </w:t>
      </w:r>
      <w:r w:rsidR="008D4C78" w:rsidRPr="0044744D">
        <w:rPr>
          <w:rFonts w:ascii="Arial Narrow" w:hAnsi="Arial Narrow" w:cstheme="minorHAnsi"/>
          <w:bCs/>
        </w:rPr>
        <w:t>2011</w:t>
      </w:r>
      <w:r w:rsidR="0083063C" w:rsidRPr="0044744D">
        <w:rPr>
          <w:rFonts w:ascii="Arial" w:hAnsi="Arial" w:cs="Arial"/>
        </w:rPr>
        <w:t>.</w:t>
      </w:r>
      <w:r w:rsidR="00DE7CA4" w:rsidRPr="0044744D">
        <w:rPr>
          <w:rFonts w:ascii="Arial" w:hAnsi="Arial" w:cs="Arial"/>
          <w:lang w:val="es-MX"/>
        </w:rPr>
        <w:t xml:space="preserve"> </w:t>
      </w:r>
      <w:r w:rsidR="00DE7CA4" w:rsidRPr="0044744D">
        <w:rPr>
          <w:rFonts w:ascii="Arial Narrow" w:hAnsi="Arial Narrow" w:cs="Arial"/>
          <w:lang w:val="es-MX"/>
        </w:rPr>
        <w:t>(1)</w:t>
      </w:r>
    </w:p>
    <w:p w14:paraId="018B530A" w14:textId="77777777" w:rsidR="00DB51F9" w:rsidRPr="004A612F" w:rsidRDefault="00DB51F9" w:rsidP="0083063C">
      <w:pPr>
        <w:autoSpaceDE w:val="0"/>
        <w:autoSpaceDN w:val="0"/>
        <w:adjustRightInd w:val="0"/>
        <w:jc w:val="both"/>
        <w:rPr>
          <w:rFonts w:ascii="Arial Narrow" w:hAnsi="Arial Narrow" w:cstheme="minorHAnsi"/>
          <w:b/>
        </w:rPr>
      </w:pPr>
    </w:p>
    <w:p w14:paraId="018B530B" w14:textId="77777777" w:rsidR="008560EA" w:rsidRPr="004A612F" w:rsidRDefault="008560EA" w:rsidP="008560EA">
      <w:pPr>
        <w:jc w:val="both"/>
        <w:rPr>
          <w:rFonts w:ascii="Arial Narrow" w:hAnsi="Arial Narrow" w:cstheme="minorHAnsi"/>
          <w:b/>
        </w:rPr>
      </w:pPr>
      <w:r w:rsidRPr="004A612F">
        <w:rPr>
          <w:rFonts w:ascii="Arial Narrow" w:hAnsi="Arial Narrow" w:cstheme="minorHAnsi"/>
          <w:b/>
        </w:rPr>
        <w:t>Aspectos no previstos</w:t>
      </w:r>
    </w:p>
    <w:p w14:paraId="018B530C" w14:textId="77777777" w:rsidR="008560EA" w:rsidRPr="004A612F" w:rsidRDefault="000A149E" w:rsidP="008560EA">
      <w:pPr>
        <w:jc w:val="both"/>
        <w:rPr>
          <w:rFonts w:ascii="Arial Narrow" w:hAnsi="Arial Narrow"/>
        </w:rPr>
      </w:pPr>
      <w:r>
        <w:rPr>
          <w:rFonts w:ascii="Arial Narrow" w:hAnsi="Arial Narrow" w:cstheme="minorHAnsi"/>
          <w:b/>
        </w:rPr>
        <w:t>Art. 27</w:t>
      </w:r>
      <w:r w:rsidR="008560EA" w:rsidRPr="004A612F">
        <w:rPr>
          <w:rFonts w:ascii="Arial Narrow" w:hAnsi="Arial Narrow" w:cstheme="minorHAnsi"/>
          <w:b/>
        </w:rPr>
        <w:t>.-</w:t>
      </w:r>
      <w:r w:rsidR="008560EA" w:rsidRPr="004A612F">
        <w:rPr>
          <w:rFonts w:ascii="Arial Narrow" w:hAnsi="Arial Narrow" w:cstheme="minorHAnsi"/>
        </w:rPr>
        <w:t xml:space="preserve"> </w:t>
      </w:r>
      <w:r w:rsidR="008560EA" w:rsidRPr="004A612F">
        <w:rPr>
          <w:rFonts w:ascii="Arial Narrow" w:hAnsi="Arial Narrow" w:cstheme="minorHAnsi"/>
          <w:bCs/>
        </w:rPr>
        <w:t>Los aspectos no previstos en</w:t>
      </w:r>
      <w:r w:rsidR="006F5CD4">
        <w:rPr>
          <w:rFonts w:ascii="Arial Narrow" w:hAnsi="Arial Narrow" w:cstheme="minorHAnsi"/>
          <w:bCs/>
        </w:rPr>
        <w:t xml:space="preserve"> temas de regulación en</w:t>
      </w:r>
      <w:r w:rsidR="008560EA" w:rsidRPr="004A612F">
        <w:rPr>
          <w:rFonts w:ascii="Arial Narrow" w:hAnsi="Arial Narrow" w:cstheme="minorHAnsi"/>
          <w:bCs/>
        </w:rPr>
        <w:t xml:space="preserve"> las presentes Normas serán resueltos por el Comité de Normas del Banco Central de Reserva de El Salvador.</w:t>
      </w:r>
    </w:p>
    <w:p w14:paraId="018B530D" w14:textId="77777777" w:rsidR="006F5CD4" w:rsidRDefault="006F5CD4" w:rsidP="006F5CD4">
      <w:pPr>
        <w:jc w:val="both"/>
        <w:rPr>
          <w:rFonts w:ascii="Arial Narrow" w:hAnsi="Arial Narrow" w:cstheme="minorHAnsi"/>
          <w:b/>
        </w:rPr>
      </w:pPr>
    </w:p>
    <w:p w14:paraId="018B530E" w14:textId="77777777" w:rsidR="008560EA" w:rsidRPr="004A612F" w:rsidRDefault="008560EA" w:rsidP="008560EA">
      <w:pPr>
        <w:jc w:val="both"/>
        <w:rPr>
          <w:rFonts w:ascii="Arial Narrow" w:hAnsi="Arial Narrow" w:cstheme="minorHAnsi"/>
          <w:b/>
        </w:rPr>
      </w:pPr>
      <w:r w:rsidRPr="004A612F">
        <w:rPr>
          <w:rFonts w:ascii="Arial Narrow" w:hAnsi="Arial Narrow" w:cstheme="minorHAnsi"/>
          <w:b/>
        </w:rPr>
        <w:t>Vigencia</w:t>
      </w:r>
    </w:p>
    <w:p w14:paraId="018B530F" w14:textId="77777777" w:rsidR="008560EA" w:rsidRDefault="000A149E" w:rsidP="008560EA">
      <w:pPr>
        <w:jc w:val="both"/>
        <w:rPr>
          <w:rFonts w:ascii="Arial Narrow" w:hAnsi="Arial Narrow" w:cstheme="minorHAnsi"/>
          <w:bCs/>
        </w:rPr>
      </w:pPr>
      <w:r>
        <w:rPr>
          <w:rFonts w:ascii="Arial Narrow" w:hAnsi="Arial Narrow" w:cstheme="minorHAnsi"/>
          <w:b/>
        </w:rPr>
        <w:t>Art. 28</w:t>
      </w:r>
      <w:r w:rsidR="008560EA" w:rsidRPr="004A612F">
        <w:rPr>
          <w:rFonts w:ascii="Arial Narrow" w:hAnsi="Arial Narrow" w:cstheme="minorHAnsi"/>
          <w:b/>
        </w:rPr>
        <w:t>.</w:t>
      </w:r>
      <w:r w:rsidR="008560EA" w:rsidRPr="004A612F">
        <w:rPr>
          <w:rFonts w:ascii="Arial Narrow" w:hAnsi="Arial Narrow" w:cstheme="minorHAnsi"/>
        </w:rPr>
        <w:t>- Las presentes Normas entr</w:t>
      </w:r>
      <w:r w:rsidR="00AB0A80">
        <w:rPr>
          <w:rFonts w:ascii="Arial Narrow" w:hAnsi="Arial Narrow" w:cstheme="minorHAnsi"/>
        </w:rPr>
        <w:t>arán</w:t>
      </w:r>
      <w:r w:rsidR="005B0862">
        <w:rPr>
          <w:rFonts w:ascii="Arial Narrow" w:hAnsi="Arial Narrow" w:cstheme="minorHAnsi"/>
        </w:rPr>
        <w:t xml:space="preserve"> en vigencia a </w:t>
      </w:r>
      <w:r w:rsidR="005B0862" w:rsidRPr="00816133">
        <w:rPr>
          <w:rFonts w:ascii="Arial Narrow" w:hAnsi="Arial Narrow" w:cstheme="minorHAnsi"/>
          <w:bCs/>
        </w:rPr>
        <w:t xml:space="preserve">partir del </w:t>
      </w:r>
      <w:r w:rsidR="004A06FE">
        <w:rPr>
          <w:rFonts w:ascii="Arial Narrow" w:hAnsi="Arial Narrow" w:cstheme="minorHAnsi"/>
          <w:bCs/>
        </w:rPr>
        <w:t>uno</w:t>
      </w:r>
      <w:r w:rsidR="00F71EBE">
        <w:rPr>
          <w:rFonts w:ascii="Arial Narrow" w:hAnsi="Arial Narrow" w:cstheme="minorHAnsi"/>
          <w:bCs/>
        </w:rPr>
        <w:t xml:space="preserve"> </w:t>
      </w:r>
      <w:r w:rsidRPr="00816133">
        <w:rPr>
          <w:rFonts w:ascii="Arial Narrow" w:hAnsi="Arial Narrow" w:cstheme="minorHAnsi"/>
          <w:bCs/>
        </w:rPr>
        <w:t xml:space="preserve">de </w:t>
      </w:r>
      <w:r w:rsidR="004A06FE">
        <w:rPr>
          <w:rFonts w:ascii="Arial Narrow" w:hAnsi="Arial Narrow" w:cstheme="minorHAnsi"/>
          <w:bCs/>
        </w:rPr>
        <w:t>octubre</w:t>
      </w:r>
      <w:r w:rsidR="008560EA" w:rsidRPr="00816133">
        <w:rPr>
          <w:rFonts w:ascii="Arial Narrow" w:hAnsi="Arial Narrow" w:cstheme="minorHAnsi"/>
          <w:bCs/>
        </w:rPr>
        <w:t xml:space="preserve"> d</w:t>
      </w:r>
      <w:r w:rsidRPr="00816133">
        <w:rPr>
          <w:rFonts w:ascii="Arial Narrow" w:hAnsi="Arial Narrow" w:cstheme="minorHAnsi"/>
          <w:bCs/>
        </w:rPr>
        <w:t xml:space="preserve">e dos mil </w:t>
      </w:r>
      <w:r w:rsidR="003E55F1">
        <w:rPr>
          <w:rFonts w:ascii="Arial Narrow" w:hAnsi="Arial Narrow" w:cstheme="minorHAnsi"/>
          <w:bCs/>
        </w:rPr>
        <w:t>doce</w:t>
      </w:r>
      <w:r w:rsidRPr="00816133">
        <w:rPr>
          <w:rFonts w:ascii="Arial Narrow" w:hAnsi="Arial Narrow" w:cstheme="minorHAnsi"/>
          <w:bCs/>
        </w:rPr>
        <w:t>.</w:t>
      </w:r>
    </w:p>
    <w:p w14:paraId="5A3A1223" w14:textId="77777777" w:rsidR="001B3AD1" w:rsidRDefault="001B3AD1" w:rsidP="008560EA">
      <w:pPr>
        <w:jc w:val="both"/>
        <w:rPr>
          <w:rFonts w:ascii="Arial Narrow" w:hAnsi="Arial Narrow" w:cstheme="minorHAnsi"/>
          <w:bCs/>
        </w:rPr>
      </w:pPr>
    </w:p>
    <w:p w14:paraId="00D6BE35" w14:textId="77777777" w:rsidR="001B3AD1" w:rsidRDefault="001B3AD1" w:rsidP="008560EA">
      <w:pPr>
        <w:jc w:val="both"/>
        <w:rPr>
          <w:rFonts w:ascii="Arial Narrow" w:hAnsi="Arial Narrow" w:cstheme="minorHAnsi"/>
          <w:bCs/>
        </w:rPr>
      </w:pPr>
    </w:p>
    <w:p w14:paraId="648D53A6" w14:textId="77777777" w:rsidR="00F07C94" w:rsidRDefault="00F07C94" w:rsidP="008560EA">
      <w:pPr>
        <w:jc w:val="both"/>
        <w:rPr>
          <w:rFonts w:ascii="Arial Narrow" w:hAnsi="Arial Narrow" w:cstheme="minorHAnsi"/>
          <w:bCs/>
        </w:rPr>
      </w:pPr>
    </w:p>
    <w:p w14:paraId="018B5312" w14:textId="3C883338" w:rsidR="00880F68" w:rsidRPr="001B3AD1" w:rsidRDefault="001B3AD1" w:rsidP="001B3AD1">
      <w:pPr>
        <w:ind w:left="425" w:hanging="425"/>
        <w:jc w:val="both"/>
        <w:rPr>
          <w:rFonts w:ascii="Arial Narrow" w:hAnsi="Arial Narrow" w:cstheme="minorHAnsi"/>
          <w:b/>
          <w:bCs/>
          <w:sz w:val="22"/>
          <w:szCs w:val="22"/>
        </w:rPr>
      </w:pPr>
      <w:r w:rsidRPr="001B3AD1">
        <w:rPr>
          <w:rFonts w:ascii="Arial Narrow" w:hAnsi="Arial Narrow" w:cstheme="minorHAnsi"/>
          <w:b/>
          <w:bCs/>
          <w:sz w:val="22"/>
          <w:szCs w:val="22"/>
        </w:rPr>
        <w:t>MODIFICACIONES:</w:t>
      </w:r>
    </w:p>
    <w:p w14:paraId="018B5313" w14:textId="35CE76F4" w:rsidR="00DE7CA4" w:rsidRDefault="00766658" w:rsidP="00BB3EA5">
      <w:pPr>
        <w:pStyle w:val="Prrafodelista"/>
        <w:numPr>
          <w:ilvl w:val="0"/>
          <w:numId w:val="21"/>
        </w:numPr>
        <w:ind w:left="425" w:hanging="425"/>
        <w:jc w:val="both"/>
        <w:rPr>
          <w:rFonts w:ascii="Arial Narrow" w:hAnsi="Arial Narrow" w:cs="Arial"/>
          <w:b/>
          <w:sz w:val="22"/>
          <w:szCs w:val="22"/>
        </w:rPr>
      </w:pPr>
      <w:r w:rsidRPr="00BB3EA5">
        <w:rPr>
          <w:rFonts w:ascii="Arial Narrow" w:hAnsi="Arial Narrow" w:cs="Arial"/>
          <w:b/>
          <w:sz w:val="22"/>
          <w:szCs w:val="22"/>
        </w:rPr>
        <w:t xml:space="preserve">Se amplió </w:t>
      </w:r>
      <w:r w:rsidR="00DE7CA4" w:rsidRPr="00BB3EA5">
        <w:rPr>
          <w:rFonts w:ascii="Arial Narrow" w:hAnsi="Arial Narrow" w:cs="Arial"/>
          <w:b/>
          <w:sz w:val="22"/>
          <w:szCs w:val="22"/>
        </w:rPr>
        <w:t xml:space="preserve">el plazo de la remisión de la información para el mes de noviembre 2013 con información al mes de octubre por resolución </w:t>
      </w:r>
      <w:r w:rsidR="009805DC" w:rsidRPr="00BB3EA5">
        <w:rPr>
          <w:rFonts w:ascii="Arial Narrow" w:hAnsi="Arial Narrow" w:cs="Arial"/>
          <w:b/>
          <w:sz w:val="22"/>
          <w:szCs w:val="22"/>
        </w:rPr>
        <w:t>de Comité de Normas del Banco Central de Reserva de El Salvador, en</w:t>
      </w:r>
      <w:r w:rsidR="00DE7CA4" w:rsidRPr="00BB3EA5">
        <w:rPr>
          <w:rFonts w:ascii="Arial Narrow" w:hAnsi="Arial Narrow" w:cs="Arial"/>
          <w:b/>
          <w:sz w:val="22"/>
          <w:szCs w:val="22"/>
        </w:rPr>
        <w:t xml:space="preserve"> Sesión No. CN-11/2013 de fecha 27 de septiembre de dos mil trece.</w:t>
      </w:r>
    </w:p>
    <w:p w14:paraId="3345898B" w14:textId="733C5D5B" w:rsidR="00BB3EA5" w:rsidRDefault="00BB3EA5" w:rsidP="006B7354">
      <w:pPr>
        <w:pStyle w:val="0AcapiteIN"/>
        <w:numPr>
          <w:ilvl w:val="0"/>
          <w:numId w:val="21"/>
        </w:numPr>
        <w:ind w:left="425" w:hanging="425"/>
        <w:jc w:val="both"/>
        <w:rPr>
          <w:sz w:val="22"/>
        </w:rPr>
      </w:pPr>
      <w:r>
        <w:rPr>
          <w:sz w:val="22"/>
        </w:rPr>
        <w:t xml:space="preserve">Modificaciones Aprobadas por el Comité de Normas del Banco Central de Reserva de </w:t>
      </w:r>
      <w:r w:rsidR="001F0A82">
        <w:rPr>
          <w:sz w:val="22"/>
        </w:rPr>
        <w:t>El Salvador, en Sesión No. CN-01</w:t>
      </w:r>
      <w:r>
        <w:rPr>
          <w:sz w:val="22"/>
        </w:rPr>
        <w:t xml:space="preserve">/2019, de </w:t>
      </w:r>
      <w:r w:rsidR="001F0A82">
        <w:rPr>
          <w:sz w:val="22"/>
        </w:rPr>
        <w:t>2</w:t>
      </w:r>
      <w:r w:rsidR="009A2308">
        <w:rPr>
          <w:sz w:val="22"/>
        </w:rPr>
        <w:t>0</w:t>
      </w:r>
      <w:r>
        <w:rPr>
          <w:sz w:val="22"/>
        </w:rPr>
        <w:t xml:space="preserve"> de febrero de dos mil diecinueve, vigentes a partir del 01 de marzo de dos mil diecinueve.</w:t>
      </w:r>
    </w:p>
    <w:p w14:paraId="77DC37E3" w14:textId="77777777" w:rsidR="006B7354" w:rsidRDefault="006B7354" w:rsidP="006B7354">
      <w:pPr>
        <w:pStyle w:val="0AcapiteIN"/>
        <w:ind w:left="360"/>
        <w:jc w:val="both"/>
        <w:rPr>
          <w:sz w:val="22"/>
        </w:rPr>
      </w:pPr>
    </w:p>
    <w:p w14:paraId="5658EBCF" w14:textId="77777777" w:rsidR="006B7354" w:rsidRDefault="006B7354" w:rsidP="006B7354">
      <w:pPr>
        <w:pStyle w:val="0AcapiteIN"/>
        <w:ind w:left="360"/>
        <w:jc w:val="both"/>
        <w:rPr>
          <w:sz w:val="22"/>
        </w:rPr>
      </w:pPr>
    </w:p>
    <w:p w14:paraId="2C5B5737" w14:textId="77777777" w:rsidR="006B7354" w:rsidRDefault="006B7354" w:rsidP="006B7354">
      <w:pPr>
        <w:pStyle w:val="0AcapiteIN"/>
        <w:ind w:left="360"/>
        <w:jc w:val="both"/>
        <w:rPr>
          <w:sz w:val="22"/>
        </w:rPr>
      </w:pPr>
    </w:p>
    <w:p w14:paraId="472DABDA" w14:textId="77777777" w:rsidR="006B7354" w:rsidRDefault="006B7354" w:rsidP="006B7354">
      <w:pPr>
        <w:pStyle w:val="0AcapiteIN"/>
        <w:ind w:left="360"/>
        <w:jc w:val="both"/>
        <w:rPr>
          <w:sz w:val="22"/>
        </w:rPr>
      </w:pPr>
    </w:p>
    <w:p w14:paraId="3E269FFD" w14:textId="77777777" w:rsidR="006B7354" w:rsidRDefault="006B7354" w:rsidP="006B7354">
      <w:pPr>
        <w:pStyle w:val="0AcapiteIN"/>
        <w:ind w:left="360"/>
        <w:jc w:val="both"/>
        <w:rPr>
          <w:sz w:val="22"/>
        </w:rPr>
      </w:pPr>
    </w:p>
    <w:p w14:paraId="6AD485EC" w14:textId="77777777" w:rsidR="006B7354" w:rsidRDefault="006B7354" w:rsidP="006B7354">
      <w:pPr>
        <w:pStyle w:val="0AcapiteIN"/>
        <w:ind w:left="360"/>
        <w:jc w:val="both"/>
        <w:rPr>
          <w:sz w:val="22"/>
        </w:rPr>
      </w:pPr>
    </w:p>
    <w:p w14:paraId="44B0DE5F" w14:textId="77777777" w:rsidR="00BB3EA5" w:rsidRDefault="00BB3EA5" w:rsidP="006B7354">
      <w:pPr>
        <w:pStyle w:val="0AcapiteIN"/>
        <w:jc w:val="both"/>
        <w:rPr>
          <w:sz w:val="22"/>
        </w:rPr>
        <w:sectPr w:rsidR="00BB3EA5">
          <w:headerReference w:type="default" r:id="rId12"/>
          <w:footerReference w:type="default" r:id="rId13"/>
          <w:pgSz w:w="12240" w:h="15840"/>
          <w:pgMar w:top="1417" w:right="1701" w:bottom="1417" w:left="1701" w:header="708" w:footer="708" w:gutter="0"/>
          <w:cols w:space="708"/>
          <w:docGrid w:linePitch="360"/>
        </w:sectPr>
      </w:pPr>
    </w:p>
    <w:p w14:paraId="018B5315" w14:textId="632FA788" w:rsidR="006078D2" w:rsidRPr="00816133" w:rsidRDefault="00102770" w:rsidP="008560EA">
      <w:pPr>
        <w:jc w:val="both"/>
        <w:rPr>
          <w:rFonts w:ascii="Arial Narrow" w:hAnsi="Arial Narrow" w:cstheme="minorHAnsi"/>
          <w:bCs/>
        </w:rPr>
      </w:pPr>
      <w:r w:rsidRPr="00102770">
        <w:rPr>
          <w:noProof/>
          <w:lang w:val="es-MX" w:eastAsia="es-MX"/>
        </w:rPr>
        <w:drawing>
          <wp:inline distT="0" distB="0" distL="0" distR="0" wp14:anchorId="767DC7A1" wp14:editId="5E157DB0">
            <wp:extent cx="5788324" cy="5951567"/>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8015" cy="5961532"/>
                    </a:xfrm>
                    <a:prstGeom prst="rect">
                      <a:avLst/>
                    </a:prstGeom>
                    <a:noFill/>
                    <a:ln>
                      <a:noFill/>
                    </a:ln>
                  </pic:spPr>
                </pic:pic>
              </a:graphicData>
            </a:graphic>
          </wp:inline>
        </w:drawing>
      </w:r>
    </w:p>
    <w:p w14:paraId="7DD8E7D5" w14:textId="77777777" w:rsidR="00102770" w:rsidRDefault="00102770" w:rsidP="00393507">
      <w:pPr>
        <w:jc w:val="both"/>
        <w:rPr>
          <w:rFonts w:ascii="Arial Narrow" w:hAnsi="Arial Narrow" w:cstheme="minorHAnsi"/>
          <w:b/>
          <w:sz w:val="20"/>
          <w:szCs w:val="20"/>
        </w:rPr>
      </w:pPr>
    </w:p>
    <w:p w14:paraId="018B5316" w14:textId="77777777" w:rsidR="005D70DC" w:rsidRPr="009F5FD0" w:rsidRDefault="008560EA" w:rsidP="00393507">
      <w:pPr>
        <w:jc w:val="both"/>
        <w:rPr>
          <w:rFonts w:ascii="Arial Narrow" w:hAnsi="Arial Narrow" w:cstheme="minorHAnsi"/>
          <w:b/>
          <w:sz w:val="20"/>
          <w:szCs w:val="20"/>
        </w:rPr>
      </w:pPr>
      <w:r w:rsidRPr="009F5FD0">
        <w:rPr>
          <w:rFonts w:ascii="Arial Narrow" w:hAnsi="Arial Narrow" w:cstheme="minorHAnsi"/>
          <w:b/>
          <w:sz w:val="20"/>
          <w:szCs w:val="20"/>
        </w:rPr>
        <w:t>NOTAS:</w:t>
      </w:r>
    </w:p>
    <w:p w14:paraId="018B5317" w14:textId="77777777" w:rsidR="00337FF3" w:rsidRPr="00302DD1" w:rsidRDefault="00337FF3" w:rsidP="00393507">
      <w:pPr>
        <w:contextualSpacing/>
        <w:jc w:val="both"/>
        <w:rPr>
          <w:rFonts w:ascii="Arial Narrow" w:hAnsi="Arial Narrow" w:cstheme="minorHAnsi"/>
          <w:b/>
          <w:sz w:val="20"/>
          <w:szCs w:val="20"/>
        </w:rPr>
      </w:pPr>
      <w:r w:rsidRPr="00302DD1">
        <w:rPr>
          <w:rFonts w:ascii="Arial Narrow" w:hAnsi="Arial Narrow" w:cstheme="minorHAnsi"/>
          <w:b/>
          <w:sz w:val="20"/>
          <w:szCs w:val="20"/>
        </w:rPr>
        <w:t>Consideraciones Generales para el Anexo</w:t>
      </w:r>
      <w:r w:rsidR="00860CA3" w:rsidRPr="00302DD1">
        <w:rPr>
          <w:rFonts w:ascii="Arial Narrow" w:hAnsi="Arial Narrow" w:cstheme="minorHAnsi"/>
          <w:b/>
          <w:sz w:val="20"/>
          <w:szCs w:val="20"/>
        </w:rPr>
        <w:t>:</w:t>
      </w:r>
    </w:p>
    <w:p w14:paraId="018B5318" w14:textId="77777777" w:rsidR="0086112F" w:rsidRDefault="007A7936" w:rsidP="00353068">
      <w:pPr>
        <w:pStyle w:val="Prrafodelista"/>
        <w:numPr>
          <w:ilvl w:val="0"/>
          <w:numId w:val="19"/>
        </w:numPr>
        <w:ind w:left="284" w:hanging="284"/>
        <w:contextualSpacing/>
        <w:jc w:val="both"/>
        <w:rPr>
          <w:rFonts w:ascii="Arial Narrow" w:hAnsi="Arial Narrow" w:cstheme="minorHAnsi"/>
          <w:sz w:val="20"/>
        </w:rPr>
      </w:pPr>
      <w:r w:rsidRPr="00353068">
        <w:rPr>
          <w:rFonts w:ascii="Arial Narrow" w:hAnsi="Arial Narrow" w:cstheme="minorHAnsi"/>
          <w:sz w:val="20"/>
        </w:rPr>
        <w:t>E</w:t>
      </w:r>
      <w:r w:rsidR="0086112F" w:rsidRPr="00353068">
        <w:rPr>
          <w:rFonts w:ascii="Arial Narrow" w:hAnsi="Arial Narrow" w:cstheme="minorHAnsi"/>
          <w:sz w:val="20"/>
        </w:rPr>
        <w:t xml:space="preserve">ste anexo considera </w:t>
      </w:r>
      <w:r w:rsidR="00A439A5" w:rsidRPr="00353068">
        <w:rPr>
          <w:rFonts w:ascii="Arial Narrow" w:hAnsi="Arial Narrow" w:cstheme="minorHAnsi"/>
          <w:sz w:val="20"/>
        </w:rPr>
        <w:t>el</w:t>
      </w:r>
      <w:r w:rsidR="00916DDB">
        <w:rPr>
          <w:rFonts w:ascii="Arial Narrow" w:hAnsi="Arial Narrow" w:cstheme="minorHAnsi"/>
          <w:sz w:val="20"/>
        </w:rPr>
        <w:t xml:space="preserve"> </w:t>
      </w:r>
      <w:r w:rsidR="00A439A5" w:rsidRPr="00A439A5">
        <w:rPr>
          <w:rFonts w:ascii="Arial Narrow" w:hAnsi="Arial Narrow" w:cstheme="minorHAnsi"/>
          <w:sz w:val="20"/>
        </w:rPr>
        <w:t xml:space="preserve">saldo total de las partidas contables que inciden en la liquidez de los sujetos obligados, por lo cual el total de la cuenta de activo debe cuadrar con el total de pasivo y patrimonio. </w:t>
      </w:r>
    </w:p>
    <w:p w14:paraId="018B5319" w14:textId="77777777" w:rsidR="0086112F" w:rsidRDefault="001E3FD0">
      <w:pPr>
        <w:pStyle w:val="Prrafodelista"/>
        <w:numPr>
          <w:ilvl w:val="0"/>
          <w:numId w:val="19"/>
        </w:numPr>
        <w:ind w:left="284" w:hanging="284"/>
        <w:contextualSpacing/>
        <w:jc w:val="both"/>
        <w:rPr>
          <w:rFonts w:ascii="Arial Narrow" w:hAnsi="Arial Narrow" w:cstheme="minorHAnsi"/>
          <w:sz w:val="20"/>
        </w:rPr>
      </w:pPr>
      <w:r w:rsidRPr="00A439A5">
        <w:rPr>
          <w:rFonts w:ascii="Arial Narrow" w:hAnsi="Arial Narrow" w:cstheme="minorHAnsi"/>
          <w:sz w:val="20"/>
        </w:rPr>
        <w:t xml:space="preserve">Para el caso de las cuentas que presenten un plazo de vencimiento contractual, </w:t>
      </w:r>
      <w:r w:rsidR="00A439A5" w:rsidRPr="00A439A5">
        <w:rPr>
          <w:rFonts w:ascii="Arial Narrow" w:hAnsi="Arial Narrow" w:cstheme="minorHAnsi"/>
          <w:sz w:val="20"/>
        </w:rPr>
        <w:t>se deberá considerar el tiempo real de los días que faltan para el vencimiento de las cuentas y no los plazos contratados inicialmente (No considerar vencimientos contractuales).</w:t>
      </w:r>
      <w:r w:rsidR="00270F52">
        <w:rPr>
          <w:rFonts w:ascii="Arial Narrow" w:hAnsi="Arial Narrow" w:cstheme="minorHAnsi"/>
          <w:sz w:val="20"/>
        </w:rPr>
        <w:t xml:space="preserve"> No se considerarán renovaciones en </w:t>
      </w:r>
      <w:r w:rsidR="002B2C5C">
        <w:rPr>
          <w:rFonts w:ascii="Arial Narrow" w:hAnsi="Arial Narrow" w:cstheme="minorHAnsi"/>
          <w:sz w:val="20"/>
        </w:rPr>
        <w:t>dicha</w:t>
      </w:r>
      <w:r w:rsidR="00270F52">
        <w:rPr>
          <w:rFonts w:ascii="Arial Narrow" w:hAnsi="Arial Narrow" w:cstheme="minorHAnsi"/>
          <w:sz w:val="20"/>
        </w:rPr>
        <w:t>s cuentas.</w:t>
      </w:r>
    </w:p>
    <w:p w14:paraId="018B531A" w14:textId="77777777" w:rsidR="0086112F" w:rsidRDefault="00A439A5">
      <w:pPr>
        <w:pStyle w:val="Prrafodelista"/>
        <w:numPr>
          <w:ilvl w:val="0"/>
          <w:numId w:val="19"/>
        </w:numPr>
        <w:ind w:left="284" w:hanging="284"/>
        <w:contextualSpacing/>
        <w:jc w:val="both"/>
        <w:rPr>
          <w:rFonts w:ascii="Arial Narrow" w:hAnsi="Arial Narrow" w:cstheme="minorHAnsi"/>
          <w:sz w:val="20"/>
        </w:rPr>
      </w:pPr>
      <w:r w:rsidRPr="00A439A5">
        <w:rPr>
          <w:rFonts w:ascii="Arial Narrow" w:hAnsi="Arial Narrow" w:cstheme="minorHAnsi"/>
          <w:sz w:val="20"/>
        </w:rPr>
        <w:t xml:space="preserve"> No todas las cuentas de balance generan flujos, sin embargo</w:t>
      </w:r>
      <w:r w:rsidR="00E61D0A">
        <w:rPr>
          <w:rFonts w:ascii="Arial Narrow" w:hAnsi="Arial Narrow" w:cstheme="minorHAnsi"/>
          <w:sz w:val="20"/>
        </w:rPr>
        <w:t xml:space="preserve"> en estos caso</w:t>
      </w:r>
      <w:r w:rsidR="007252ED">
        <w:rPr>
          <w:rFonts w:ascii="Arial Narrow" w:hAnsi="Arial Narrow" w:cstheme="minorHAnsi"/>
          <w:sz w:val="20"/>
        </w:rPr>
        <w:t>s se</w:t>
      </w:r>
      <w:r w:rsidR="00C52D8F">
        <w:rPr>
          <w:rFonts w:ascii="Arial Narrow" w:hAnsi="Arial Narrow" w:cstheme="minorHAnsi"/>
          <w:sz w:val="20"/>
        </w:rPr>
        <w:t xml:space="preserve"> </w:t>
      </w:r>
      <w:r w:rsidR="007252ED">
        <w:rPr>
          <w:rFonts w:ascii="Arial Narrow" w:hAnsi="Arial Narrow" w:cstheme="minorHAnsi"/>
          <w:sz w:val="20"/>
        </w:rPr>
        <w:t xml:space="preserve">colocará </w:t>
      </w:r>
      <w:r w:rsidRPr="00A439A5">
        <w:rPr>
          <w:rFonts w:ascii="Arial Narrow" w:hAnsi="Arial Narrow" w:cstheme="minorHAnsi"/>
          <w:sz w:val="20"/>
        </w:rPr>
        <w:t>el saldo en la brecha a más de un año.</w:t>
      </w:r>
    </w:p>
    <w:p w14:paraId="018B531B" w14:textId="77777777" w:rsidR="00D91862" w:rsidRDefault="00A439A5">
      <w:pPr>
        <w:pStyle w:val="Prrafodelista"/>
        <w:numPr>
          <w:ilvl w:val="0"/>
          <w:numId w:val="19"/>
        </w:numPr>
        <w:ind w:left="284" w:hanging="284"/>
        <w:contextualSpacing/>
        <w:jc w:val="both"/>
        <w:rPr>
          <w:rFonts w:ascii="Arial Narrow" w:hAnsi="Arial Narrow" w:cstheme="minorHAnsi"/>
          <w:sz w:val="20"/>
        </w:rPr>
      </w:pPr>
      <w:r w:rsidRPr="00A439A5">
        <w:rPr>
          <w:rFonts w:ascii="Arial Narrow" w:hAnsi="Arial Narrow" w:cstheme="minorHAnsi"/>
          <w:sz w:val="20"/>
        </w:rPr>
        <w:t>Para el caso de las cuentas que no presenten un plazo de vencimiento contractual, las entidades deben estimar el vencimiento esperado, con la excepción de aquellos casos en que las presentes normas</w:t>
      </w:r>
      <w:r w:rsidRPr="00E61D0A">
        <w:rPr>
          <w:rFonts w:ascii="Arial Narrow" w:hAnsi="Arial Narrow" w:cstheme="minorHAnsi"/>
          <w:sz w:val="20"/>
        </w:rPr>
        <w:t xml:space="preserve"> </w:t>
      </w:r>
      <w:r w:rsidRPr="00A439A5">
        <w:rPr>
          <w:rFonts w:ascii="Arial Narrow" w:hAnsi="Arial Narrow" w:cstheme="minorHAnsi"/>
          <w:sz w:val="20"/>
        </w:rPr>
        <w:t xml:space="preserve">hayan establecido algún criterio particular. </w:t>
      </w:r>
    </w:p>
    <w:p w14:paraId="018B531C" w14:textId="77777777" w:rsidR="00290565" w:rsidRPr="009F5FD0" w:rsidRDefault="00290565" w:rsidP="00393507">
      <w:pPr>
        <w:contextualSpacing/>
        <w:jc w:val="both"/>
        <w:rPr>
          <w:rFonts w:ascii="Arial Narrow" w:hAnsi="Arial Narrow" w:cstheme="minorHAnsi"/>
          <w:sz w:val="20"/>
          <w:szCs w:val="20"/>
        </w:rPr>
      </w:pPr>
    </w:p>
    <w:p w14:paraId="018B531D" w14:textId="77777777" w:rsidR="005D70DC" w:rsidRPr="009F5FD0" w:rsidRDefault="005D70DC" w:rsidP="00393507">
      <w:pPr>
        <w:contextualSpacing/>
        <w:jc w:val="both"/>
        <w:rPr>
          <w:rFonts w:ascii="Arial Narrow" w:hAnsi="Arial Narrow" w:cstheme="minorHAnsi"/>
          <w:sz w:val="20"/>
          <w:szCs w:val="20"/>
        </w:rPr>
      </w:pPr>
      <w:r w:rsidRPr="009F5FD0">
        <w:rPr>
          <w:rFonts w:ascii="Arial Narrow" w:hAnsi="Arial Narrow" w:cstheme="minorHAnsi"/>
          <w:sz w:val="20"/>
          <w:szCs w:val="20"/>
        </w:rPr>
        <w:t>Las entidades deberán adjuntar un informe sobre las estimaciones para el vencimiento de los rubros que no presentan un plazo de vencimiento de conformidad con las disposiciones establ</w:t>
      </w:r>
      <w:r w:rsidR="00180FA9">
        <w:rPr>
          <w:rFonts w:ascii="Arial Narrow" w:hAnsi="Arial Narrow" w:cstheme="minorHAnsi"/>
          <w:sz w:val="20"/>
          <w:szCs w:val="20"/>
        </w:rPr>
        <w:t>ecidas en el artículo 22 de las presentes</w:t>
      </w:r>
      <w:r w:rsidRPr="009F5FD0">
        <w:rPr>
          <w:rFonts w:ascii="Arial Narrow" w:hAnsi="Arial Narrow" w:cstheme="minorHAnsi"/>
          <w:sz w:val="20"/>
          <w:szCs w:val="20"/>
        </w:rPr>
        <w:t xml:space="preserve"> Norma</w:t>
      </w:r>
      <w:r w:rsidR="004E5F2F">
        <w:rPr>
          <w:rFonts w:ascii="Arial Narrow" w:hAnsi="Arial Narrow" w:cstheme="minorHAnsi"/>
          <w:sz w:val="20"/>
          <w:szCs w:val="20"/>
        </w:rPr>
        <w:t>s</w:t>
      </w:r>
      <w:r w:rsidRPr="009F5FD0">
        <w:rPr>
          <w:rFonts w:ascii="Arial Narrow" w:hAnsi="Arial Narrow" w:cstheme="minorHAnsi"/>
          <w:sz w:val="20"/>
          <w:szCs w:val="20"/>
        </w:rPr>
        <w:t xml:space="preserve">. </w:t>
      </w:r>
    </w:p>
    <w:p w14:paraId="018B531E" w14:textId="77777777" w:rsidR="007A7936" w:rsidRDefault="007A7936" w:rsidP="00393507">
      <w:pPr>
        <w:jc w:val="both"/>
        <w:rPr>
          <w:rFonts w:ascii="Arial Narrow" w:hAnsi="Arial Narrow" w:cstheme="minorHAnsi"/>
          <w:sz w:val="20"/>
          <w:szCs w:val="20"/>
        </w:rPr>
      </w:pPr>
    </w:p>
    <w:p w14:paraId="018B531F" w14:textId="77777777" w:rsidR="005D70DC" w:rsidRPr="00302DD1" w:rsidRDefault="0086112F" w:rsidP="00393507">
      <w:pPr>
        <w:jc w:val="both"/>
        <w:rPr>
          <w:rFonts w:ascii="Arial Narrow" w:hAnsi="Arial Narrow" w:cstheme="minorHAnsi"/>
          <w:b/>
          <w:sz w:val="20"/>
          <w:szCs w:val="20"/>
        </w:rPr>
      </w:pPr>
      <w:r w:rsidRPr="00302DD1">
        <w:rPr>
          <w:rFonts w:ascii="Arial Narrow" w:hAnsi="Arial Narrow" w:cstheme="minorHAnsi"/>
          <w:b/>
          <w:sz w:val="20"/>
          <w:szCs w:val="20"/>
        </w:rPr>
        <w:t>Consideraciones Específicas</w:t>
      </w:r>
      <w:r w:rsidR="007A7936" w:rsidRPr="00302DD1">
        <w:rPr>
          <w:rFonts w:ascii="Arial Narrow" w:hAnsi="Arial Narrow" w:cstheme="minorHAnsi"/>
          <w:b/>
          <w:sz w:val="20"/>
          <w:szCs w:val="20"/>
        </w:rPr>
        <w:t xml:space="preserve"> para el Anexo:</w:t>
      </w:r>
    </w:p>
    <w:p w14:paraId="018B5320" w14:textId="77777777" w:rsidR="007970BF" w:rsidRPr="007970BF" w:rsidRDefault="000750D8" w:rsidP="00393507">
      <w:pPr>
        <w:pStyle w:val="Prrafodelista"/>
        <w:numPr>
          <w:ilvl w:val="0"/>
          <w:numId w:val="9"/>
        </w:numPr>
        <w:ind w:left="284" w:hanging="284"/>
        <w:contextualSpacing/>
        <w:jc w:val="both"/>
        <w:rPr>
          <w:rFonts w:ascii="Arial Narrow" w:eastAsiaTheme="minorHAnsi" w:hAnsi="Arial Narrow" w:cstheme="minorHAnsi"/>
          <w:sz w:val="20"/>
          <w:lang w:val="es-ES" w:eastAsia="en-US"/>
        </w:rPr>
      </w:pPr>
      <w:r w:rsidRPr="000750D8">
        <w:rPr>
          <w:rFonts w:ascii="Arial Narrow" w:hAnsi="Arial Narrow" w:cstheme="minorHAnsi"/>
          <w:sz w:val="20"/>
        </w:rPr>
        <w:t>Todos los Fondos disponibles</w:t>
      </w:r>
      <w:r w:rsidR="00A44535">
        <w:rPr>
          <w:rFonts w:ascii="Arial Narrow" w:hAnsi="Arial Narrow" w:cstheme="minorHAnsi"/>
          <w:sz w:val="20"/>
        </w:rPr>
        <w:t xml:space="preserve"> </w:t>
      </w:r>
      <w:r>
        <w:rPr>
          <w:rFonts w:ascii="Arial Narrow" w:hAnsi="Arial Narrow" w:cstheme="minorHAnsi"/>
          <w:sz w:val="20"/>
        </w:rPr>
        <w:t>(rubro 111)</w:t>
      </w:r>
      <w:r w:rsidRPr="000750D8">
        <w:rPr>
          <w:rFonts w:ascii="Arial Narrow" w:hAnsi="Arial Narrow" w:cstheme="minorHAnsi"/>
          <w:sz w:val="20"/>
        </w:rPr>
        <w:t xml:space="preserve"> sin plazo de vencimiento establecido se reportarán en la primera banda temporal (De 0 a 30 días),</w:t>
      </w:r>
      <w:r w:rsidR="00C52D8F">
        <w:rPr>
          <w:rFonts w:ascii="Arial Narrow" w:hAnsi="Arial Narrow" w:cstheme="minorHAnsi"/>
          <w:sz w:val="20"/>
        </w:rPr>
        <w:t xml:space="preserve"> </w:t>
      </w:r>
      <w:r w:rsidRPr="000750D8">
        <w:rPr>
          <w:rFonts w:ascii="Arial Narrow" w:hAnsi="Arial Narrow" w:cstheme="minorHAnsi"/>
          <w:sz w:val="20"/>
        </w:rPr>
        <w:t>si existiera un plazo contractual en la cuenta,</w:t>
      </w:r>
      <w:r w:rsidR="00C52D8F">
        <w:rPr>
          <w:rFonts w:ascii="Arial Narrow" w:hAnsi="Arial Narrow" w:cstheme="minorHAnsi"/>
          <w:sz w:val="20"/>
        </w:rPr>
        <w:t xml:space="preserve"> </w:t>
      </w:r>
      <w:r w:rsidR="00CD5A96">
        <w:rPr>
          <w:rFonts w:ascii="Arial Narrow" w:hAnsi="Arial Narrow" w:cstheme="minorHAnsi"/>
          <w:sz w:val="20"/>
        </w:rPr>
        <w:t>é</w:t>
      </w:r>
      <w:r w:rsidRPr="000750D8">
        <w:rPr>
          <w:rFonts w:ascii="Arial Narrow" w:hAnsi="Arial Narrow" w:cstheme="minorHAnsi"/>
          <w:sz w:val="20"/>
        </w:rPr>
        <w:t>st</w:t>
      </w:r>
      <w:r w:rsidR="00CD5A96">
        <w:rPr>
          <w:rFonts w:ascii="Arial Narrow" w:hAnsi="Arial Narrow" w:cstheme="minorHAnsi"/>
          <w:sz w:val="20"/>
        </w:rPr>
        <w:t>e</w:t>
      </w:r>
      <w:r w:rsidR="00C52D8F">
        <w:rPr>
          <w:rFonts w:ascii="Arial Narrow" w:hAnsi="Arial Narrow" w:cstheme="minorHAnsi"/>
          <w:sz w:val="20"/>
        </w:rPr>
        <w:t xml:space="preserve"> </w:t>
      </w:r>
      <w:r w:rsidRPr="000750D8">
        <w:rPr>
          <w:rFonts w:ascii="Arial Narrow" w:hAnsi="Arial Narrow" w:cstheme="minorHAnsi"/>
          <w:sz w:val="20"/>
        </w:rPr>
        <w:t>deberá distribuir</w:t>
      </w:r>
      <w:r w:rsidR="00CD5A96">
        <w:rPr>
          <w:rFonts w:ascii="Arial Narrow" w:hAnsi="Arial Narrow" w:cstheme="minorHAnsi"/>
          <w:sz w:val="20"/>
        </w:rPr>
        <w:t>se</w:t>
      </w:r>
      <w:r w:rsidRPr="000750D8">
        <w:rPr>
          <w:rFonts w:ascii="Arial Narrow" w:hAnsi="Arial Narrow" w:cstheme="minorHAnsi"/>
          <w:sz w:val="20"/>
        </w:rPr>
        <w:t xml:space="preserve"> de acuerdo a los días que faltan para su vencimiento.</w:t>
      </w:r>
      <w:r w:rsidRPr="00155DBE">
        <w:t xml:space="preserve"> </w:t>
      </w:r>
    </w:p>
    <w:p w14:paraId="018B5321" w14:textId="77777777" w:rsidR="00290565"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El registro del saldo del rubro 113 Inversiones financieras,</w:t>
      </w:r>
      <w:r w:rsidR="00D5579B" w:rsidRPr="009F5FD0">
        <w:rPr>
          <w:rFonts w:ascii="Arial Narrow" w:hAnsi="Arial Narrow" w:cstheme="minorHAnsi"/>
          <w:sz w:val="20"/>
        </w:rPr>
        <w:t xml:space="preserve"> incluye los intereses</w:t>
      </w:r>
      <w:r w:rsidR="00CD5A96">
        <w:rPr>
          <w:rFonts w:ascii="Arial Narrow" w:hAnsi="Arial Narrow" w:cstheme="minorHAnsi"/>
          <w:sz w:val="20"/>
        </w:rPr>
        <w:t>. Se considerará</w:t>
      </w:r>
      <w:r w:rsidRPr="009F5FD0">
        <w:rPr>
          <w:rFonts w:ascii="Arial Narrow" w:hAnsi="Arial Narrow" w:cstheme="minorHAnsi"/>
          <w:sz w:val="20"/>
        </w:rPr>
        <w:t xml:space="preserve"> la fecha que recibirá el Capital e intereses por los que se colocará en la banda correspondiente, adicionalmente se</w:t>
      </w:r>
      <w:r w:rsidR="002808BA" w:rsidRPr="009F5FD0">
        <w:rPr>
          <w:rFonts w:ascii="Arial Narrow" w:hAnsi="Arial Narrow" w:cstheme="minorHAnsi"/>
          <w:sz w:val="20"/>
        </w:rPr>
        <w:t xml:space="preserve"> </w:t>
      </w:r>
      <w:r w:rsidRPr="009F5FD0">
        <w:rPr>
          <w:rFonts w:ascii="Arial Narrow" w:hAnsi="Arial Narrow" w:cstheme="minorHAnsi"/>
          <w:sz w:val="20"/>
        </w:rPr>
        <w:t>considerará el plazo real de vencimiento de las operaciones de reporto realizadas, colocando el valor en la banda correspondiente.</w:t>
      </w:r>
      <w:r w:rsidR="002808BA" w:rsidRPr="009F5FD0">
        <w:rPr>
          <w:rFonts w:ascii="Arial Narrow" w:eastAsiaTheme="minorHAnsi" w:hAnsi="Arial Narrow" w:cstheme="minorHAnsi"/>
          <w:color w:val="6600CC"/>
          <w:sz w:val="20"/>
          <w:lang w:val="es-ES" w:eastAsia="en-US"/>
        </w:rPr>
        <w:t xml:space="preserve"> </w:t>
      </w:r>
    </w:p>
    <w:p w14:paraId="018B5322" w14:textId="77777777" w:rsidR="00290565"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El registro del saldo del rubro 114 Préstamos, (neto de provisión)</w:t>
      </w:r>
      <w:r w:rsidR="002808BA" w:rsidRPr="009F5FD0">
        <w:rPr>
          <w:rFonts w:ascii="Arial Narrow" w:hAnsi="Arial Narrow" w:cstheme="minorHAnsi"/>
          <w:sz w:val="20"/>
        </w:rPr>
        <w:t xml:space="preserve"> </w:t>
      </w:r>
      <w:r w:rsidRPr="009F5FD0">
        <w:rPr>
          <w:rFonts w:ascii="Arial Narrow" w:hAnsi="Arial Narrow" w:cstheme="minorHAnsi"/>
          <w:sz w:val="20"/>
        </w:rPr>
        <w:t>incluye los intereses que se han provisionado</w:t>
      </w:r>
      <w:r w:rsidR="00CD5A96">
        <w:rPr>
          <w:rFonts w:ascii="Arial Narrow" w:hAnsi="Arial Narrow" w:cstheme="minorHAnsi"/>
          <w:sz w:val="20"/>
        </w:rPr>
        <w:t>. L</w:t>
      </w:r>
      <w:r w:rsidRPr="009F5FD0">
        <w:rPr>
          <w:rFonts w:ascii="Arial Narrow" w:hAnsi="Arial Narrow" w:cstheme="minorHAnsi"/>
          <w:sz w:val="20"/>
        </w:rPr>
        <w:t>os préstamos deberán distribuirse de acuerdo con el tiempo real que falta para su vencimiento</w:t>
      </w:r>
      <w:r w:rsidR="00CD5A96">
        <w:rPr>
          <w:rFonts w:ascii="Arial Narrow" w:hAnsi="Arial Narrow" w:cstheme="minorHAnsi"/>
          <w:sz w:val="20"/>
        </w:rPr>
        <w:t>. P</w:t>
      </w:r>
      <w:r w:rsidRPr="009F5FD0">
        <w:rPr>
          <w:rFonts w:ascii="Arial Narrow" w:hAnsi="Arial Narrow" w:cstheme="minorHAnsi"/>
          <w:sz w:val="20"/>
        </w:rPr>
        <w:t>ara el caso de los intereses se colocarán</w:t>
      </w:r>
      <w:r w:rsidR="002808BA" w:rsidRPr="009F5FD0">
        <w:rPr>
          <w:rFonts w:ascii="Arial Narrow" w:hAnsi="Arial Narrow" w:cstheme="minorHAnsi"/>
          <w:sz w:val="20"/>
        </w:rPr>
        <w:t xml:space="preserve"> </w:t>
      </w:r>
      <w:r w:rsidRPr="009F5FD0">
        <w:rPr>
          <w:rFonts w:ascii="Arial Narrow" w:hAnsi="Arial Narrow" w:cstheme="minorHAnsi"/>
          <w:sz w:val="20"/>
        </w:rPr>
        <w:t>de acuerdo al tiempo en el cual se esperan ser percibidos. Con relación</w:t>
      </w:r>
      <w:r w:rsidR="002808BA" w:rsidRPr="009F5FD0">
        <w:rPr>
          <w:rFonts w:ascii="Arial Narrow" w:hAnsi="Arial Narrow" w:cstheme="minorHAnsi"/>
          <w:sz w:val="20"/>
        </w:rPr>
        <w:t xml:space="preserve"> </w:t>
      </w:r>
      <w:r w:rsidRPr="009F5FD0">
        <w:rPr>
          <w:rFonts w:ascii="Arial Narrow" w:hAnsi="Arial Narrow" w:cstheme="minorHAnsi"/>
          <w:sz w:val="20"/>
        </w:rPr>
        <w:t>al saldo de los préstamos vencidos</w:t>
      </w:r>
      <w:r w:rsidR="007970BF">
        <w:rPr>
          <w:rFonts w:ascii="Arial Narrow" w:hAnsi="Arial Narrow" w:cstheme="minorHAnsi"/>
          <w:sz w:val="20"/>
        </w:rPr>
        <w:t xml:space="preserve"> </w:t>
      </w:r>
      <w:r w:rsidR="007970BF" w:rsidRPr="007970BF">
        <w:rPr>
          <w:rFonts w:ascii="Arial Narrow" w:hAnsi="Arial Narrow" w:cstheme="minorHAnsi"/>
          <w:sz w:val="20"/>
        </w:rPr>
        <w:t>neto de provisiones</w:t>
      </w:r>
      <w:r w:rsidRPr="009F5FD0">
        <w:rPr>
          <w:rFonts w:ascii="Arial Narrow" w:hAnsi="Arial Narrow" w:cstheme="minorHAnsi"/>
          <w:sz w:val="20"/>
        </w:rPr>
        <w:t xml:space="preserve"> (1148) estos se colocarán en la brecha a más de un año a menos que la entidad cuente con evidencia y certeza que serán recuperados</w:t>
      </w:r>
      <w:r w:rsidR="002808BA" w:rsidRPr="009F5FD0">
        <w:rPr>
          <w:rFonts w:ascii="Arial Narrow" w:hAnsi="Arial Narrow" w:cstheme="minorHAnsi"/>
          <w:sz w:val="20"/>
        </w:rPr>
        <w:t xml:space="preserve"> </w:t>
      </w:r>
      <w:r w:rsidRPr="009F5FD0">
        <w:rPr>
          <w:rFonts w:ascii="Arial Narrow" w:hAnsi="Arial Narrow" w:cstheme="minorHAnsi"/>
          <w:sz w:val="20"/>
        </w:rPr>
        <w:t>con anterioridad a este plazo.</w:t>
      </w:r>
    </w:p>
    <w:p w14:paraId="018B5323" w14:textId="77777777" w:rsidR="00290565"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 xml:space="preserve">Incluye el estimado de derechos futuros y contingencias (neto de provisión), que se convertirán en un derecho para la entidad; </w:t>
      </w:r>
      <w:r w:rsidR="00CD5A96">
        <w:rPr>
          <w:rFonts w:ascii="Arial Narrow" w:hAnsi="Arial Narrow" w:cstheme="minorHAnsi"/>
          <w:sz w:val="20"/>
        </w:rPr>
        <w:t xml:space="preserve">los </w:t>
      </w:r>
      <w:r w:rsidR="007A7588" w:rsidRPr="009F5FD0">
        <w:rPr>
          <w:rFonts w:ascii="Arial Narrow" w:hAnsi="Arial Narrow" w:cstheme="minorHAnsi"/>
          <w:sz w:val="20"/>
        </w:rPr>
        <w:t xml:space="preserve">saldos </w:t>
      </w:r>
      <w:r w:rsidRPr="009F5FD0">
        <w:rPr>
          <w:rFonts w:ascii="Arial Narrow" w:hAnsi="Arial Narrow" w:cstheme="minorHAnsi"/>
          <w:sz w:val="20"/>
        </w:rPr>
        <w:t>se colocará</w:t>
      </w:r>
      <w:r w:rsidR="00CD5A96">
        <w:rPr>
          <w:rFonts w:ascii="Arial Narrow" w:hAnsi="Arial Narrow" w:cstheme="minorHAnsi"/>
          <w:sz w:val="20"/>
        </w:rPr>
        <w:t>n</w:t>
      </w:r>
      <w:r w:rsidRPr="009F5FD0">
        <w:rPr>
          <w:rFonts w:ascii="Arial Narrow" w:hAnsi="Arial Narrow" w:cstheme="minorHAnsi"/>
          <w:sz w:val="20"/>
        </w:rPr>
        <w:t xml:space="preserve"> en cada banda según el vencimiento.</w:t>
      </w:r>
      <w:r w:rsidR="002808BA" w:rsidRPr="009F5FD0">
        <w:rPr>
          <w:rFonts w:ascii="Arial Narrow" w:hAnsi="Arial Narrow" w:cstheme="minorHAnsi"/>
          <w:sz w:val="20"/>
        </w:rPr>
        <w:t xml:space="preserve"> </w:t>
      </w:r>
    </w:p>
    <w:p w14:paraId="018B5324" w14:textId="77777777" w:rsidR="007A7588"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Incluye el estimado de compromisos futuros y contingencias (neto de provisión),</w:t>
      </w:r>
      <w:r w:rsidR="002808BA" w:rsidRPr="009F5FD0">
        <w:rPr>
          <w:rFonts w:ascii="Arial Narrow" w:hAnsi="Arial Narrow" w:cstheme="minorHAnsi"/>
          <w:sz w:val="20"/>
        </w:rPr>
        <w:t xml:space="preserve"> </w:t>
      </w:r>
      <w:r w:rsidRPr="009F5FD0">
        <w:rPr>
          <w:rFonts w:ascii="Arial Narrow" w:hAnsi="Arial Narrow" w:cstheme="minorHAnsi"/>
          <w:sz w:val="20"/>
        </w:rPr>
        <w:t>que se convertirán en pasivos para la entidad</w:t>
      </w:r>
      <w:r w:rsidR="00CD5A96">
        <w:rPr>
          <w:rFonts w:ascii="Arial Narrow" w:hAnsi="Arial Narrow" w:cstheme="minorHAnsi"/>
          <w:sz w:val="20"/>
        </w:rPr>
        <w:t>. S</w:t>
      </w:r>
      <w:r w:rsidRPr="009F5FD0">
        <w:rPr>
          <w:rFonts w:ascii="Arial Narrow" w:hAnsi="Arial Narrow" w:cstheme="minorHAnsi"/>
          <w:sz w:val="20"/>
        </w:rPr>
        <w:t xml:space="preserve">e colocará en cada banda según el vencimiento. </w:t>
      </w:r>
    </w:p>
    <w:p w14:paraId="018B5325" w14:textId="77777777" w:rsidR="00290565"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 xml:space="preserve">Se </w:t>
      </w:r>
      <w:r w:rsidRPr="009F5FD0">
        <w:rPr>
          <w:rFonts w:ascii="Arial Narrow" w:hAnsi="Arial Narrow" w:cs="Arial"/>
          <w:color w:val="000000"/>
          <w:sz w:val="20"/>
        </w:rPr>
        <w:t>proveerá información en estas cuentas en las primeras bandas en caso que se realicen operaciones extraordinarias con el objeto de cubrir determinadas brechas, como por ejemplo la venta de activos fijos o un aporte de capital; de lo contrario, puede llevar valor cero, por ser cuentas de carácter permanente y el saldo de esta cuenta debe incluirse en la banda correspondiente a más de un año.</w:t>
      </w:r>
    </w:p>
    <w:p w14:paraId="018B5326" w14:textId="77777777" w:rsidR="00290565"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En estos renglones se considerarán las cuentas que no han sido detalladas en el formato, debiendo las entidades especificar las cuentas que han tenido movimientos en cada una de las brechas.</w:t>
      </w:r>
    </w:p>
    <w:p w14:paraId="018B5327" w14:textId="77777777" w:rsidR="00290565"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 xml:space="preserve">Los vencimientos de cada rubro se colocarán en la brecha que corresponde, y el saldo con vencimiento mayor a 360 días se colocará en la brecha a más de un año. </w:t>
      </w:r>
    </w:p>
    <w:p w14:paraId="018B5328" w14:textId="77777777" w:rsidR="00290565"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Considerar únicamente los intereses del balance y no los esperados por recibir fuera de balance.</w:t>
      </w:r>
    </w:p>
    <w:p w14:paraId="018B5329" w14:textId="77777777" w:rsidR="00290565"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Adjuntar metodologías utilizadas para la estimación de vencimiento de cada variable, en cada brecha.</w:t>
      </w:r>
    </w:p>
    <w:p w14:paraId="018B532A" w14:textId="77777777" w:rsidR="00290565" w:rsidRPr="009F5FD0" w:rsidRDefault="00290565" w:rsidP="00393507">
      <w:pPr>
        <w:pStyle w:val="Prrafodelista"/>
        <w:numPr>
          <w:ilvl w:val="0"/>
          <w:numId w:val="9"/>
        </w:numPr>
        <w:ind w:left="284" w:hanging="284"/>
        <w:contextualSpacing/>
        <w:jc w:val="both"/>
        <w:rPr>
          <w:rFonts w:ascii="Arial Narrow" w:hAnsi="Arial Narrow" w:cstheme="minorHAnsi"/>
          <w:sz w:val="20"/>
        </w:rPr>
      </w:pPr>
      <w:r w:rsidRPr="009F5FD0">
        <w:rPr>
          <w:rFonts w:ascii="Arial Narrow" w:hAnsi="Arial Narrow" w:cstheme="minorHAnsi"/>
          <w:sz w:val="20"/>
        </w:rPr>
        <w:t>El acumulado de las primeras dos bandas debe ser positivo (IV) Brecha Acumulada</w:t>
      </w:r>
      <w:r w:rsidR="00E7157D" w:rsidRPr="009F5FD0">
        <w:rPr>
          <w:rFonts w:ascii="Arial Narrow" w:hAnsi="Arial Narrow" w:cstheme="minorHAnsi"/>
          <w:sz w:val="20"/>
        </w:rPr>
        <w:t xml:space="preserve">, </w:t>
      </w:r>
      <w:r w:rsidRPr="009F5FD0">
        <w:rPr>
          <w:rFonts w:ascii="Arial Narrow" w:hAnsi="Arial Narrow" w:cstheme="minorHAnsi"/>
          <w:sz w:val="20"/>
        </w:rPr>
        <w:t xml:space="preserve">caso contrario deberá determinar los mitigantes a utilizar. </w:t>
      </w:r>
    </w:p>
    <w:p w14:paraId="018B532B" w14:textId="58E01B21" w:rsidR="00290565" w:rsidRDefault="00290565" w:rsidP="008560EA">
      <w:pPr>
        <w:rPr>
          <w:rFonts w:ascii="Arial Narrow" w:hAnsi="Arial Narrow" w:cstheme="minorHAnsi"/>
          <w:b/>
          <w:sz w:val="22"/>
          <w:szCs w:val="22"/>
        </w:rPr>
      </w:pPr>
    </w:p>
    <w:p w14:paraId="018B532C" w14:textId="77777777" w:rsidR="0056394A" w:rsidRDefault="0056394A" w:rsidP="00FC0911">
      <w:pPr>
        <w:rPr>
          <w:rFonts w:ascii="Arial Narrow" w:hAnsi="Arial Narrow"/>
          <w:color w:val="000000"/>
          <w:sz w:val="20"/>
          <w:szCs w:val="20"/>
        </w:rPr>
      </w:pPr>
    </w:p>
    <w:p w14:paraId="018B532D" w14:textId="77777777" w:rsidR="001E5C1B" w:rsidRDefault="001E5C1B" w:rsidP="00FC0911">
      <w:pPr>
        <w:rPr>
          <w:rFonts w:ascii="Arial Narrow" w:hAnsi="Arial Narrow"/>
          <w:color w:val="000000"/>
          <w:sz w:val="20"/>
          <w:szCs w:val="20"/>
        </w:rPr>
      </w:pPr>
    </w:p>
    <w:p w14:paraId="018B532E" w14:textId="77777777" w:rsidR="001E5C1B" w:rsidRDefault="001E5C1B" w:rsidP="00FC0911">
      <w:pPr>
        <w:rPr>
          <w:rFonts w:ascii="Arial Narrow" w:hAnsi="Arial Narrow"/>
          <w:color w:val="000000"/>
          <w:sz w:val="20"/>
          <w:szCs w:val="20"/>
        </w:rPr>
      </w:pPr>
    </w:p>
    <w:p w14:paraId="018B532F" w14:textId="77777777" w:rsidR="001E5C1B" w:rsidRDefault="001E5C1B" w:rsidP="00FC0911">
      <w:pPr>
        <w:rPr>
          <w:rFonts w:ascii="Arial Narrow" w:hAnsi="Arial Narrow"/>
          <w:color w:val="000000"/>
          <w:sz w:val="20"/>
          <w:szCs w:val="20"/>
        </w:rPr>
      </w:pPr>
    </w:p>
    <w:p w14:paraId="018B5330" w14:textId="77777777" w:rsidR="001E5C1B" w:rsidRDefault="001E5C1B" w:rsidP="00FC0911">
      <w:pPr>
        <w:rPr>
          <w:rFonts w:ascii="Arial Narrow" w:hAnsi="Arial Narrow"/>
          <w:color w:val="000000"/>
          <w:sz w:val="20"/>
          <w:szCs w:val="20"/>
        </w:rPr>
      </w:pPr>
    </w:p>
    <w:p w14:paraId="018B5331" w14:textId="77777777" w:rsidR="001E5C1B" w:rsidRDefault="001E5C1B" w:rsidP="00FC0911">
      <w:pPr>
        <w:rPr>
          <w:rFonts w:ascii="Arial Narrow" w:hAnsi="Arial Narrow"/>
          <w:color w:val="000000"/>
          <w:sz w:val="20"/>
          <w:szCs w:val="20"/>
        </w:rPr>
      </w:pPr>
    </w:p>
    <w:p w14:paraId="061F8432" w14:textId="77777777" w:rsidR="00186D79" w:rsidRDefault="00186D79" w:rsidP="00FC0911">
      <w:pPr>
        <w:rPr>
          <w:rFonts w:ascii="Arial Narrow" w:hAnsi="Arial Narrow"/>
          <w:color w:val="000000"/>
          <w:sz w:val="20"/>
          <w:szCs w:val="20"/>
        </w:rPr>
      </w:pPr>
    </w:p>
    <w:p w14:paraId="021F233F" w14:textId="77777777" w:rsidR="00186D79" w:rsidRDefault="00186D79" w:rsidP="00FC0911">
      <w:pPr>
        <w:rPr>
          <w:rFonts w:ascii="Arial Narrow" w:hAnsi="Arial Narrow"/>
          <w:color w:val="000000"/>
          <w:sz w:val="20"/>
          <w:szCs w:val="20"/>
        </w:rPr>
      </w:pPr>
    </w:p>
    <w:p w14:paraId="69025FF4" w14:textId="0DDFB516" w:rsidR="00102770" w:rsidRDefault="00102770" w:rsidP="00FC0911">
      <w:pPr>
        <w:rPr>
          <w:rFonts w:ascii="Arial Narrow" w:hAnsi="Arial Narrow"/>
          <w:color w:val="000000"/>
          <w:sz w:val="20"/>
          <w:szCs w:val="20"/>
        </w:rPr>
      </w:pPr>
    </w:p>
    <w:p w14:paraId="4068C1CD" w14:textId="77777777" w:rsidR="00102770" w:rsidRDefault="00102770" w:rsidP="00FC0911">
      <w:pPr>
        <w:rPr>
          <w:rFonts w:ascii="Arial Narrow" w:hAnsi="Arial Narrow"/>
          <w:color w:val="000000"/>
          <w:sz w:val="20"/>
          <w:szCs w:val="20"/>
        </w:rPr>
      </w:pPr>
    </w:p>
    <w:p w14:paraId="03DC666D" w14:textId="77777777" w:rsidR="00102770" w:rsidRDefault="00102770" w:rsidP="00FC0911">
      <w:pPr>
        <w:rPr>
          <w:rFonts w:ascii="Arial Narrow" w:hAnsi="Arial Narrow"/>
          <w:color w:val="000000"/>
          <w:sz w:val="20"/>
          <w:szCs w:val="20"/>
        </w:rPr>
      </w:pPr>
    </w:p>
    <w:p w14:paraId="61FAEF58" w14:textId="77777777" w:rsidR="00102770" w:rsidRDefault="00102770" w:rsidP="00FC0911">
      <w:pPr>
        <w:rPr>
          <w:rFonts w:ascii="Arial Narrow" w:hAnsi="Arial Narrow"/>
          <w:color w:val="000000"/>
          <w:sz w:val="20"/>
          <w:szCs w:val="20"/>
        </w:rPr>
      </w:pPr>
    </w:p>
    <w:p w14:paraId="09E14F4E" w14:textId="77777777" w:rsidR="00102770" w:rsidRDefault="00102770" w:rsidP="00FC0911">
      <w:pPr>
        <w:rPr>
          <w:rFonts w:ascii="Arial Narrow" w:hAnsi="Arial Narrow"/>
          <w:color w:val="000000"/>
          <w:sz w:val="20"/>
          <w:szCs w:val="20"/>
        </w:rPr>
      </w:pPr>
    </w:p>
    <w:p w14:paraId="018B5332" w14:textId="77777777" w:rsidR="001E5C1B" w:rsidRDefault="001E5C1B" w:rsidP="00FC0911">
      <w:pPr>
        <w:rPr>
          <w:rFonts w:ascii="Arial Narrow" w:hAnsi="Arial Narrow"/>
          <w:color w:val="000000"/>
          <w:sz w:val="20"/>
          <w:szCs w:val="20"/>
        </w:rPr>
      </w:pPr>
    </w:p>
    <w:p w14:paraId="356E9C13" w14:textId="574072D0" w:rsidR="00102770" w:rsidRDefault="00102770" w:rsidP="00FC0911">
      <w:pPr>
        <w:jc w:val="both"/>
        <w:rPr>
          <w:rFonts w:ascii="Arial Narrow" w:hAnsi="Arial Narrow" w:cstheme="minorHAnsi"/>
          <w:sz w:val="20"/>
          <w:szCs w:val="20"/>
        </w:rPr>
      </w:pPr>
      <w:r w:rsidRPr="00102770">
        <w:rPr>
          <w:noProof/>
          <w:lang w:val="es-MX" w:eastAsia="es-MX"/>
        </w:rPr>
        <w:drawing>
          <wp:inline distT="0" distB="0" distL="0" distR="0" wp14:anchorId="19F8FB28" wp14:editId="397F7042">
            <wp:extent cx="5978106" cy="6866255"/>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0337" cy="6868818"/>
                    </a:xfrm>
                    <a:prstGeom prst="rect">
                      <a:avLst/>
                    </a:prstGeom>
                    <a:noFill/>
                    <a:ln>
                      <a:noFill/>
                    </a:ln>
                  </pic:spPr>
                </pic:pic>
              </a:graphicData>
            </a:graphic>
          </wp:inline>
        </w:drawing>
      </w:r>
    </w:p>
    <w:p w14:paraId="07FBC545" w14:textId="77777777" w:rsidR="00102770" w:rsidRDefault="00102770" w:rsidP="00FC0911">
      <w:pPr>
        <w:jc w:val="both"/>
        <w:rPr>
          <w:rFonts w:ascii="Arial Narrow" w:hAnsi="Arial Narrow" w:cstheme="minorHAnsi"/>
          <w:sz w:val="20"/>
          <w:szCs w:val="20"/>
        </w:rPr>
      </w:pPr>
    </w:p>
    <w:p w14:paraId="085F3A82" w14:textId="77777777" w:rsidR="00102770" w:rsidRDefault="00102770" w:rsidP="00FC0911">
      <w:pPr>
        <w:jc w:val="both"/>
        <w:rPr>
          <w:rFonts w:ascii="Arial Narrow" w:hAnsi="Arial Narrow" w:cstheme="minorHAnsi"/>
          <w:sz w:val="20"/>
          <w:szCs w:val="20"/>
        </w:rPr>
      </w:pPr>
    </w:p>
    <w:p w14:paraId="3CC1D18E" w14:textId="77777777" w:rsidR="00FC4EC5" w:rsidRDefault="00FC4EC5" w:rsidP="00FC0911">
      <w:pPr>
        <w:jc w:val="both"/>
        <w:rPr>
          <w:rFonts w:ascii="Arial Narrow" w:hAnsi="Arial Narrow" w:cstheme="minorHAnsi"/>
          <w:sz w:val="20"/>
          <w:szCs w:val="20"/>
        </w:rPr>
      </w:pPr>
    </w:p>
    <w:p w14:paraId="0DD9933A" w14:textId="77777777" w:rsidR="00FC4EC5" w:rsidRPr="009F5FD0" w:rsidRDefault="00FC4EC5" w:rsidP="00FC4EC5">
      <w:pPr>
        <w:jc w:val="both"/>
        <w:rPr>
          <w:rFonts w:ascii="Arial Narrow" w:hAnsi="Arial Narrow" w:cstheme="minorHAnsi"/>
          <w:b/>
          <w:sz w:val="20"/>
          <w:szCs w:val="20"/>
        </w:rPr>
      </w:pPr>
      <w:r w:rsidRPr="009F5FD0">
        <w:rPr>
          <w:rFonts w:ascii="Arial Narrow" w:hAnsi="Arial Narrow" w:cstheme="minorHAnsi"/>
          <w:b/>
          <w:sz w:val="20"/>
          <w:szCs w:val="20"/>
          <w:u w:val="single"/>
        </w:rPr>
        <w:t>PREMISAS PARA EL ESCENARIO DE TENSIÓN</w:t>
      </w:r>
      <w:r w:rsidRPr="009F5FD0">
        <w:rPr>
          <w:rFonts w:ascii="Arial Narrow" w:hAnsi="Arial Narrow" w:cstheme="minorHAnsi"/>
          <w:b/>
          <w:sz w:val="20"/>
          <w:szCs w:val="20"/>
        </w:rPr>
        <w:t>.</w:t>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p>
    <w:p w14:paraId="6EF1C540" w14:textId="77777777" w:rsidR="00FC4EC5" w:rsidRDefault="00FC4EC5" w:rsidP="00FC4EC5">
      <w:pPr>
        <w:jc w:val="both"/>
        <w:rPr>
          <w:rFonts w:ascii="Arial Narrow" w:hAnsi="Arial Narrow" w:cstheme="minorHAnsi"/>
          <w:sz w:val="20"/>
          <w:szCs w:val="20"/>
        </w:rPr>
      </w:pPr>
    </w:p>
    <w:p w14:paraId="4C291665" w14:textId="77777777" w:rsidR="00FC4EC5" w:rsidRDefault="00FC4EC5" w:rsidP="00FC4EC5">
      <w:pPr>
        <w:jc w:val="both"/>
        <w:rPr>
          <w:rFonts w:ascii="Arial Narrow" w:hAnsi="Arial Narrow" w:cstheme="minorHAnsi"/>
          <w:sz w:val="20"/>
          <w:szCs w:val="20"/>
        </w:rPr>
      </w:pPr>
      <w:r w:rsidRPr="000A5329">
        <w:rPr>
          <w:rFonts w:ascii="Arial Narrow" w:hAnsi="Arial Narrow" w:cstheme="minorHAnsi"/>
          <w:b/>
          <w:sz w:val="20"/>
          <w:szCs w:val="20"/>
        </w:rPr>
        <w:t>Consideraciones para el Anexo:</w:t>
      </w:r>
    </w:p>
    <w:p w14:paraId="018B5336" w14:textId="77777777" w:rsidR="00FC0911" w:rsidRPr="009F5FD0" w:rsidRDefault="00FC0911" w:rsidP="00FC0911">
      <w:pPr>
        <w:jc w:val="both"/>
        <w:rPr>
          <w:rFonts w:ascii="Arial Narrow" w:hAnsi="Arial Narrow" w:cstheme="minorHAnsi"/>
          <w:sz w:val="20"/>
          <w:szCs w:val="20"/>
        </w:rPr>
      </w:pPr>
      <w:r w:rsidRPr="009F5FD0">
        <w:rPr>
          <w:rFonts w:ascii="Arial Narrow" w:hAnsi="Arial Narrow" w:cstheme="minorHAnsi"/>
          <w:sz w:val="20"/>
          <w:szCs w:val="20"/>
        </w:rPr>
        <w:t>Para realizar el escenario de tensión de este anexo, se tomará como base</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las cifras refleja</w:t>
      </w:r>
      <w:r w:rsidR="00026AFC" w:rsidRPr="009F5FD0">
        <w:rPr>
          <w:rFonts w:ascii="Arial Narrow" w:hAnsi="Arial Narrow" w:cstheme="minorHAnsi"/>
          <w:sz w:val="20"/>
          <w:szCs w:val="20"/>
        </w:rPr>
        <w:t>das en el reporte del Anexo No.1</w:t>
      </w:r>
      <w:r w:rsidRPr="009F5FD0">
        <w:rPr>
          <w:rFonts w:ascii="Arial Narrow" w:hAnsi="Arial Narrow" w:cstheme="minorHAnsi"/>
          <w:sz w:val="20"/>
          <w:szCs w:val="20"/>
        </w:rPr>
        <w:t>;</w:t>
      </w:r>
      <w:r w:rsidR="00B05694">
        <w:rPr>
          <w:rFonts w:ascii="Arial Narrow" w:hAnsi="Arial Narrow" w:cstheme="minorHAnsi"/>
          <w:sz w:val="20"/>
          <w:szCs w:val="20"/>
        </w:rPr>
        <w:t xml:space="preserve"> es decir que únicamente serán sujetos a modificación los rubros en los cuales se les aplicarán </w:t>
      </w:r>
      <w:r w:rsidRPr="009F5FD0">
        <w:rPr>
          <w:rFonts w:ascii="Arial Narrow" w:hAnsi="Arial Narrow" w:cstheme="minorHAnsi"/>
          <w:sz w:val="20"/>
          <w:szCs w:val="20"/>
        </w:rPr>
        <w:t>las premisas que a continuación se detallan:</w:t>
      </w:r>
      <w:r w:rsidRPr="009F5FD0">
        <w:rPr>
          <w:rFonts w:ascii="Arial Narrow" w:hAnsi="Arial Narrow" w:cstheme="minorHAnsi"/>
          <w:sz w:val="20"/>
          <w:szCs w:val="20"/>
        </w:rPr>
        <w:tab/>
      </w:r>
    </w:p>
    <w:p w14:paraId="018B5337" w14:textId="77777777" w:rsidR="008C368D" w:rsidRDefault="008C368D" w:rsidP="00FC0911">
      <w:pPr>
        <w:jc w:val="both"/>
        <w:rPr>
          <w:rFonts w:ascii="Arial Narrow" w:hAnsi="Arial Narrow" w:cstheme="minorHAnsi"/>
          <w:sz w:val="20"/>
          <w:szCs w:val="20"/>
        </w:rPr>
      </w:pPr>
    </w:p>
    <w:p w14:paraId="018B5338" w14:textId="77777777" w:rsidR="00FC0911" w:rsidRPr="009F5FD0" w:rsidRDefault="00FC0911" w:rsidP="00FC0911">
      <w:pPr>
        <w:jc w:val="both"/>
        <w:rPr>
          <w:rFonts w:ascii="Arial Narrow" w:hAnsi="Arial Narrow" w:cstheme="minorHAnsi"/>
          <w:b/>
          <w:sz w:val="20"/>
          <w:szCs w:val="20"/>
        </w:rPr>
      </w:pPr>
      <w:r w:rsidRPr="009F5FD0">
        <w:rPr>
          <w:rFonts w:ascii="Arial Narrow" w:hAnsi="Arial Narrow" w:cstheme="minorHAnsi"/>
          <w:b/>
          <w:sz w:val="20"/>
          <w:szCs w:val="20"/>
        </w:rPr>
        <w:t>Inversiones financieras:</w:t>
      </w:r>
      <w:r w:rsidR="00C52D8F">
        <w:rPr>
          <w:rFonts w:ascii="Arial Narrow" w:hAnsi="Arial Narrow" w:cstheme="minorHAnsi"/>
          <w:b/>
          <w:sz w:val="20"/>
          <w:szCs w:val="20"/>
        </w:rPr>
        <w:t xml:space="preserve"> </w:t>
      </w:r>
      <w:r w:rsidRPr="009F5FD0">
        <w:rPr>
          <w:rFonts w:ascii="Arial Narrow" w:hAnsi="Arial Narrow" w:cstheme="minorHAnsi"/>
          <w:b/>
          <w:sz w:val="20"/>
          <w:szCs w:val="20"/>
        </w:rPr>
        <w:t xml:space="preserve"> </w:t>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p>
    <w:p w14:paraId="018B5339" w14:textId="77777777" w:rsidR="00FC0911" w:rsidRPr="009F5FD0" w:rsidRDefault="00026AFC" w:rsidP="00DE7CA4">
      <w:pPr>
        <w:jc w:val="both"/>
        <w:rPr>
          <w:rFonts w:ascii="Arial Narrow" w:hAnsi="Arial Narrow" w:cstheme="minorHAnsi"/>
          <w:sz w:val="20"/>
          <w:szCs w:val="20"/>
        </w:rPr>
      </w:pPr>
      <w:bookmarkStart w:id="15" w:name="OLE_LINK1"/>
      <w:bookmarkStart w:id="16" w:name="OLE_LINK2"/>
      <w:r w:rsidRPr="009F5FD0">
        <w:rPr>
          <w:rFonts w:ascii="Arial Narrow" w:hAnsi="Arial Narrow" w:cstheme="minorHAnsi"/>
          <w:sz w:val="20"/>
          <w:szCs w:val="20"/>
        </w:rPr>
        <w:t xml:space="preserve">1\ </w:t>
      </w:r>
      <w:r w:rsidR="00F564BF" w:rsidRPr="00F564BF">
        <w:rPr>
          <w:rFonts w:ascii="Arial Narrow" w:hAnsi="Arial Narrow" w:cstheme="minorHAnsi"/>
          <w:sz w:val="20"/>
          <w:szCs w:val="20"/>
        </w:rPr>
        <w:t>Si la entidad cuenta con títulos valores que posean algún tipo de gravamen, estos se colocarán en la banda correspondiente de acuerdo al tiempo real que falta para el vencimiento de dicho gravamen</w:t>
      </w:r>
      <w:r w:rsidR="00F564BF">
        <w:rPr>
          <w:rFonts w:asciiTheme="minorHAnsi" w:hAnsiTheme="minorHAnsi" w:cstheme="minorHAnsi"/>
          <w:sz w:val="22"/>
          <w:szCs w:val="22"/>
        </w:rPr>
        <w:t>.</w:t>
      </w:r>
      <w:r w:rsidRPr="009F5FD0">
        <w:rPr>
          <w:rFonts w:ascii="Arial Narrow" w:hAnsi="Arial Narrow" w:cstheme="minorHAnsi"/>
          <w:sz w:val="20"/>
          <w:szCs w:val="20"/>
        </w:rPr>
        <w:tab/>
      </w:r>
      <w:bookmarkEnd w:id="15"/>
      <w:bookmarkEnd w:id="16"/>
      <w:r w:rsidRPr="009F5FD0">
        <w:rPr>
          <w:rFonts w:ascii="Arial Narrow" w:hAnsi="Arial Narrow" w:cstheme="minorHAnsi"/>
          <w:sz w:val="20"/>
          <w:szCs w:val="20"/>
        </w:rPr>
        <w:tab/>
      </w:r>
      <w:r w:rsidRPr="009F5FD0">
        <w:rPr>
          <w:rFonts w:ascii="Arial Narrow" w:hAnsi="Arial Narrow" w:cstheme="minorHAnsi"/>
          <w:sz w:val="20"/>
          <w:szCs w:val="20"/>
        </w:rPr>
        <w:tab/>
      </w:r>
    </w:p>
    <w:p w14:paraId="018B533A" w14:textId="77777777" w:rsidR="00C30387" w:rsidRPr="009F5FD0" w:rsidRDefault="00C079C1" w:rsidP="00C30387">
      <w:pPr>
        <w:jc w:val="both"/>
        <w:rPr>
          <w:rFonts w:ascii="Arial Narrow" w:hAnsi="Arial Narrow" w:cstheme="minorHAnsi"/>
          <w:sz w:val="20"/>
          <w:szCs w:val="20"/>
        </w:rPr>
      </w:pPr>
      <w:r w:rsidRPr="009F5FD0" w:rsidDel="006257DA">
        <w:rPr>
          <w:rFonts w:ascii="Arial Narrow" w:hAnsi="Arial Narrow" w:cstheme="minorHAnsi"/>
          <w:sz w:val="20"/>
          <w:szCs w:val="20"/>
        </w:rPr>
        <w:t xml:space="preserve"> </w:t>
      </w:r>
      <w:r w:rsidR="00C30387" w:rsidRPr="009F5FD0">
        <w:rPr>
          <w:rFonts w:ascii="Arial Narrow" w:hAnsi="Arial Narrow" w:cstheme="minorHAnsi"/>
          <w:sz w:val="20"/>
          <w:szCs w:val="20"/>
        </w:rPr>
        <w:t>2\ Se considerar</w:t>
      </w:r>
      <w:r w:rsidRPr="009F5FD0">
        <w:rPr>
          <w:rFonts w:ascii="Arial Narrow" w:hAnsi="Arial Narrow" w:cstheme="minorHAnsi"/>
          <w:sz w:val="20"/>
          <w:szCs w:val="20"/>
        </w:rPr>
        <w:t xml:space="preserve">án emisores insolventes, por lo que </w:t>
      </w:r>
      <w:r w:rsidR="008B18D8">
        <w:rPr>
          <w:rFonts w:ascii="Arial Narrow" w:hAnsi="Arial Narrow" w:cstheme="minorHAnsi"/>
          <w:sz w:val="20"/>
          <w:szCs w:val="20"/>
        </w:rPr>
        <w:t>para el caso que la entidad decida</w:t>
      </w:r>
      <w:r w:rsidRPr="009F5FD0">
        <w:rPr>
          <w:rFonts w:ascii="Arial Narrow" w:hAnsi="Arial Narrow" w:cstheme="minorHAnsi"/>
          <w:sz w:val="20"/>
          <w:szCs w:val="20"/>
        </w:rPr>
        <w:t xml:space="preserve"> vender posiciones de títulos de deuda a largo plazo clasificadas en las categorías desde AAA hasta BB, y de títulos de deuda a corto plazo clasificados en las categorías N-1 y N-2, se realizarán</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con un descuento del 20%</w:t>
      </w:r>
      <w:r w:rsidR="00C30387" w:rsidRPr="009F5FD0">
        <w:rPr>
          <w:rFonts w:ascii="Arial Narrow" w:hAnsi="Arial Narrow" w:cstheme="minorHAnsi"/>
          <w:sz w:val="20"/>
          <w:szCs w:val="20"/>
        </w:rPr>
        <w:t xml:space="preserve">. </w:t>
      </w:r>
      <w:r w:rsidR="008B18D8">
        <w:rPr>
          <w:rFonts w:ascii="Arial Narrow" w:hAnsi="Arial Narrow" w:cstheme="minorHAnsi"/>
          <w:sz w:val="20"/>
          <w:szCs w:val="20"/>
        </w:rPr>
        <w:t xml:space="preserve">Para el caso en que </w:t>
      </w:r>
      <w:r w:rsidR="00936515">
        <w:rPr>
          <w:rFonts w:ascii="Arial Narrow" w:hAnsi="Arial Narrow" w:cstheme="minorHAnsi"/>
          <w:sz w:val="20"/>
          <w:szCs w:val="20"/>
        </w:rPr>
        <w:t>la entidad</w:t>
      </w:r>
      <w:r w:rsidR="00F564BF">
        <w:rPr>
          <w:rFonts w:ascii="Arial Narrow" w:hAnsi="Arial Narrow" w:cstheme="minorHAnsi"/>
          <w:sz w:val="20"/>
          <w:szCs w:val="20"/>
        </w:rPr>
        <w:t xml:space="preserve"> no realizar</w:t>
      </w:r>
      <w:r w:rsidR="0061149F">
        <w:rPr>
          <w:rFonts w:ascii="Arial Narrow" w:hAnsi="Arial Narrow" w:cstheme="minorHAnsi"/>
          <w:sz w:val="20"/>
          <w:szCs w:val="20"/>
        </w:rPr>
        <w:t>a</w:t>
      </w:r>
      <w:r w:rsidR="00C30387" w:rsidRPr="009F5FD0">
        <w:rPr>
          <w:rFonts w:ascii="Arial Narrow" w:hAnsi="Arial Narrow" w:cstheme="minorHAnsi"/>
          <w:sz w:val="20"/>
          <w:szCs w:val="20"/>
        </w:rPr>
        <w:t xml:space="preserve"> ventas de inversiones</w:t>
      </w:r>
      <w:r w:rsidR="0061149F">
        <w:rPr>
          <w:rFonts w:ascii="Arial Narrow" w:hAnsi="Arial Narrow" w:cstheme="minorHAnsi"/>
          <w:sz w:val="20"/>
          <w:szCs w:val="20"/>
        </w:rPr>
        <w:t>,</w:t>
      </w:r>
      <w:r w:rsidR="00C30387" w:rsidRPr="009F5FD0">
        <w:rPr>
          <w:rFonts w:ascii="Arial Narrow" w:hAnsi="Arial Narrow" w:cstheme="minorHAnsi"/>
          <w:sz w:val="20"/>
          <w:szCs w:val="20"/>
        </w:rPr>
        <w:t xml:space="preserve"> p</w:t>
      </w:r>
      <w:r w:rsidR="0061149F">
        <w:rPr>
          <w:rFonts w:ascii="Arial Narrow" w:hAnsi="Arial Narrow" w:cstheme="minorHAnsi"/>
          <w:sz w:val="20"/>
          <w:szCs w:val="20"/>
        </w:rPr>
        <w:t>odrá</w:t>
      </w:r>
      <w:r w:rsidR="00C30387" w:rsidRPr="009F5FD0">
        <w:rPr>
          <w:rFonts w:ascii="Arial Narrow" w:hAnsi="Arial Narrow" w:cstheme="minorHAnsi"/>
          <w:sz w:val="20"/>
          <w:szCs w:val="20"/>
        </w:rPr>
        <w:t xml:space="preserve"> recibir los pagos previstos de interés y/o capital, según </w:t>
      </w:r>
      <w:r w:rsidR="0061149F">
        <w:rPr>
          <w:rFonts w:ascii="Arial Narrow" w:hAnsi="Arial Narrow" w:cstheme="minorHAnsi"/>
          <w:sz w:val="20"/>
          <w:szCs w:val="20"/>
        </w:rPr>
        <w:t xml:space="preserve">su </w:t>
      </w:r>
      <w:r w:rsidR="00C30387" w:rsidRPr="009F5FD0">
        <w:rPr>
          <w:rFonts w:ascii="Arial Narrow" w:hAnsi="Arial Narrow" w:cstheme="minorHAnsi"/>
          <w:sz w:val="20"/>
          <w:szCs w:val="20"/>
        </w:rPr>
        <w:t>vencimiento al 100% de su valor.</w:t>
      </w:r>
      <w:r w:rsidR="002808BA" w:rsidRPr="009F5FD0">
        <w:rPr>
          <w:rFonts w:ascii="Arial Narrow" w:hAnsi="Arial Narrow" w:cstheme="minorHAnsi"/>
          <w:sz w:val="20"/>
          <w:szCs w:val="20"/>
        </w:rPr>
        <w:t xml:space="preserve"> </w:t>
      </w:r>
      <w:r w:rsidR="00C30387" w:rsidRPr="009F5FD0">
        <w:rPr>
          <w:rFonts w:ascii="Arial Narrow" w:hAnsi="Arial Narrow" w:cstheme="minorHAnsi"/>
          <w:sz w:val="20"/>
          <w:szCs w:val="20"/>
        </w:rPr>
        <w:t>Para el caso de títulos de deuda a largo plazo con categorías desde B hasta E y las emisiones de títulos de deuda a corto plazo con categorías entre</w:t>
      </w:r>
      <w:r w:rsidR="002808BA" w:rsidRPr="009F5FD0">
        <w:rPr>
          <w:rFonts w:ascii="Arial Narrow" w:hAnsi="Arial Narrow" w:cstheme="minorHAnsi"/>
          <w:sz w:val="20"/>
          <w:szCs w:val="20"/>
        </w:rPr>
        <w:t xml:space="preserve"> </w:t>
      </w:r>
      <w:r w:rsidR="00C30387" w:rsidRPr="009F5FD0">
        <w:rPr>
          <w:rFonts w:ascii="Arial Narrow" w:hAnsi="Arial Narrow" w:cstheme="minorHAnsi"/>
          <w:sz w:val="20"/>
          <w:szCs w:val="20"/>
        </w:rPr>
        <w:t>N-3 y N-5, su capital e intereses se colocarán en la banda a más de un año plazo. Los títulos valores que no posean calificación se colocarán en la banda a más de un año.</w:t>
      </w:r>
    </w:p>
    <w:p w14:paraId="018B533B" w14:textId="77777777" w:rsidR="00630F64" w:rsidRPr="009F5FD0" w:rsidRDefault="00630F64" w:rsidP="00FC0911">
      <w:pPr>
        <w:rPr>
          <w:rFonts w:ascii="Arial Narrow" w:hAnsi="Arial Narrow" w:cstheme="minorHAnsi"/>
          <w:sz w:val="20"/>
          <w:szCs w:val="20"/>
        </w:rPr>
      </w:pPr>
    </w:p>
    <w:p w14:paraId="018B533C" w14:textId="77777777" w:rsidR="00FC0911" w:rsidRPr="009F5FD0" w:rsidRDefault="00FC0911" w:rsidP="00FC0911">
      <w:pPr>
        <w:rPr>
          <w:rFonts w:ascii="Arial Narrow" w:hAnsi="Arial Narrow" w:cstheme="minorHAnsi"/>
          <w:sz w:val="20"/>
          <w:szCs w:val="20"/>
        </w:rPr>
      </w:pPr>
      <w:r w:rsidRPr="009F5FD0">
        <w:rPr>
          <w:rFonts w:ascii="Arial Narrow" w:hAnsi="Arial Narrow" w:cstheme="minorHAnsi"/>
          <w:b/>
          <w:sz w:val="20"/>
          <w:szCs w:val="20"/>
        </w:rPr>
        <w:t>Préstamos:</w:t>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p>
    <w:p w14:paraId="018B533D" w14:textId="77777777" w:rsidR="00FC0911" w:rsidRPr="009F5FD0" w:rsidRDefault="00FC0911" w:rsidP="00FC0911">
      <w:pPr>
        <w:jc w:val="both"/>
        <w:rPr>
          <w:rFonts w:ascii="Arial Narrow" w:hAnsi="Arial Narrow" w:cstheme="minorHAnsi"/>
          <w:sz w:val="20"/>
          <w:szCs w:val="20"/>
        </w:rPr>
      </w:pPr>
      <w:r w:rsidRPr="009F5FD0">
        <w:rPr>
          <w:rFonts w:ascii="Arial Narrow" w:hAnsi="Arial Narrow" w:cstheme="minorHAnsi"/>
          <w:sz w:val="20"/>
          <w:szCs w:val="20"/>
        </w:rPr>
        <w:t>1\</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Las entidades deberán calcular un indicador de crédito de alto riesgo, más un adicional del 20%. El resultado deberá</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multiplicarse por el saldo de la recuperación prevista de los créditos vigentes de un año</w:t>
      </w:r>
      <w:r w:rsidR="006617FA" w:rsidRPr="009F5FD0">
        <w:rPr>
          <w:rFonts w:ascii="Arial Narrow" w:hAnsi="Arial Narrow" w:cstheme="minorHAnsi"/>
          <w:sz w:val="20"/>
          <w:szCs w:val="20"/>
        </w:rPr>
        <w:t xml:space="preserve"> (independientemente del plazo pactado)</w:t>
      </w:r>
      <w:r w:rsidRPr="009F5FD0">
        <w:rPr>
          <w:rFonts w:ascii="Arial Narrow" w:hAnsi="Arial Narrow" w:cstheme="minorHAnsi"/>
          <w:sz w:val="20"/>
          <w:szCs w:val="20"/>
        </w:rPr>
        <w:t>, el cual se colocará en la banda a más de un año. El indicador de crédito de alto riesgo se define como:</w:t>
      </w:r>
    </w:p>
    <w:p w14:paraId="018B533E" w14:textId="77777777" w:rsidR="00FC0911" w:rsidRPr="009F5FD0" w:rsidRDefault="00FC0911" w:rsidP="00FC0911">
      <w:pPr>
        <w:ind w:firstLine="708"/>
        <w:jc w:val="both"/>
        <w:rPr>
          <w:rFonts w:ascii="Arial Narrow" w:hAnsi="Arial Narrow" w:cstheme="minorHAnsi"/>
          <w:sz w:val="20"/>
          <w:szCs w:val="20"/>
        </w:rPr>
      </w:pPr>
    </w:p>
    <w:p w14:paraId="018B533F" w14:textId="77777777" w:rsidR="00FC0911" w:rsidRPr="009F5FD0" w:rsidRDefault="00FC0911" w:rsidP="00FC0911">
      <w:pPr>
        <w:ind w:firstLine="708"/>
        <w:jc w:val="both"/>
        <w:rPr>
          <w:rFonts w:ascii="Arial Narrow" w:hAnsi="Arial Narrow" w:cstheme="minorHAnsi"/>
          <w:sz w:val="20"/>
          <w:szCs w:val="20"/>
          <w:lang w:val="en-US"/>
        </w:rPr>
      </w:pPr>
      <w:r w:rsidRPr="009F5FD0">
        <w:rPr>
          <w:rFonts w:ascii="Arial Narrow" w:hAnsi="Arial Narrow" w:cstheme="minorHAnsi"/>
          <w:sz w:val="20"/>
          <w:szCs w:val="20"/>
          <w:lang w:val="en-US"/>
        </w:rPr>
        <w:t xml:space="preserve">CAR= (CV+ AC)/ TCB; </w:t>
      </w:r>
      <w:r w:rsidRPr="00B85FB9">
        <w:rPr>
          <w:rFonts w:ascii="Arial Narrow" w:hAnsi="Arial Narrow" w:cstheme="minorHAnsi"/>
          <w:sz w:val="20"/>
          <w:szCs w:val="20"/>
          <w:lang w:val="en-US"/>
        </w:rPr>
        <w:t>donde</w:t>
      </w:r>
      <w:r w:rsidRPr="009F5FD0">
        <w:rPr>
          <w:rFonts w:ascii="Arial Narrow" w:hAnsi="Arial Narrow" w:cstheme="minorHAnsi"/>
          <w:sz w:val="20"/>
          <w:szCs w:val="20"/>
          <w:lang w:val="en-US"/>
        </w:rPr>
        <w:t xml:space="preserve">: </w:t>
      </w:r>
    </w:p>
    <w:p w14:paraId="018B5340" w14:textId="77777777" w:rsidR="00FC0911" w:rsidRPr="009F5FD0" w:rsidRDefault="00FC0911" w:rsidP="00FC0911">
      <w:pPr>
        <w:ind w:firstLine="708"/>
        <w:jc w:val="both"/>
        <w:rPr>
          <w:rFonts w:ascii="Arial Narrow" w:hAnsi="Arial Narrow" w:cstheme="minorHAnsi"/>
          <w:sz w:val="20"/>
          <w:szCs w:val="20"/>
          <w:lang w:val="en-US"/>
        </w:rPr>
      </w:pPr>
    </w:p>
    <w:p w14:paraId="018B5341" w14:textId="77777777" w:rsidR="00FC0911" w:rsidRPr="009F5FD0" w:rsidRDefault="00FC0911" w:rsidP="00FC0911">
      <w:pPr>
        <w:ind w:firstLine="708"/>
        <w:jc w:val="both"/>
        <w:rPr>
          <w:rFonts w:ascii="Arial Narrow" w:hAnsi="Arial Narrow" w:cstheme="minorHAnsi"/>
          <w:sz w:val="20"/>
          <w:szCs w:val="20"/>
        </w:rPr>
      </w:pPr>
      <w:r w:rsidRPr="009F5FD0">
        <w:rPr>
          <w:rFonts w:ascii="Arial Narrow" w:hAnsi="Arial Narrow" w:cstheme="minorHAnsi"/>
          <w:sz w:val="20"/>
          <w:szCs w:val="20"/>
        </w:rPr>
        <w:t xml:space="preserve">CAR= Créditos de alto riesgo; </w:t>
      </w:r>
    </w:p>
    <w:p w14:paraId="018B5342" w14:textId="77777777" w:rsidR="00FC0911" w:rsidRPr="009F5FD0" w:rsidRDefault="00FC0911" w:rsidP="009F5FD0">
      <w:pPr>
        <w:ind w:left="708"/>
        <w:jc w:val="both"/>
        <w:rPr>
          <w:rFonts w:ascii="Arial Narrow" w:hAnsi="Arial Narrow" w:cstheme="minorHAnsi"/>
          <w:sz w:val="20"/>
          <w:szCs w:val="20"/>
        </w:rPr>
      </w:pPr>
      <w:r w:rsidRPr="009F5FD0">
        <w:rPr>
          <w:rFonts w:ascii="Arial Narrow" w:hAnsi="Arial Narrow" w:cstheme="minorHAnsi"/>
          <w:sz w:val="20"/>
          <w:szCs w:val="20"/>
        </w:rPr>
        <w:t xml:space="preserve">CV= Saldo de créditos vencidos </w:t>
      </w:r>
      <w:r w:rsidR="002337DE" w:rsidRPr="009F5FD0">
        <w:rPr>
          <w:rFonts w:ascii="Arial Narrow" w:hAnsi="Arial Narrow" w:cstheme="minorHAnsi"/>
          <w:sz w:val="20"/>
          <w:szCs w:val="20"/>
        </w:rPr>
        <w:t xml:space="preserve">al </w:t>
      </w:r>
      <w:r w:rsidRPr="009F5FD0">
        <w:rPr>
          <w:rFonts w:ascii="Arial Narrow" w:hAnsi="Arial Narrow" w:cstheme="minorHAnsi"/>
          <w:sz w:val="20"/>
          <w:szCs w:val="20"/>
        </w:rPr>
        <w:t xml:space="preserve">último trimestre en estudio; </w:t>
      </w:r>
      <w:r w:rsidR="00573200" w:rsidRPr="009F5FD0">
        <w:rPr>
          <w:rFonts w:ascii="Arial Narrow" w:hAnsi="Arial Narrow" w:cstheme="minorHAnsi"/>
          <w:sz w:val="20"/>
          <w:szCs w:val="20"/>
        </w:rPr>
        <w:t>(se considerará el promedio del trimestre)</w:t>
      </w:r>
      <w:r w:rsidR="00BA1E35" w:rsidRPr="009F5FD0">
        <w:rPr>
          <w:rFonts w:ascii="Arial Narrow" w:hAnsi="Arial Narrow" w:cstheme="minorHAnsi"/>
          <w:sz w:val="20"/>
          <w:szCs w:val="20"/>
        </w:rPr>
        <w:t>;</w:t>
      </w:r>
    </w:p>
    <w:p w14:paraId="018B5343" w14:textId="77777777" w:rsidR="00FC0911" w:rsidRPr="009F5FD0" w:rsidRDefault="00FC0911" w:rsidP="009F5FD0">
      <w:pPr>
        <w:ind w:left="708"/>
        <w:jc w:val="both"/>
        <w:rPr>
          <w:rFonts w:ascii="Arial Narrow" w:hAnsi="Arial Narrow" w:cstheme="minorHAnsi"/>
          <w:sz w:val="20"/>
          <w:szCs w:val="20"/>
        </w:rPr>
      </w:pPr>
      <w:r w:rsidRPr="009F5FD0">
        <w:rPr>
          <w:rFonts w:ascii="Arial Narrow" w:hAnsi="Arial Narrow" w:cstheme="minorHAnsi"/>
          <w:sz w:val="20"/>
          <w:szCs w:val="20"/>
        </w:rPr>
        <w:t xml:space="preserve">AC= Activos Castigados acumulados en </w:t>
      </w:r>
      <w:r w:rsidR="006617FA" w:rsidRPr="009F5FD0">
        <w:rPr>
          <w:rFonts w:ascii="Arial Narrow" w:hAnsi="Arial Narrow" w:cstheme="minorHAnsi"/>
          <w:sz w:val="20"/>
          <w:szCs w:val="20"/>
        </w:rPr>
        <w:t xml:space="preserve">los últimos </w:t>
      </w:r>
      <w:r w:rsidR="00C27800">
        <w:rPr>
          <w:rFonts w:ascii="Arial Narrow" w:hAnsi="Arial Narrow" w:cstheme="minorHAnsi"/>
          <w:sz w:val="20"/>
          <w:szCs w:val="20"/>
        </w:rPr>
        <w:t>tres</w:t>
      </w:r>
      <w:r w:rsidR="006617FA" w:rsidRPr="009F5FD0">
        <w:rPr>
          <w:rFonts w:ascii="Arial Narrow" w:hAnsi="Arial Narrow" w:cstheme="minorHAnsi"/>
          <w:sz w:val="20"/>
          <w:szCs w:val="20"/>
        </w:rPr>
        <w:t xml:space="preserve"> meses,</w:t>
      </w:r>
      <w:r w:rsidRPr="009F5FD0">
        <w:rPr>
          <w:rFonts w:ascii="Arial Narrow" w:hAnsi="Arial Narrow" w:cstheme="minorHAnsi"/>
          <w:sz w:val="20"/>
          <w:szCs w:val="20"/>
        </w:rPr>
        <w:t xml:space="preserve"> </w:t>
      </w:r>
      <w:r w:rsidR="00363662" w:rsidRPr="009F5FD0">
        <w:rPr>
          <w:rFonts w:ascii="Arial Narrow" w:hAnsi="Arial Narrow" w:cstheme="minorHAnsi"/>
          <w:sz w:val="20"/>
          <w:szCs w:val="20"/>
        </w:rPr>
        <w:t>a la fecha de</w:t>
      </w:r>
      <w:r w:rsidR="00363662" w:rsidRPr="009F5FD0">
        <w:rPr>
          <w:rFonts w:ascii="Arial Narrow" w:hAnsi="Arial Narrow" w:cstheme="minorHAnsi"/>
          <w:color w:val="FF0000"/>
          <w:sz w:val="20"/>
          <w:szCs w:val="20"/>
        </w:rPr>
        <w:t xml:space="preserve"> </w:t>
      </w:r>
      <w:r w:rsidR="00363662" w:rsidRPr="009F5FD0">
        <w:rPr>
          <w:rFonts w:ascii="Arial Narrow" w:hAnsi="Arial Narrow" w:cstheme="minorHAnsi"/>
          <w:sz w:val="20"/>
          <w:szCs w:val="20"/>
        </w:rPr>
        <w:t>estudio</w:t>
      </w:r>
      <w:r w:rsidRPr="009F5FD0">
        <w:rPr>
          <w:rFonts w:ascii="Arial Narrow" w:hAnsi="Arial Narrow" w:cstheme="minorHAnsi"/>
          <w:sz w:val="20"/>
          <w:szCs w:val="20"/>
        </w:rPr>
        <w:t xml:space="preserve"> (fuera de balance); </w:t>
      </w:r>
    </w:p>
    <w:p w14:paraId="018B5344" w14:textId="77777777" w:rsidR="006430CE" w:rsidRPr="009F5FD0" w:rsidRDefault="00FC0911" w:rsidP="000A5329">
      <w:pPr>
        <w:ind w:left="708"/>
        <w:jc w:val="both"/>
        <w:rPr>
          <w:rFonts w:ascii="Arial Narrow" w:hAnsi="Arial Narrow" w:cstheme="minorHAnsi"/>
          <w:sz w:val="20"/>
          <w:szCs w:val="20"/>
        </w:rPr>
      </w:pPr>
      <w:r w:rsidRPr="009F5FD0">
        <w:rPr>
          <w:rFonts w:ascii="Arial Narrow" w:hAnsi="Arial Narrow" w:cstheme="minorHAnsi"/>
          <w:sz w:val="20"/>
          <w:szCs w:val="20"/>
        </w:rPr>
        <w:t>TCB= Total de créditos brutos, saldo de balance del último trimestre en estudio</w:t>
      </w:r>
      <w:r w:rsidR="00D90C4E" w:rsidRPr="009F5FD0">
        <w:rPr>
          <w:rFonts w:ascii="Arial Narrow" w:hAnsi="Arial Narrow" w:cstheme="minorHAnsi"/>
          <w:sz w:val="20"/>
          <w:szCs w:val="20"/>
        </w:rPr>
        <w:t xml:space="preserve"> (Cuentas 114</w:t>
      </w:r>
      <w:r w:rsidR="002337DE" w:rsidRPr="009F5FD0">
        <w:rPr>
          <w:rFonts w:ascii="Arial Narrow" w:hAnsi="Arial Narrow" w:cstheme="minorHAnsi"/>
          <w:sz w:val="20"/>
          <w:szCs w:val="20"/>
        </w:rPr>
        <w:t xml:space="preserve"> adicionando el saldo de la cuenta</w:t>
      </w:r>
      <w:r w:rsidR="00D90C4E" w:rsidRPr="009F5FD0">
        <w:rPr>
          <w:rFonts w:ascii="Arial Narrow" w:hAnsi="Arial Narrow" w:cstheme="minorHAnsi"/>
          <w:sz w:val="20"/>
          <w:szCs w:val="20"/>
        </w:rPr>
        <w:t>1149</w:t>
      </w:r>
      <w:r w:rsidR="002337DE" w:rsidRPr="009F5FD0">
        <w:rPr>
          <w:rFonts w:ascii="Arial Narrow" w:hAnsi="Arial Narrow" w:cstheme="minorHAnsi"/>
          <w:sz w:val="20"/>
          <w:szCs w:val="20"/>
        </w:rPr>
        <w:t xml:space="preserve">, </w:t>
      </w:r>
      <w:r w:rsidR="00EE3E56" w:rsidRPr="009F5FD0">
        <w:rPr>
          <w:rFonts w:ascii="Arial Narrow" w:hAnsi="Arial Narrow" w:cstheme="minorHAnsi"/>
          <w:sz w:val="20"/>
          <w:szCs w:val="20"/>
        </w:rPr>
        <w:t>se considerará el promedio del trimestre)</w:t>
      </w:r>
      <w:r w:rsidR="001D7551" w:rsidRPr="009F5FD0">
        <w:rPr>
          <w:rFonts w:ascii="Arial Narrow" w:hAnsi="Arial Narrow" w:cstheme="minorHAnsi"/>
          <w:sz w:val="20"/>
          <w:szCs w:val="20"/>
        </w:rPr>
        <w:t>.</w:t>
      </w:r>
      <w:r w:rsidR="00EE3E56" w:rsidRPr="009F5FD0">
        <w:rPr>
          <w:rFonts w:ascii="Arial Narrow" w:hAnsi="Arial Narrow" w:cstheme="minorHAnsi"/>
          <w:sz w:val="20"/>
          <w:szCs w:val="20"/>
        </w:rPr>
        <w:t xml:space="preserve"> </w:t>
      </w:r>
    </w:p>
    <w:p w14:paraId="018B5345" w14:textId="77777777" w:rsidR="00FC0911" w:rsidRPr="009F5FD0" w:rsidRDefault="00FC0911" w:rsidP="00FC0911">
      <w:pPr>
        <w:jc w:val="both"/>
        <w:rPr>
          <w:rFonts w:ascii="Arial Narrow" w:hAnsi="Arial Narrow" w:cstheme="minorHAnsi"/>
          <w:sz w:val="20"/>
          <w:szCs w:val="20"/>
        </w:rPr>
      </w:pPr>
      <w:r w:rsidRPr="009F5FD0">
        <w:rPr>
          <w:rFonts w:ascii="Arial Narrow" w:hAnsi="Arial Narrow" w:cstheme="minorHAnsi"/>
          <w:sz w:val="20"/>
          <w:szCs w:val="20"/>
        </w:rPr>
        <w:t>2\ La diferen</w:t>
      </w:r>
      <w:r w:rsidR="00D90C4E" w:rsidRPr="009F5FD0">
        <w:rPr>
          <w:rFonts w:ascii="Arial Narrow" w:hAnsi="Arial Narrow" w:cstheme="minorHAnsi"/>
          <w:sz w:val="20"/>
          <w:szCs w:val="20"/>
        </w:rPr>
        <w:t>cia porcentual de recuperación [</w:t>
      </w:r>
      <w:r w:rsidRPr="009F5FD0">
        <w:rPr>
          <w:rFonts w:ascii="Arial Narrow" w:hAnsi="Arial Narrow" w:cstheme="minorHAnsi"/>
          <w:sz w:val="20"/>
          <w:szCs w:val="20"/>
        </w:rPr>
        <w:t>100%-</w:t>
      </w:r>
      <w:r w:rsidR="00D90C4E" w:rsidRPr="009F5FD0">
        <w:rPr>
          <w:rFonts w:ascii="Arial Narrow" w:hAnsi="Arial Narrow" w:cstheme="minorHAnsi"/>
          <w:sz w:val="20"/>
          <w:szCs w:val="20"/>
        </w:rPr>
        <w:t>(</w:t>
      </w:r>
      <w:r w:rsidRPr="009F5FD0">
        <w:rPr>
          <w:rFonts w:ascii="Arial Narrow" w:hAnsi="Arial Narrow" w:cstheme="minorHAnsi"/>
          <w:sz w:val="20"/>
          <w:szCs w:val="20"/>
        </w:rPr>
        <w:t>CAR</w:t>
      </w:r>
      <w:r w:rsidR="00D90C4E" w:rsidRPr="009F5FD0">
        <w:rPr>
          <w:rFonts w:ascii="Arial Narrow" w:hAnsi="Arial Narrow" w:cstheme="minorHAnsi"/>
          <w:sz w:val="20"/>
          <w:szCs w:val="20"/>
        </w:rPr>
        <w:t>+20%</w:t>
      </w:r>
      <w:r w:rsidRPr="009F5FD0">
        <w:rPr>
          <w:rFonts w:ascii="Arial Narrow" w:hAnsi="Arial Narrow" w:cstheme="minorHAnsi"/>
          <w:sz w:val="20"/>
          <w:szCs w:val="20"/>
        </w:rPr>
        <w:t>)</w:t>
      </w:r>
      <w:r w:rsidR="00D90C4E" w:rsidRPr="009F5FD0">
        <w:rPr>
          <w:rFonts w:ascii="Arial Narrow" w:hAnsi="Arial Narrow" w:cstheme="minorHAnsi"/>
          <w:sz w:val="20"/>
          <w:szCs w:val="20"/>
        </w:rPr>
        <w:t>]</w:t>
      </w:r>
      <w:r w:rsidRPr="009F5FD0">
        <w:rPr>
          <w:rFonts w:ascii="Arial Narrow" w:hAnsi="Arial Narrow" w:cstheme="minorHAnsi"/>
          <w:sz w:val="20"/>
          <w:szCs w:val="20"/>
        </w:rPr>
        <w:t>, será multiplicado por el</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saldo de la recuperación prevista</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de los créditos vigentes de un año, la cual será</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distribuida en cada banda según su vencimiento.</w:t>
      </w:r>
    </w:p>
    <w:p w14:paraId="018B5346" w14:textId="77777777" w:rsidR="00C27800" w:rsidRPr="00AF5A6E" w:rsidRDefault="00FC0911" w:rsidP="00C27800">
      <w:pPr>
        <w:jc w:val="both"/>
        <w:rPr>
          <w:rFonts w:ascii="Arial Narrow" w:hAnsi="Arial Narrow" w:cstheme="minorHAnsi"/>
          <w:sz w:val="20"/>
          <w:szCs w:val="20"/>
        </w:rPr>
      </w:pPr>
      <w:r w:rsidRPr="009F5FD0">
        <w:rPr>
          <w:rFonts w:ascii="Arial Narrow" w:hAnsi="Arial Narrow" w:cstheme="minorHAnsi"/>
          <w:sz w:val="20"/>
          <w:szCs w:val="20"/>
        </w:rPr>
        <w:t xml:space="preserve">3\ </w:t>
      </w:r>
      <w:r w:rsidR="00C27800" w:rsidRPr="00AF5A6E">
        <w:rPr>
          <w:rFonts w:ascii="Arial Narrow" w:hAnsi="Arial Narrow" w:cstheme="minorHAnsi"/>
          <w:sz w:val="20"/>
          <w:szCs w:val="20"/>
        </w:rPr>
        <w:t>La recuperación de los créditos a más de un año plazo, se colocarán en la banda correspondiente de acuerdo al tiempo real de los días que faltan para el vencimiento de las cuentas.</w:t>
      </w:r>
    </w:p>
    <w:p w14:paraId="018B5347" w14:textId="77777777" w:rsidR="00FC0911" w:rsidRPr="009F5FD0" w:rsidRDefault="00FC0911" w:rsidP="00FC0911">
      <w:pPr>
        <w:jc w:val="both"/>
        <w:rPr>
          <w:rFonts w:ascii="Arial Narrow" w:hAnsi="Arial Narrow" w:cstheme="minorHAnsi"/>
          <w:sz w:val="20"/>
          <w:szCs w:val="20"/>
        </w:rPr>
      </w:pP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p>
    <w:p w14:paraId="018B5348" w14:textId="77777777" w:rsidR="00FC0911" w:rsidRPr="009F5FD0" w:rsidRDefault="00FC0911" w:rsidP="00FC0911">
      <w:pPr>
        <w:jc w:val="both"/>
        <w:rPr>
          <w:rFonts w:ascii="Arial Narrow" w:hAnsi="Arial Narrow" w:cstheme="minorHAnsi"/>
          <w:b/>
          <w:sz w:val="20"/>
          <w:szCs w:val="20"/>
        </w:rPr>
      </w:pPr>
      <w:r w:rsidRPr="009F5FD0">
        <w:rPr>
          <w:rFonts w:ascii="Arial Narrow" w:hAnsi="Arial Narrow" w:cstheme="minorHAnsi"/>
          <w:b/>
          <w:sz w:val="20"/>
          <w:szCs w:val="20"/>
        </w:rPr>
        <w:t>Depósitos:</w:t>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p>
    <w:p w14:paraId="018B5349" w14:textId="77777777" w:rsidR="003A21FE" w:rsidRPr="009F5FD0" w:rsidRDefault="009C231B" w:rsidP="003A21FE">
      <w:pPr>
        <w:rPr>
          <w:rFonts w:ascii="Arial Narrow" w:hAnsi="Arial Narrow" w:cstheme="minorHAnsi"/>
          <w:sz w:val="20"/>
          <w:szCs w:val="20"/>
        </w:rPr>
      </w:pPr>
      <w:r w:rsidRPr="009F5FD0">
        <w:rPr>
          <w:rFonts w:ascii="Arial Narrow" w:hAnsi="Arial Narrow" w:cstheme="minorHAnsi"/>
          <w:sz w:val="20"/>
          <w:szCs w:val="20"/>
        </w:rPr>
        <w:t>1\ 40% de</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los depósitos a la vista (ahorro y cuenta corriente) se retiran en la primera banda.</w:t>
      </w:r>
      <w:r w:rsidR="00FC0911" w:rsidRPr="009F5FD0">
        <w:rPr>
          <w:rFonts w:ascii="Arial Narrow" w:hAnsi="Arial Narrow" w:cstheme="minorHAnsi"/>
          <w:sz w:val="20"/>
          <w:szCs w:val="20"/>
        </w:rPr>
        <w:tab/>
      </w:r>
    </w:p>
    <w:p w14:paraId="018B534A" w14:textId="77777777" w:rsidR="003A21FE" w:rsidRPr="009F5FD0" w:rsidRDefault="003A21FE" w:rsidP="003A21FE">
      <w:pPr>
        <w:rPr>
          <w:rFonts w:ascii="Arial Narrow" w:hAnsi="Arial Narrow" w:cstheme="minorHAnsi"/>
          <w:sz w:val="20"/>
          <w:szCs w:val="20"/>
        </w:rPr>
      </w:pPr>
      <w:r w:rsidRPr="009F5FD0">
        <w:rPr>
          <w:rFonts w:ascii="Arial Narrow" w:hAnsi="Arial Narrow" w:cstheme="minorHAnsi"/>
          <w:sz w:val="20"/>
          <w:szCs w:val="20"/>
        </w:rPr>
        <w:t>2\ Todos los depósitos a plazo</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se colocarán en la banda correspondiente,</w:t>
      </w:r>
      <w:r w:rsidR="002808BA" w:rsidRPr="009F5FD0">
        <w:rPr>
          <w:rFonts w:ascii="Arial Narrow" w:hAnsi="Arial Narrow" w:cstheme="minorHAnsi"/>
          <w:sz w:val="20"/>
          <w:szCs w:val="20"/>
        </w:rPr>
        <w:t xml:space="preserve"> </w:t>
      </w:r>
      <w:r w:rsidRPr="009F5FD0">
        <w:rPr>
          <w:rFonts w:ascii="Arial Narrow" w:hAnsi="Arial Narrow" w:cstheme="minorHAnsi"/>
          <w:sz w:val="20"/>
          <w:szCs w:val="20"/>
        </w:rPr>
        <w:t xml:space="preserve">de acuerdo al tiempo real que falta para el vencimiento de </w:t>
      </w:r>
      <w:r w:rsidR="00AD79D8" w:rsidRPr="009F5FD0">
        <w:rPr>
          <w:rFonts w:ascii="Arial Narrow" w:hAnsi="Arial Narrow" w:cstheme="minorHAnsi"/>
          <w:sz w:val="20"/>
          <w:szCs w:val="20"/>
        </w:rPr>
        <w:t>dichos depósitos.</w:t>
      </w:r>
      <w:r w:rsidR="0079192A">
        <w:rPr>
          <w:rFonts w:ascii="Arial Narrow" w:hAnsi="Arial Narrow" w:cstheme="minorHAnsi"/>
          <w:sz w:val="20"/>
          <w:szCs w:val="20"/>
        </w:rPr>
        <w:t xml:space="preserve"> </w:t>
      </w:r>
      <w:r w:rsidR="00B36BFC">
        <w:rPr>
          <w:rFonts w:ascii="Arial Narrow" w:hAnsi="Arial Narrow" w:cstheme="minorHAnsi"/>
          <w:sz w:val="20"/>
          <w:szCs w:val="20"/>
        </w:rPr>
        <w:t>No se considerarán renovaciones de acuerdo a los saldos establecidos en el Anexo No.1.</w:t>
      </w:r>
      <w:r w:rsidRPr="009F5FD0">
        <w:rPr>
          <w:rFonts w:ascii="Arial Narrow" w:hAnsi="Arial Narrow" w:cstheme="minorHAnsi"/>
          <w:sz w:val="20"/>
          <w:szCs w:val="20"/>
        </w:rPr>
        <w:tab/>
      </w:r>
    </w:p>
    <w:p w14:paraId="018B534B" w14:textId="77777777" w:rsidR="009F5FD0" w:rsidRPr="009F5FD0" w:rsidRDefault="003A21FE" w:rsidP="009F5FD0">
      <w:pPr>
        <w:rPr>
          <w:rFonts w:ascii="Arial Narrow" w:hAnsi="Arial Narrow" w:cstheme="minorHAnsi"/>
          <w:sz w:val="20"/>
          <w:szCs w:val="20"/>
        </w:rPr>
      </w:pPr>
      <w:r w:rsidRPr="009F5FD0">
        <w:rPr>
          <w:rFonts w:ascii="Arial Narrow" w:hAnsi="Arial Narrow" w:cstheme="minorHAnsi"/>
          <w:sz w:val="20"/>
          <w:szCs w:val="20"/>
        </w:rPr>
        <w:tab/>
      </w:r>
      <w:r w:rsidR="00FC0911" w:rsidRPr="009F5FD0">
        <w:rPr>
          <w:rFonts w:ascii="Arial Narrow" w:hAnsi="Arial Narrow" w:cstheme="minorHAnsi"/>
          <w:sz w:val="20"/>
          <w:szCs w:val="20"/>
        </w:rPr>
        <w:tab/>
      </w:r>
      <w:r w:rsidR="00FC0911" w:rsidRPr="009F5FD0">
        <w:rPr>
          <w:rFonts w:ascii="Arial Narrow" w:hAnsi="Arial Narrow" w:cstheme="minorHAnsi"/>
          <w:sz w:val="20"/>
          <w:szCs w:val="20"/>
        </w:rPr>
        <w:tab/>
      </w:r>
    </w:p>
    <w:p w14:paraId="018B534C" w14:textId="77777777" w:rsidR="00FC0911" w:rsidRPr="009F5FD0" w:rsidRDefault="00FC0911" w:rsidP="00FC0911">
      <w:pPr>
        <w:jc w:val="both"/>
        <w:rPr>
          <w:rFonts w:ascii="Arial Narrow" w:hAnsi="Arial Narrow" w:cstheme="minorHAnsi"/>
          <w:b/>
          <w:sz w:val="20"/>
          <w:szCs w:val="20"/>
        </w:rPr>
      </w:pPr>
      <w:r w:rsidRPr="009F5FD0">
        <w:rPr>
          <w:rFonts w:ascii="Arial Narrow" w:hAnsi="Arial Narrow" w:cstheme="minorHAnsi"/>
          <w:b/>
          <w:sz w:val="20"/>
          <w:szCs w:val="20"/>
        </w:rPr>
        <w:t>Préstamos recibidos:</w:t>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p>
    <w:p w14:paraId="018B534D" w14:textId="77777777" w:rsidR="009F5FD0" w:rsidRDefault="00FC0911" w:rsidP="00FC0911">
      <w:pPr>
        <w:jc w:val="both"/>
        <w:rPr>
          <w:rFonts w:ascii="Arial Narrow" w:hAnsi="Arial Narrow" w:cstheme="minorHAnsi"/>
          <w:sz w:val="20"/>
          <w:szCs w:val="20"/>
        </w:rPr>
      </w:pPr>
      <w:r w:rsidRPr="009F5FD0">
        <w:rPr>
          <w:rFonts w:ascii="Arial Narrow" w:hAnsi="Arial Narrow" w:cstheme="minorHAnsi"/>
          <w:sz w:val="20"/>
          <w:szCs w:val="20"/>
        </w:rPr>
        <w:t>1\</w:t>
      </w:r>
      <w:r w:rsidR="00D91862">
        <w:rPr>
          <w:rFonts w:ascii="Arial Narrow" w:hAnsi="Arial Narrow" w:cstheme="minorHAnsi"/>
          <w:sz w:val="20"/>
          <w:szCs w:val="20"/>
        </w:rPr>
        <w:t xml:space="preserve"> Los préstamos recibidos deberán ser cancelados en la fecha de vencimiento establecida, sin posibilidad de renovaciones</w:t>
      </w:r>
      <w:r w:rsidR="00B36BFC">
        <w:rPr>
          <w:rFonts w:ascii="Arial Narrow" w:hAnsi="Arial Narrow" w:cstheme="minorHAnsi"/>
          <w:sz w:val="20"/>
          <w:szCs w:val="20"/>
        </w:rPr>
        <w:t xml:space="preserve"> de acuerdo a los saldos determinados en el Anexo No.1.</w:t>
      </w:r>
      <w:r w:rsidRPr="009F5FD0">
        <w:rPr>
          <w:rFonts w:ascii="Arial Narrow" w:hAnsi="Arial Narrow" w:cstheme="minorHAnsi"/>
          <w:sz w:val="20"/>
          <w:szCs w:val="20"/>
        </w:rPr>
        <w:tab/>
      </w:r>
    </w:p>
    <w:p w14:paraId="018B534E" w14:textId="77777777" w:rsidR="00FC0911" w:rsidRPr="009F5FD0" w:rsidRDefault="00FC0911" w:rsidP="00FC0911">
      <w:pPr>
        <w:jc w:val="both"/>
        <w:rPr>
          <w:rFonts w:ascii="Arial Narrow" w:hAnsi="Arial Narrow" w:cstheme="minorHAnsi"/>
          <w:sz w:val="20"/>
          <w:szCs w:val="20"/>
        </w:rPr>
      </w:pP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p>
    <w:p w14:paraId="018B534F" w14:textId="77777777" w:rsidR="00FC0911" w:rsidRPr="009F5FD0" w:rsidRDefault="00FC0911" w:rsidP="00FC0911">
      <w:pPr>
        <w:jc w:val="both"/>
        <w:rPr>
          <w:rFonts w:ascii="Arial Narrow" w:hAnsi="Arial Narrow" w:cstheme="minorHAnsi"/>
          <w:b/>
          <w:sz w:val="20"/>
          <w:szCs w:val="20"/>
        </w:rPr>
      </w:pPr>
      <w:r w:rsidRPr="009F5FD0">
        <w:rPr>
          <w:rFonts w:ascii="Arial Narrow" w:hAnsi="Arial Narrow" w:cstheme="minorHAnsi"/>
          <w:b/>
          <w:sz w:val="20"/>
          <w:szCs w:val="20"/>
        </w:rPr>
        <w:t>Títulos de emisión:</w:t>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r w:rsidRPr="009F5FD0">
        <w:rPr>
          <w:rFonts w:ascii="Arial Narrow" w:hAnsi="Arial Narrow" w:cstheme="minorHAnsi"/>
          <w:b/>
          <w:sz w:val="20"/>
          <w:szCs w:val="20"/>
        </w:rPr>
        <w:tab/>
      </w:r>
    </w:p>
    <w:p w14:paraId="018B5350" w14:textId="77777777" w:rsidR="00FC0911" w:rsidRPr="009F5FD0" w:rsidRDefault="00FC0911" w:rsidP="00FC0911">
      <w:pPr>
        <w:jc w:val="both"/>
        <w:rPr>
          <w:rFonts w:ascii="Arial Narrow" w:hAnsi="Arial Narrow" w:cstheme="minorHAnsi"/>
          <w:sz w:val="20"/>
          <w:szCs w:val="20"/>
        </w:rPr>
      </w:pPr>
      <w:r w:rsidRPr="009F5FD0">
        <w:rPr>
          <w:rFonts w:ascii="Arial Narrow" w:hAnsi="Arial Narrow" w:cstheme="minorHAnsi"/>
          <w:sz w:val="20"/>
          <w:szCs w:val="20"/>
        </w:rPr>
        <w:t>1\ No realizan nuevas colocaciones de emisiones de títulos valores.</w:t>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r w:rsidRPr="009F5FD0">
        <w:rPr>
          <w:rFonts w:ascii="Arial Narrow" w:hAnsi="Arial Narrow" w:cstheme="minorHAnsi"/>
          <w:sz w:val="20"/>
          <w:szCs w:val="20"/>
        </w:rPr>
        <w:tab/>
      </w:r>
    </w:p>
    <w:p w14:paraId="018B5351" w14:textId="77777777" w:rsidR="001F1B07" w:rsidRPr="009F5FD0" w:rsidRDefault="009676AD" w:rsidP="00C36027">
      <w:pPr>
        <w:jc w:val="both"/>
        <w:rPr>
          <w:sz w:val="20"/>
          <w:szCs w:val="20"/>
        </w:rPr>
      </w:pPr>
      <w:r w:rsidRPr="009F5FD0">
        <w:rPr>
          <w:rFonts w:ascii="Arial Narrow" w:hAnsi="Arial Narrow" w:cstheme="minorHAnsi"/>
          <w:sz w:val="20"/>
          <w:szCs w:val="20"/>
        </w:rPr>
        <w:t xml:space="preserve">2\ </w:t>
      </w:r>
      <w:r w:rsidR="00FC0911" w:rsidRPr="009F5FD0">
        <w:rPr>
          <w:rFonts w:ascii="Arial Narrow" w:hAnsi="Arial Narrow" w:cstheme="minorHAnsi"/>
          <w:sz w:val="20"/>
          <w:szCs w:val="20"/>
        </w:rPr>
        <w:t xml:space="preserve">Los vencimientos de los títulos se colocan en cada banda de acuerdo </w:t>
      </w:r>
      <w:r w:rsidR="00B36BFC">
        <w:rPr>
          <w:rFonts w:ascii="Arial Narrow" w:hAnsi="Arial Narrow" w:cstheme="minorHAnsi"/>
          <w:sz w:val="20"/>
        </w:rPr>
        <w:t>a</w:t>
      </w:r>
      <w:r w:rsidR="00B36BFC" w:rsidRPr="00A439A5">
        <w:rPr>
          <w:rFonts w:ascii="Arial Narrow" w:hAnsi="Arial Narrow" w:cstheme="minorHAnsi"/>
          <w:sz w:val="20"/>
        </w:rPr>
        <w:t>l tiempo real de los días que faltan para el vencimiento</w:t>
      </w:r>
      <w:r w:rsidR="000A5329">
        <w:rPr>
          <w:rFonts w:ascii="Arial Narrow" w:hAnsi="Arial Narrow" w:cstheme="minorHAnsi"/>
          <w:sz w:val="20"/>
        </w:rPr>
        <w:t>.</w:t>
      </w:r>
    </w:p>
    <w:sectPr w:rsidR="001F1B07" w:rsidRPr="009F5FD0" w:rsidSect="002C37D4">
      <w:headerReference w:type="even" r:id="rId16"/>
      <w:headerReference w:type="default" r:id="rId17"/>
      <w:footerReference w:type="default" r:id="rId18"/>
      <w:pgSz w:w="12242" w:h="15842" w:code="1"/>
      <w:pgMar w:top="1418" w:right="1701" w:bottom="113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A1E059" w14:textId="77777777" w:rsidR="00625A21" w:rsidRDefault="00625A21" w:rsidP="00B02CF6">
      <w:r>
        <w:separator/>
      </w:r>
    </w:p>
  </w:endnote>
  <w:endnote w:type="continuationSeparator" w:id="0">
    <w:p w14:paraId="33382DC2" w14:textId="77777777" w:rsidR="00625A21" w:rsidRDefault="00625A21" w:rsidP="00B02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118" w:type="dxa"/>
      <w:tblInd w:w="250" w:type="dxa"/>
      <w:tblBorders>
        <w:top w:val="triple" w:sz="4" w:space="0" w:color="A6A6A6" w:themeColor="background1" w:themeShade="A6"/>
      </w:tblBorders>
      <w:tblLook w:val="04A0" w:firstRow="1" w:lastRow="0" w:firstColumn="1" w:lastColumn="0" w:noHBand="0" w:noVBand="1"/>
    </w:tblPr>
    <w:tblGrid>
      <w:gridCol w:w="815"/>
      <w:gridCol w:w="6318"/>
      <w:gridCol w:w="1985"/>
    </w:tblGrid>
    <w:tr w:rsidR="00625A21" w14:paraId="4E85D26C" w14:textId="77777777" w:rsidTr="00BB3EA5">
      <w:trPr>
        <w:trHeight w:val="822"/>
      </w:trPr>
      <w:tc>
        <w:tcPr>
          <w:tcW w:w="815" w:type="dxa"/>
          <w:tcBorders>
            <w:top w:val="nil"/>
            <w:left w:val="nil"/>
            <w:bottom w:val="nil"/>
            <w:right w:val="nil"/>
          </w:tcBorders>
          <w:vAlign w:val="bottom"/>
        </w:tcPr>
        <w:p w14:paraId="4D519913" w14:textId="77777777" w:rsidR="00625A21" w:rsidRDefault="00625A21" w:rsidP="00BB3EA5">
          <w:pPr>
            <w:pStyle w:val="Piedepgina"/>
            <w:ind w:firstLine="34"/>
            <w:jc w:val="center"/>
            <w:rPr>
              <w:rFonts w:ascii="Arial Narrow" w:hAnsi="Arial Narrow"/>
              <w:sz w:val="20"/>
              <w:szCs w:val="20"/>
            </w:rPr>
          </w:pPr>
        </w:p>
        <w:p w14:paraId="4E6A5B72" w14:textId="77777777" w:rsidR="00625A21" w:rsidRDefault="00625A21" w:rsidP="00BB3EA5">
          <w:pPr>
            <w:pStyle w:val="Piedepgina"/>
            <w:ind w:firstLine="34"/>
            <w:jc w:val="center"/>
            <w:rPr>
              <w:rFonts w:ascii="Arial Narrow" w:hAnsi="Arial Narrow"/>
              <w:sz w:val="20"/>
              <w:szCs w:val="20"/>
            </w:rPr>
          </w:pPr>
        </w:p>
        <w:p w14:paraId="614313AE" w14:textId="77777777" w:rsidR="00625A21" w:rsidRDefault="00625A21" w:rsidP="00BB3EA5">
          <w:pPr>
            <w:pStyle w:val="Piedepgina"/>
            <w:ind w:firstLine="34"/>
            <w:rPr>
              <w:rFonts w:ascii="Arial Narrow" w:hAnsi="Arial Narrow"/>
              <w:sz w:val="20"/>
              <w:szCs w:val="20"/>
              <w:lang w:val="es-ES"/>
            </w:rPr>
          </w:pPr>
        </w:p>
      </w:tc>
      <w:tc>
        <w:tcPr>
          <w:tcW w:w="6318" w:type="dxa"/>
          <w:tcBorders>
            <w:top w:val="triple" w:sz="4" w:space="0" w:color="A6A6A6" w:themeColor="background1" w:themeShade="A6"/>
            <w:left w:val="nil"/>
            <w:bottom w:val="nil"/>
            <w:right w:val="nil"/>
          </w:tcBorders>
          <w:vAlign w:val="center"/>
          <w:hideMark/>
        </w:tcPr>
        <w:p w14:paraId="6556F04C" w14:textId="77777777" w:rsidR="00625A21" w:rsidRDefault="00625A21" w:rsidP="00BB3EA5">
          <w:pPr>
            <w:pStyle w:val="Piedepgina"/>
            <w:jc w:val="center"/>
            <w:rPr>
              <w:rFonts w:ascii="Arial Narrow" w:hAnsi="Arial Narrow" w:cs="Arial"/>
              <w:color w:val="818284"/>
              <w:sz w:val="20"/>
              <w:szCs w:val="20"/>
              <w:lang w:val="es-MX"/>
            </w:rPr>
          </w:pPr>
          <w:r>
            <w:rPr>
              <w:rFonts w:ascii="Arial Narrow" w:hAnsi="Arial Narrow" w:cs="Arial"/>
              <w:color w:val="818284"/>
              <w:sz w:val="20"/>
              <w:szCs w:val="20"/>
              <w:lang w:val="es-MX"/>
            </w:rPr>
            <w:t>Alameda Juan Pablo II, entre 15 y 17 Av. Norte, San Salvador, El Salvador.</w:t>
          </w:r>
        </w:p>
        <w:p w14:paraId="534D77A3" w14:textId="77777777" w:rsidR="00625A21" w:rsidRDefault="00625A21" w:rsidP="00BB3EA5">
          <w:pPr>
            <w:pStyle w:val="Piedepgina"/>
            <w:jc w:val="center"/>
            <w:rPr>
              <w:rFonts w:ascii="Arial Narrow" w:hAnsi="Arial Narrow" w:cs="Arial"/>
              <w:color w:val="818284"/>
              <w:sz w:val="20"/>
              <w:szCs w:val="20"/>
              <w:lang w:val="es-ES"/>
            </w:rPr>
          </w:pPr>
          <w:r>
            <w:rPr>
              <w:rFonts w:ascii="Arial Narrow" w:hAnsi="Arial Narrow" w:cs="Arial"/>
              <w:color w:val="818284"/>
              <w:sz w:val="20"/>
              <w:szCs w:val="20"/>
            </w:rPr>
            <w:t>Tel. (503) 2281-8000</w:t>
          </w:r>
        </w:p>
        <w:p w14:paraId="5DF394DC" w14:textId="77777777" w:rsidR="00625A21" w:rsidRDefault="00625A21" w:rsidP="00BB3EA5">
          <w:pPr>
            <w:pStyle w:val="Piedepgina"/>
            <w:jc w:val="center"/>
            <w:rPr>
              <w:rFonts w:ascii="Arial Narrow" w:hAnsi="Arial Narrow" w:cs="Arial"/>
              <w:color w:val="818284"/>
              <w:sz w:val="20"/>
              <w:szCs w:val="20"/>
              <w:lang w:val="es-ES"/>
            </w:rPr>
          </w:pPr>
          <w:r>
            <w:rPr>
              <w:rFonts w:ascii="Arial Narrow" w:hAnsi="Arial Narrow" w:cs="Arial"/>
              <w:color w:val="818284"/>
              <w:sz w:val="20"/>
              <w:szCs w:val="20"/>
            </w:rPr>
            <w:t>www.bcr.gob.sv</w:t>
          </w:r>
        </w:p>
      </w:tc>
      <w:tc>
        <w:tcPr>
          <w:tcW w:w="1985" w:type="dxa"/>
          <w:tcBorders>
            <w:top w:val="triple" w:sz="4" w:space="0" w:color="A6A6A6" w:themeColor="background1" w:themeShade="A6"/>
            <w:left w:val="nil"/>
            <w:bottom w:val="nil"/>
            <w:right w:val="nil"/>
          </w:tcBorders>
          <w:vAlign w:val="center"/>
          <w:hideMark/>
        </w:tcPr>
        <w:p w14:paraId="64A2A44C" w14:textId="77777777" w:rsidR="00625A21" w:rsidRDefault="00C47793" w:rsidP="00BB3EA5">
          <w:pPr>
            <w:pStyle w:val="Piedepgina"/>
            <w:jc w:val="center"/>
            <w:rPr>
              <w:rFonts w:ascii="Arial Narrow" w:hAnsi="Arial Narrow" w:cs="Arial"/>
              <w:color w:val="818284"/>
              <w:sz w:val="20"/>
              <w:szCs w:val="20"/>
              <w:lang w:val="es-ES"/>
            </w:rPr>
          </w:pPr>
          <w:sdt>
            <w:sdtPr>
              <w:rPr>
                <w:rFonts w:ascii="Arial Narrow" w:hAnsi="Arial Narrow" w:cs="Arial"/>
                <w:sz w:val="20"/>
                <w:szCs w:val="20"/>
              </w:rPr>
              <w:id w:val="-2051442318"/>
              <w:docPartObj>
                <w:docPartGallery w:val="Page Numbers (Bottom of Page)"/>
                <w:docPartUnique/>
              </w:docPartObj>
            </w:sdtPr>
            <w:sdtEndPr/>
            <w:sdtContent>
              <w:sdt>
                <w:sdtPr>
                  <w:rPr>
                    <w:rFonts w:ascii="Arial Narrow" w:hAnsi="Arial Narrow" w:cs="Arial"/>
                    <w:sz w:val="20"/>
                    <w:szCs w:val="20"/>
                  </w:rPr>
                  <w:id w:val="1542401350"/>
                  <w:docPartObj>
                    <w:docPartGallery w:val="Page Numbers (Top of Page)"/>
                    <w:docPartUnique/>
                  </w:docPartObj>
                </w:sdtPr>
                <w:sdtEndPr/>
                <w:sdtContent>
                  <w:r w:rsidR="00625A21">
                    <w:rPr>
                      <w:rFonts w:ascii="Arial Narrow" w:hAnsi="Arial Narrow" w:cs="Arial"/>
                      <w:color w:val="818284"/>
                      <w:sz w:val="20"/>
                      <w:szCs w:val="20"/>
                    </w:rPr>
                    <w:t xml:space="preserve">Página </w:t>
                  </w:r>
                  <w:r w:rsidR="00625A21">
                    <w:rPr>
                      <w:rFonts w:ascii="Arial Narrow" w:hAnsi="Arial Narrow" w:cs="Arial"/>
                      <w:color w:val="818284"/>
                      <w:sz w:val="20"/>
                      <w:szCs w:val="20"/>
                    </w:rPr>
                    <w:fldChar w:fldCharType="begin"/>
                  </w:r>
                  <w:r w:rsidR="00625A21">
                    <w:rPr>
                      <w:rFonts w:ascii="Arial Narrow" w:hAnsi="Arial Narrow" w:cs="Arial"/>
                      <w:color w:val="818284"/>
                      <w:sz w:val="20"/>
                      <w:szCs w:val="20"/>
                    </w:rPr>
                    <w:instrText>PAGE</w:instrText>
                  </w:r>
                  <w:r w:rsidR="00625A21">
                    <w:rPr>
                      <w:rFonts w:ascii="Arial Narrow" w:hAnsi="Arial Narrow" w:cs="Arial"/>
                      <w:color w:val="818284"/>
                      <w:sz w:val="20"/>
                      <w:szCs w:val="20"/>
                    </w:rPr>
                    <w:fldChar w:fldCharType="separate"/>
                  </w:r>
                  <w:r>
                    <w:rPr>
                      <w:rFonts w:ascii="Arial Narrow" w:hAnsi="Arial Narrow" w:cs="Arial"/>
                      <w:noProof/>
                      <w:color w:val="818284"/>
                      <w:sz w:val="20"/>
                      <w:szCs w:val="20"/>
                    </w:rPr>
                    <w:t>1</w:t>
                  </w:r>
                  <w:r w:rsidR="00625A21">
                    <w:rPr>
                      <w:rFonts w:ascii="Arial Narrow" w:hAnsi="Arial Narrow" w:cs="Arial"/>
                      <w:color w:val="818284"/>
                      <w:sz w:val="20"/>
                      <w:szCs w:val="20"/>
                    </w:rPr>
                    <w:fldChar w:fldCharType="end"/>
                  </w:r>
                  <w:r w:rsidR="00625A21">
                    <w:rPr>
                      <w:rFonts w:ascii="Arial Narrow" w:hAnsi="Arial Narrow" w:cs="Arial"/>
                      <w:color w:val="818284"/>
                      <w:sz w:val="20"/>
                      <w:szCs w:val="20"/>
                    </w:rPr>
                    <w:t xml:space="preserve"> de </w:t>
                  </w:r>
                  <w:r w:rsidR="00625A21">
                    <w:rPr>
                      <w:rFonts w:ascii="Arial Narrow" w:hAnsi="Arial Narrow" w:cs="Arial"/>
                      <w:color w:val="818284"/>
                      <w:sz w:val="20"/>
                      <w:szCs w:val="20"/>
                    </w:rPr>
                    <w:fldChar w:fldCharType="begin"/>
                  </w:r>
                  <w:r w:rsidR="00625A21">
                    <w:rPr>
                      <w:rFonts w:ascii="Arial Narrow" w:hAnsi="Arial Narrow" w:cs="Arial"/>
                      <w:color w:val="818284"/>
                      <w:sz w:val="20"/>
                      <w:szCs w:val="20"/>
                    </w:rPr>
                    <w:instrText>NUMPAGES</w:instrText>
                  </w:r>
                  <w:r w:rsidR="00625A21">
                    <w:rPr>
                      <w:rFonts w:ascii="Arial Narrow" w:hAnsi="Arial Narrow" w:cs="Arial"/>
                      <w:color w:val="818284"/>
                      <w:sz w:val="20"/>
                      <w:szCs w:val="20"/>
                    </w:rPr>
                    <w:fldChar w:fldCharType="separate"/>
                  </w:r>
                  <w:r>
                    <w:rPr>
                      <w:rFonts w:ascii="Arial Narrow" w:hAnsi="Arial Narrow" w:cs="Arial"/>
                      <w:noProof/>
                      <w:color w:val="818284"/>
                      <w:sz w:val="20"/>
                      <w:szCs w:val="20"/>
                    </w:rPr>
                    <w:t>1</w:t>
                  </w:r>
                  <w:r w:rsidR="00625A21">
                    <w:rPr>
                      <w:rFonts w:ascii="Arial Narrow" w:hAnsi="Arial Narrow" w:cs="Arial"/>
                      <w:color w:val="818284"/>
                      <w:sz w:val="20"/>
                      <w:szCs w:val="20"/>
                    </w:rPr>
                    <w:fldChar w:fldCharType="end"/>
                  </w:r>
                </w:sdtContent>
              </w:sdt>
            </w:sdtContent>
          </w:sdt>
        </w:p>
      </w:tc>
    </w:tr>
  </w:tbl>
  <w:p w14:paraId="7EE658C4" w14:textId="77777777" w:rsidR="00625A21" w:rsidRDefault="00625A21" w:rsidP="00BB3EA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43" w:type="dxa"/>
      <w:tblBorders>
        <w:top w:val="triple" w:sz="4" w:space="0" w:color="A6A6A6" w:themeColor="background1" w:themeShade="A6"/>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521"/>
      <w:gridCol w:w="2126"/>
    </w:tblGrid>
    <w:tr w:rsidR="00625A21" w:rsidRPr="00B076B4" w14:paraId="018B5371" w14:textId="77777777" w:rsidTr="00C249D6">
      <w:trPr>
        <w:trHeight w:val="822"/>
      </w:trPr>
      <w:tc>
        <w:tcPr>
          <w:tcW w:w="1985" w:type="dxa"/>
          <w:tcBorders>
            <w:top w:val="nil"/>
          </w:tcBorders>
          <w:vAlign w:val="bottom"/>
        </w:tcPr>
        <w:p w14:paraId="018B536A" w14:textId="77777777" w:rsidR="00625A21" w:rsidRDefault="00625A21" w:rsidP="00C249D6">
          <w:pPr>
            <w:pStyle w:val="Piedepgina"/>
            <w:ind w:firstLine="34"/>
            <w:jc w:val="center"/>
            <w:rPr>
              <w:rFonts w:ascii="Arial Narrow" w:hAnsi="Arial Narrow"/>
              <w:sz w:val="20"/>
              <w:szCs w:val="20"/>
              <w:lang w:val="es-ES"/>
            </w:rPr>
          </w:pPr>
        </w:p>
        <w:p w14:paraId="018B536B" w14:textId="77777777" w:rsidR="00625A21" w:rsidRDefault="00625A21" w:rsidP="00C249D6">
          <w:pPr>
            <w:pStyle w:val="Piedepgina"/>
            <w:ind w:firstLine="34"/>
            <w:jc w:val="center"/>
            <w:rPr>
              <w:rFonts w:ascii="Arial Narrow" w:hAnsi="Arial Narrow"/>
              <w:sz w:val="20"/>
              <w:szCs w:val="20"/>
              <w:lang w:val="es-ES"/>
            </w:rPr>
          </w:pPr>
        </w:p>
        <w:p w14:paraId="018B536C" w14:textId="77777777" w:rsidR="00625A21" w:rsidRPr="00B076B4" w:rsidRDefault="00625A21" w:rsidP="00C249D6">
          <w:pPr>
            <w:pStyle w:val="Piedepgina"/>
            <w:ind w:firstLine="34"/>
            <w:rPr>
              <w:rFonts w:ascii="Arial Narrow" w:hAnsi="Arial Narrow"/>
              <w:sz w:val="20"/>
              <w:szCs w:val="20"/>
              <w:lang w:val="es-ES"/>
            </w:rPr>
          </w:pPr>
        </w:p>
      </w:tc>
      <w:tc>
        <w:tcPr>
          <w:tcW w:w="6521" w:type="dxa"/>
          <w:vAlign w:val="center"/>
        </w:tcPr>
        <w:p w14:paraId="018B536D" w14:textId="77777777" w:rsidR="00625A21" w:rsidRDefault="00625A21" w:rsidP="00C249D6">
          <w:pPr>
            <w:pStyle w:val="Piedepgina"/>
            <w:jc w:val="center"/>
            <w:rPr>
              <w:rFonts w:ascii="Arial Narrow" w:hAnsi="Arial Narrow" w:cs="Arial"/>
              <w:color w:val="818284"/>
              <w:sz w:val="20"/>
              <w:szCs w:val="20"/>
            </w:rPr>
          </w:pPr>
          <w:r w:rsidRPr="00437961">
            <w:rPr>
              <w:rFonts w:ascii="Arial Narrow" w:hAnsi="Arial Narrow" w:cs="Arial"/>
              <w:color w:val="818284"/>
              <w:sz w:val="20"/>
              <w:szCs w:val="20"/>
            </w:rPr>
            <w:t xml:space="preserve">Alameda Juan Pablo II, entre 15 y 17 Av. Norte, San Salvador, </w:t>
          </w:r>
          <w:r>
            <w:rPr>
              <w:rFonts w:ascii="Arial Narrow" w:hAnsi="Arial Narrow" w:cs="Arial"/>
              <w:color w:val="818284"/>
              <w:sz w:val="20"/>
              <w:szCs w:val="20"/>
            </w:rPr>
            <w:t>El</w:t>
          </w:r>
          <w:r w:rsidRPr="00437961">
            <w:rPr>
              <w:rFonts w:ascii="Arial Narrow" w:hAnsi="Arial Narrow" w:cs="Arial"/>
              <w:color w:val="818284"/>
              <w:sz w:val="20"/>
              <w:szCs w:val="20"/>
            </w:rPr>
            <w:t xml:space="preserve"> Salvador.</w:t>
          </w:r>
        </w:p>
        <w:p w14:paraId="018B536E" w14:textId="77777777" w:rsidR="00625A21" w:rsidRPr="00437961" w:rsidRDefault="00625A21" w:rsidP="00C249D6">
          <w:pPr>
            <w:pStyle w:val="Piedepgina"/>
            <w:jc w:val="center"/>
            <w:rPr>
              <w:rFonts w:ascii="Arial Narrow" w:hAnsi="Arial Narrow" w:cs="Arial"/>
              <w:color w:val="818284"/>
              <w:sz w:val="20"/>
              <w:szCs w:val="20"/>
            </w:rPr>
          </w:pPr>
          <w:r w:rsidRPr="00437961">
            <w:rPr>
              <w:rFonts w:ascii="Arial Narrow" w:hAnsi="Arial Narrow" w:cs="Arial"/>
              <w:color w:val="818284"/>
              <w:sz w:val="20"/>
              <w:szCs w:val="20"/>
            </w:rPr>
            <w:t>Tel. (503) 2281-8000</w:t>
          </w:r>
        </w:p>
        <w:p w14:paraId="018B536F" w14:textId="77777777" w:rsidR="00625A21" w:rsidRPr="00437961" w:rsidRDefault="00625A21" w:rsidP="00C249D6">
          <w:pPr>
            <w:pStyle w:val="Piedepgina"/>
            <w:jc w:val="center"/>
            <w:rPr>
              <w:rFonts w:ascii="Arial Narrow" w:hAnsi="Arial Narrow" w:cs="Arial"/>
              <w:color w:val="818284"/>
              <w:sz w:val="20"/>
              <w:szCs w:val="20"/>
            </w:rPr>
          </w:pPr>
          <w:r w:rsidRPr="00437961">
            <w:rPr>
              <w:rFonts w:ascii="Arial Narrow" w:hAnsi="Arial Narrow" w:cs="Arial"/>
              <w:color w:val="818284"/>
              <w:sz w:val="20"/>
              <w:szCs w:val="20"/>
            </w:rPr>
            <w:t xml:space="preserve"> www.bcr.gob.sv</w:t>
          </w:r>
        </w:p>
      </w:tc>
      <w:tc>
        <w:tcPr>
          <w:tcW w:w="2126" w:type="dxa"/>
          <w:vAlign w:val="center"/>
        </w:tcPr>
        <w:p w14:paraId="018B5370" w14:textId="77777777" w:rsidR="00625A21" w:rsidRPr="00437961" w:rsidRDefault="00C47793" w:rsidP="00C249D6">
          <w:pPr>
            <w:pStyle w:val="Piedepgina"/>
            <w:jc w:val="center"/>
            <w:rPr>
              <w:rFonts w:ascii="Arial Narrow" w:hAnsi="Arial Narrow" w:cs="Arial"/>
              <w:color w:val="818284"/>
              <w:sz w:val="20"/>
              <w:szCs w:val="20"/>
            </w:rPr>
          </w:pPr>
          <w:sdt>
            <w:sdtPr>
              <w:rPr>
                <w:rFonts w:ascii="Arial Narrow" w:hAnsi="Arial Narrow" w:cs="Arial"/>
                <w:sz w:val="20"/>
                <w:szCs w:val="20"/>
              </w:rPr>
              <w:id w:val="20553880"/>
              <w:docPartObj>
                <w:docPartGallery w:val="Page Numbers (Bottom of Page)"/>
                <w:docPartUnique/>
              </w:docPartObj>
            </w:sdtPr>
            <w:sdtEndPr/>
            <w:sdtContent>
              <w:sdt>
                <w:sdtPr>
                  <w:rPr>
                    <w:rFonts w:ascii="Arial Narrow" w:hAnsi="Arial Narrow" w:cs="Arial"/>
                    <w:sz w:val="20"/>
                    <w:szCs w:val="20"/>
                  </w:rPr>
                  <w:id w:val="216747587"/>
                  <w:docPartObj>
                    <w:docPartGallery w:val="Page Numbers (Top of Page)"/>
                    <w:docPartUnique/>
                  </w:docPartObj>
                </w:sdtPr>
                <w:sdtEndPr/>
                <w:sdtContent>
                  <w:r w:rsidR="00625A21" w:rsidRPr="00437961">
                    <w:rPr>
                      <w:rFonts w:ascii="Arial Narrow" w:hAnsi="Arial Narrow" w:cs="Arial"/>
                      <w:color w:val="818284"/>
                      <w:sz w:val="20"/>
                      <w:szCs w:val="20"/>
                    </w:rPr>
                    <w:t xml:space="preserve">Página </w:t>
                  </w:r>
                  <w:r w:rsidR="00625A21" w:rsidRPr="00437961">
                    <w:rPr>
                      <w:rFonts w:ascii="Arial Narrow" w:hAnsi="Arial Narrow" w:cs="Arial"/>
                      <w:color w:val="818284"/>
                      <w:sz w:val="20"/>
                      <w:szCs w:val="20"/>
                    </w:rPr>
                    <w:fldChar w:fldCharType="begin"/>
                  </w:r>
                  <w:r w:rsidR="00625A21" w:rsidRPr="00437961">
                    <w:rPr>
                      <w:rFonts w:ascii="Arial Narrow" w:hAnsi="Arial Narrow" w:cs="Arial"/>
                      <w:color w:val="818284"/>
                      <w:sz w:val="20"/>
                      <w:szCs w:val="20"/>
                    </w:rPr>
                    <w:instrText>PAGE</w:instrText>
                  </w:r>
                  <w:r w:rsidR="00625A21" w:rsidRPr="00437961">
                    <w:rPr>
                      <w:rFonts w:ascii="Arial Narrow" w:hAnsi="Arial Narrow" w:cs="Arial"/>
                      <w:color w:val="818284"/>
                      <w:sz w:val="20"/>
                      <w:szCs w:val="20"/>
                    </w:rPr>
                    <w:fldChar w:fldCharType="separate"/>
                  </w:r>
                  <w:r w:rsidR="009A2308">
                    <w:rPr>
                      <w:rFonts w:ascii="Arial Narrow" w:hAnsi="Arial Narrow" w:cs="Arial"/>
                      <w:noProof/>
                      <w:color w:val="818284"/>
                      <w:sz w:val="20"/>
                      <w:szCs w:val="20"/>
                    </w:rPr>
                    <w:t>11</w:t>
                  </w:r>
                  <w:r w:rsidR="00625A21" w:rsidRPr="00437961">
                    <w:rPr>
                      <w:rFonts w:ascii="Arial Narrow" w:hAnsi="Arial Narrow" w:cs="Arial"/>
                      <w:color w:val="818284"/>
                      <w:sz w:val="20"/>
                      <w:szCs w:val="20"/>
                    </w:rPr>
                    <w:fldChar w:fldCharType="end"/>
                  </w:r>
                  <w:r w:rsidR="00625A21" w:rsidRPr="00437961">
                    <w:rPr>
                      <w:rFonts w:ascii="Arial Narrow" w:hAnsi="Arial Narrow" w:cs="Arial"/>
                      <w:color w:val="818284"/>
                      <w:sz w:val="20"/>
                      <w:szCs w:val="20"/>
                    </w:rPr>
                    <w:t xml:space="preserve"> de </w:t>
                  </w:r>
                  <w:r w:rsidR="00625A21" w:rsidRPr="00437961">
                    <w:rPr>
                      <w:rFonts w:ascii="Arial Narrow" w:hAnsi="Arial Narrow" w:cs="Arial"/>
                      <w:color w:val="818284"/>
                      <w:sz w:val="20"/>
                      <w:szCs w:val="20"/>
                    </w:rPr>
                    <w:fldChar w:fldCharType="begin"/>
                  </w:r>
                  <w:r w:rsidR="00625A21" w:rsidRPr="00437961">
                    <w:rPr>
                      <w:rFonts w:ascii="Arial Narrow" w:hAnsi="Arial Narrow" w:cs="Arial"/>
                      <w:color w:val="818284"/>
                      <w:sz w:val="20"/>
                      <w:szCs w:val="20"/>
                    </w:rPr>
                    <w:instrText>NUMPAGES</w:instrText>
                  </w:r>
                  <w:r w:rsidR="00625A21" w:rsidRPr="00437961">
                    <w:rPr>
                      <w:rFonts w:ascii="Arial Narrow" w:hAnsi="Arial Narrow" w:cs="Arial"/>
                      <w:color w:val="818284"/>
                      <w:sz w:val="20"/>
                      <w:szCs w:val="20"/>
                    </w:rPr>
                    <w:fldChar w:fldCharType="separate"/>
                  </w:r>
                  <w:r w:rsidR="009A2308">
                    <w:rPr>
                      <w:rFonts w:ascii="Arial Narrow" w:hAnsi="Arial Narrow" w:cs="Arial"/>
                      <w:noProof/>
                      <w:color w:val="818284"/>
                      <w:sz w:val="20"/>
                      <w:szCs w:val="20"/>
                    </w:rPr>
                    <w:t>13</w:t>
                  </w:r>
                  <w:r w:rsidR="00625A21" w:rsidRPr="00437961">
                    <w:rPr>
                      <w:rFonts w:ascii="Arial Narrow" w:hAnsi="Arial Narrow" w:cs="Arial"/>
                      <w:color w:val="818284"/>
                      <w:sz w:val="20"/>
                      <w:szCs w:val="20"/>
                    </w:rPr>
                    <w:fldChar w:fldCharType="end"/>
                  </w:r>
                </w:sdtContent>
              </w:sdt>
            </w:sdtContent>
          </w:sdt>
        </w:p>
      </w:tc>
    </w:tr>
  </w:tbl>
  <w:p w14:paraId="018B5372" w14:textId="77777777" w:rsidR="00625A21" w:rsidRPr="00B30D4A" w:rsidRDefault="00625A21">
    <w:pPr>
      <w:pStyle w:val="Piedepgina"/>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ECB234" w14:textId="77777777" w:rsidR="00625A21" w:rsidRDefault="00625A21" w:rsidP="00B02CF6">
      <w:r>
        <w:separator/>
      </w:r>
    </w:p>
  </w:footnote>
  <w:footnote w:type="continuationSeparator" w:id="0">
    <w:p w14:paraId="2F577D46" w14:textId="77777777" w:rsidR="00625A21" w:rsidRDefault="00625A21" w:rsidP="00B02C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27" w:type="dxa"/>
      <w:tblInd w:w="-738"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firstRow="1" w:lastRow="0" w:firstColumn="1" w:lastColumn="0" w:noHBand="0" w:noVBand="1"/>
    </w:tblPr>
    <w:tblGrid>
      <w:gridCol w:w="2264"/>
      <w:gridCol w:w="6804"/>
      <w:gridCol w:w="1559"/>
    </w:tblGrid>
    <w:tr w:rsidR="00625A21" w:rsidRPr="00437961" w14:paraId="66FDF27C" w14:textId="77777777" w:rsidTr="00F07C94">
      <w:trPr>
        <w:trHeight w:val="366"/>
      </w:trPr>
      <w:tc>
        <w:tcPr>
          <w:tcW w:w="2264"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tcPr>
        <w:p w14:paraId="2A7A4E7C" w14:textId="77777777" w:rsidR="00625A21" w:rsidRPr="00046D6E" w:rsidRDefault="00625A21" w:rsidP="00963034">
          <w:pPr>
            <w:pStyle w:val="Piedepgina"/>
            <w:jc w:val="center"/>
            <w:rPr>
              <w:rFonts w:ascii="Arial Narrow" w:hAnsi="Arial Narrow" w:cs="Arial"/>
              <w:color w:val="818284"/>
              <w:sz w:val="20"/>
              <w:szCs w:val="20"/>
            </w:rPr>
          </w:pPr>
          <w:r w:rsidRPr="00046D6E">
            <w:rPr>
              <w:rFonts w:ascii="Arial Narrow" w:hAnsi="Arial Narrow" w:cs="Arial"/>
              <w:color w:val="818284"/>
              <w:sz w:val="20"/>
              <w:szCs w:val="20"/>
            </w:rPr>
            <w:t>CN</w:t>
          </w:r>
          <w:r>
            <w:rPr>
              <w:rFonts w:ascii="Arial Narrow" w:hAnsi="Arial Narrow" w:cs="Arial"/>
              <w:color w:val="818284"/>
              <w:sz w:val="20"/>
              <w:szCs w:val="20"/>
            </w:rPr>
            <w:t>BCR-</w:t>
          </w:r>
          <w:r w:rsidRPr="00046D6E">
            <w:rPr>
              <w:rFonts w:ascii="Arial Narrow" w:hAnsi="Arial Narrow" w:cs="Arial"/>
              <w:color w:val="818284"/>
              <w:sz w:val="20"/>
              <w:szCs w:val="20"/>
            </w:rPr>
            <w:t>09/2012</w:t>
          </w:r>
        </w:p>
      </w:tc>
      <w:tc>
        <w:tcPr>
          <w:tcW w:w="6804" w:type="dxa"/>
          <w:vMerge w:val="restart"/>
          <w:tcBorders>
            <w:left w:val="triple" w:sz="4" w:space="0" w:color="A6A6A6" w:themeColor="background1" w:themeShade="A6"/>
          </w:tcBorders>
          <w:vAlign w:val="center"/>
        </w:tcPr>
        <w:p w14:paraId="3121A3C5" w14:textId="77777777" w:rsidR="00625A21" w:rsidRPr="00437961" w:rsidRDefault="00625A21" w:rsidP="00963034">
          <w:pPr>
            <w:pStyle w:val="Piedepgina"/>
            <w:jc w:val="center"/>
            <w:rPr>
              <w:rFonts w:ascii="Arial Narrow" w:hAnsi="Arial Narrow" w:cs="Arial"/>
              <w:color w:val="818284"/>
              <w:sz w:val="20"/>
              <w:szCs w:val="20"/>
            </w:rPr>
          </w:pPr>
          <w:r>
            <w:rPr>
              <w:rFonts w:ascii="Arial Narrow" w:hAnsi="Arial Narrow" w:cs="Arial"/>
              <w:color w:val="818284"/>
              <w:sz w:val="20"/>
              <w:szCs w:val="20"/>
            </w:rPr>
            <w:t>NRP-05</w:t>
          </w:r>
        </w:p>
        <w:p w14:paraId="7294834C" w14:textId="77777777" w:rsidR="00625A21" w:rsidRPr="00D97D2C" w:rsidRDefault="00625A21" w:rsidP="00963034">
          <w:pPr>
            <w:pStyle w:val="Piedepgina"/>
            <w:jc w:val="center"/>
            <w:rPr>
              <w:rFonts w:ascii="Arial Narrow" w:hAnsi="Arial Narrow" w:cs="Arial"/>
              <w:color w:val="A6A6A6" w:themeColor="background1" w:themeShade="A6"/>
              <w:sz w:val="18"/>
              <w:szCs w:val="18"/>
            </w:rPr>
          </w:pPr>
          <w:r w:rsidRPr="00D97D2C">
            <w:rPr>
              <w:rFonts w:ascii="Arial Narrow" w:hAnsi="Arial Narrow" w:cs="Arial"/>
              <w:color w:val="818284"/>
              <w:sz w:val="20"/>
              <w:szCs w:val="20"/>
            </w:rPr>
            <w:t>NORMAS TÉCNICAS PARA LA GESTIÓN DEL RIESGO DE LIQUIDEZ</w:t>
          </w:r>
        </w:p>
      </w:tc>
      <w:tc>
        <w:tcPr>
          <w:tcW w:w="1559" w:type="dxa"/>
          <w:vMerge w:val="restart"/>
          <w:vAlign w:val="center"/>
        </w:tcPr>
        <w:p w14:paraId="467DE66E" w14:textId="77777777" w:rsidR="00625A21" w:rsidRPr="00437961" w:rsidRDefault="00625A21" w:rsidP="00963034">
          <w:pPr>
            <w:pStyle w:val="Encabezado"/>
            <w:jc w:val="center"/>
            <w:rPr>
              <w:rFonts w:ascii="Arial Narrow" w:hAnsi="Arial Narrow"/>
              <w:sz w:val="20"/>
              <w:szCs w:val="20"/>
            </w:rPr>
          </w:pPr>
          <w:r w:rsidRPr="00E61B9A">
            <w:rPr>
              <w:rFonts w:ascii="Arial Narrow" w:eastAsiaTheme="minorEastAsia" w:hAnsi="Arial Narrow" w:cs="Arial"/>
              <w:noProof/>
              <w:lang w:val="es-MX" w:eastAsia="es-MX"/>
            </w:rPr>
            <w:drawing>
              <wp:inline distT="0" distB="0" distL="0" distR="0" wp14:anchorId="62791EB7" wp14:editId="5B9C3037">
                <wp:extent cx="812165" cy="782955"/>
                <wp:effectExtent l="0" t="0" r="6985" b="0"/>
                <wp:docPr id="2" name="Imagen 2" descr="Logo redondo B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redondo BCR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165" cy="782955"/>
                        </a:xfrm>
                        <a:prstGeom prst="rect">
                          <a:avLst/>
                        </a:prstGeom>
                        <a:noFill/>
                        <a:ln>
                          <a:noFill/>
                        </a:ln>
                      </pic:spPr>
                    </pic:pic>
                  </a:graphicData>
                </a:graphic>
              </wp:inline>
            </w:drawing>
          </w:r>
        </w:p>
      </w:tc>
    </w:tr>
    <w:tr w:rsidR="00625A21" w:rsidRPr="00437961" w14:paraId="0787A863" w14:textId="77777777" w:rsidTr="00F07C94">
      <w:trPr>
        <w:trHeight w:val="366"/>
      </w:trPr>
      <w:tc>
        <w:tcPr>
          <w:tcW w:w="2264"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tcPr>
        <w:p w14:paraId="374C67CC" w14:textId="77777777" w:rsidR="00625A21" w:rsidRPr="00437961" w:rsidRDefault="00625A21" w:rsidP="00963034">
          <w:pPr>
            <w:pStyle w:val="Piedepgina"/>
            <w:jc w:val="center"/>
            <w:rPr>
              <w:rFonts w:ascii="Arial Narrow" w:hAnsi="Arial Narrow" w:cs="Arial"/>
              <w:color w:val="818284"/>
              <w:sz w:val="20"/>
              <w:szCs w:val="20"/>
            </w:rPr>
          </w:pPr>
          <w:r>
            <w:rPr>
              <w:rFonts w:ascii="Arial Narrow" w:hAnsi="Arial Narrow" w:cs="Arial"/>
              <w:color w:val="818284"/>
              <w:sz w:val="20"/>
              <w:szCs w:val="20"/>
            </w:rPr>
            <w:t>Aprobación: 21/08/2012</w:t>
          </w:r>
        </w:p>
      </w:tc>
      <w:tc>
        <w:tcPr>
          <w:tcW w:w="6804" w:type="dxa"/>
          <w:vMerge/>
          <w:tcBorders>
            <w:left w:val="triple" w:sz="4" w:space="0" w:color="A6A6A6" w:themeColor="background1" w:themeShade="A6"/>
          </w:tcBorders>
          <w:vAlign w:val="center"/>
        </w:tcPr>
        <w:p w14:paraId="0936D468" w14:textId="77777777" w:rsidR="00625A21" w:rsidRPr="00437961" w:rsidRDefault="00625A21" w:rsidP="00963034">
          <w:pPr>
            <w:pStyle w:val="Encabezado"/>
            <w:jc w:val="center"/>
            <w:rPr>
              <w:rFonts w:ascii="Arial Narrow" w:hAnsi="Arial Narrow"/>
              <w:sz w:val="20"/>
              <w:szCs w:val="20"/>
            </w:rPr>
          </w:pPr>
        </w:p>
      </w:tc>
      <w:tc>
        <w:tcPr>
          <w:tcW w:w="1559" w:type="dxa"/>
          <w:vMerge/>
          <w:vAlign w:val="center"/>
        </w:tcPr>
        <w:p w14:paraId="177F3E59" w14:textId="77777777" w:rsidR="00625A21" w:rsidRPr="00437961" w:rsidRDefault="00625A21" w:rsidP="00963034">
          <w:pPr>
            <w:pStyle w:val="Encabezado"/>
            <w:jc w:val="center"/>
            <w:rPr>
              <w:rFonts w:ascii="Arial Narrow" w:hAnsi="Arial Narrow"/>
              <w:noProof/>
              <w:sz w:val="20"/>
              <w:szCs w:val="20"/>
              <w:lang w:val="es-ES"/>
            </w:rPr>
          </w:pPr>
        </w:p>
      </w:tc>
    </w:tr>
    <w:tr w:rsidR="00625A21" w:rsidRPr="00437961" w14:paraId="1853D0AC" w14:textId="77777777" w:rsidTr="00F07C94">
      <w:trPr>
        <w:trHeight w:val="366"/>
      </w:trPr>
      <w:tc>
        <w:tcPr>
          <w:tcW w:w="2264"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tcPr>
        <w:p w14:paraId="7A539F73" w14:textId="77777777" w:rsidR="00625A21" w:rsidRPr="00437961" w:rsidRDefault="00625A21" w:rsidP="00963034">
          <w:pPr>
            <w:pStyle w:val="Piedepgina"/>
            <w:jc w:val="center"/>
            <w:rPr>
              <w:rFonts w:ascii="Arial Narrow" w:hAnsi="Arial Narrow"/>
              <w:sz w:val="20"/>
              <w:szCs w:val="20"/>
            </w:rPr>
          </w:pPr>
          <w:r>
            <w:rPr>
              <w:rFonts w:ascii="Arial Narrow" w:hAnsi="Arial Narrow" w:cs="Arial"/>
              <w:color w:val="818284"/>
              <w:sz w:val="20"/>
              <w:szCs w:val="20"/>
            </w:rPr>
            <w:t>Vigencia: 01/10/2012</w:t>
          </w:r>
        </w:p>
      </w:tc>
      <w:tc>
        <w:tcPr>
          <w:tcW w:w="6804" w:type="dxa"/>
          <w:vMerge/>
          <w:tcBorders>
            <w:left w:val="triple" w:sz="4" w:space="0" w:color="A6A6A6" w:themeColor="background1" w:themeShade="A6"/>
          </w:tcBorders>
          <w:vAlign w:val="center"/>
        </w:tcPr>
        <w:p w14:paraId="7518F589" w14:textId="77777777" w:rsidR="00625A21" w:rsidRPr="00437961" w:rsidRDefault="00625A21" w:rsidP="00963034">
          <w:pPr>
            <w:pStyle w:val="Encabezado"/>
            <w:jc w:val="center"/>
            <w:rPr>
              <w:rFonts w:ascii="Arial Narrow" w:hAnsi="Arial Narrow"/>
              <w:sz w:val="20"/>
              <w:szCs w:val="20"/>
            </w:rPr>
          </w:pPr>
        </w:p>
      </w:tc>
      <w:tc>
        <w:tcPr>
          <w:tcW w:w="1559" w:type="dxa"/>
          <w:vMerge/>
          <w:vAlign w:val="center"/>
        </w:tcPr>
        <w:p w14:paraId="59908539" w14:textId="77777777" w:rsidR="00625A21" w:rsidRPr="00437961" w:rsidRDefault="00625A21" w:rsidP="00963034">
          <w:pPr>
            <w:pStyle w:val="Encabezado"/>
            <w:jc w:val="center"/>
            <w:rPr>
              <w:rFonts w:ascii="Arial Narrow" w:hAnsi="Arial Narrow"/>
              <w:sz w:val="20"/>
              <w:szCs w:val="20"/>
            </w:rPr>
          </w:pPr>
        </w:p>
      </w:tc>
    </w:tr>
  </w:tbl>
  <w:p w14:paraId="73AFD784" w14:textId="77777777" w:rsidR="00625A21" w:rsidRPr="00F07C94" w:rsidRDefault="00625A21" w:rsidP="00BF09D9">
    <w:pPr>
      <w:pStyle w:val="Encabezado"/>
      <w:rPr>
        <w:sz w:val="22"/>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B535A" w14:textId="77777777" w:rsidR="00625A21" w:rsidRDefault="00625A21">
    <w:r>
      <w:c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27" w:type="dxa"/>
      <w:tblInd w:w="-738" w:type="dxa"/>
      <w:tbl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insideH w:val="triple" w:sz="4" w:space="0" w:color="A6A6A6" w:themeColor="background1" w:themeShade="A6"/>
        <w:insideV w:val="triple" w:sz="4" w:space="0" w:color="A6A6A6" w:themeColor="background1" w:themeShade="A6"/>
      </w:tblBorders>
      <w:tblLook w:val="04A0" w:firstRow="1" w:lastRow="0" w:firstColumn="1" w:lastColumn="0" w:noHBand="0" w:noVBand="1"/>
    </w:tblPr>
    <w:tblGrid>
      <w:gridCol w:w="2264"/>
      <w:gridCol w:w="6804"/>
      <w:gridCol w:w="1559"/>
    </w:tblGrid>
    <w:tr w:rsidR="00625A21" w:rsidRPr="00437961" w14:paraId="018B535F" w14:textId="77777777" w:rsidTr="00C42BA1">
      <w:trPr>
        <w:trHeight w:val="366"/>
      </w:trPr>
      <w:tc>
        <w:tcPr>
          <w:tcW w:w="2264"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tcPr>
        <w:p w14:paraId="018B535B" w14:textId="63710375" w:rsidR="00625A21" w:rsidRPr="00046D6E" w:rsidRDefault="00625A21" w:rsidP="00C249D6">
          <w:pPr>
            <w:pStyle w:val="Piedepgina"/>
            <w:jc w:val="center"/>
            <w:rPr>
              <w:rFonts w:ascii="Arial Narrow" w:hAnsi="Arial Narrow" w:cs="Arial"/>
              <w:color w:val="818284"/>
              <w:sz w:val="20"/>
              <w:szCs w:val="20"/>
            </w:rPr>
          </w:pPr>
          <w:r w:rsidRPr="00046D6E">
            <w:rPr>
              <w:rFonts w:ascii="Arial Narrow" w:hAnsi="Arial Narrow" w:cs="Arial"/>
              <w:color w:val="818284"/>
              <w:sz w:val="20"/>
              <w:szCs w:val="20"/>
            </w:rPr>
            <w:t>CN</w:t>
          </w:r>
          <w:r>
            <w:rPr>
              <w:rFonts w:ascii="Arial Narrow" w:hAnsi="Arial Narrow" w:cs="Arial"/>
              <w:color w:val="818284"/>
              <w:sz w:val="20"/>
              <w:szCs w:val="20"/>
            </w:rPr>
            <w:t>BCR-</w:t>
          </w:r>
          <w:r w:rsidRPr="00046D6E">
            <w:rPr>
              <w:rFonts w:ascii="Arial Narrow" w:hAnsi="Arial Narrow" w:cs="Arial"/>
              <w:color w:val="818284"/>
              <w:sz w:val="20"/>
              <w:szCs w:val="20"/>
            </w:rPr>
            <w:t>09/2012</w:t>
          </w:r>
        </w:p>
      </w:tc>
      <w:tc>
        <w:tcPr>
          <w:tcW w:w="6804" w:type="dxa"/>
          <w:vMerge w:val="restart"/>
          <w:tcBorders>
            <w:left w:val="triple" w:sz="4" w:space="0" w:color="A6A6A6" w:themeColor="background1" w:themeShade="A6"/>
          </w:tcBorders>
          <w:vAlign w:val="center"/>
        </w:tcPr>
        <w:p w14:paraId="018B535C" w14:textId="77777777" w:rsidR="00625A21" w:rsidRPr="00437961" w:rsidRDefault="00625A21" w:rsidP="00C249D6">
          <w:pPr>
            <w:pStyle w:val="Piedepgina"/>
            <w:jc w:val="center"/>
            <w:rPr>
              <w:rFonts w:ascii="Arial Narrow" w:hAnsi="Arial Narrow" w:cs="Arial"/>
              <w:color w:val="818284"/>
              <w:sz w:val="20"/>
              <w:szCs w:val="20"/>
            </w:rPr>
          </w:pPr>
          <w:r>
            <w:rPr>
              <w:rFonts w:ascii="Arial Narrow" w:hAnsi="Arial Narrow" w:cs="Arial"/>
              <w:color w:val="818284"/>
              <w:sz w:val="20"/>
              <w:szCs w:val="20"/>
            </w:rPr>
            <w:t>NRP-05</w:t>
          </w:r>
        </w:p>
        <w:p w14:paraId="018B535D" w14:textId="77777777" w:rsidR="00625A21" w:rsidRPr="00D97D2C" w:rsidRDefault="00625A21" w:rsidP="00C249D6">
          <w:pPr>
            <w:pStyle w:val="Piedepgina"/>
            <w:jc w:val="center"/>
            <w:rPr>
              <w:rFonts w:ascii="Arial Narrow" w:hAnsi="Arial Narrow" w:cs="Arial"/>
              <w:color w:val="A6A6A6" w:themeColor="background1" w:themeShade="A6"/>
              <w:sz w:val="18"/>
              <w:szCs w:val="18"/>
            </w:rPr>
          </w:pPr>
          <w:r w:rsidRPr="00D97D2C">
            <w:rPr>
              <w:rFonts w:ascii="Arial Narrow" w:hAnsi="Arial Narrow" w:cs="Arial"/>
              <w:color w:val="818284"/>
              <w:sz w:val="20"/>
              <w:szCs w:val="20"/>
            </w:rPr>
            <w:t>NORMAS TÉCNICAS PARA LA GESTIÓN DEL RIESGO DE LIQUIDEZ</w:t>
          </w:r>
        </w:p>
      </w:tc>
      <w:tc>
        <w:tcPr>
          <w:tcW w:w="1559" w:type="dxa"/>
          <w:vMerge w:val="restart"/>
          <w:vAlign w:val="center"/>
        </w:tcPr>
        <w:p w14:paraId="018B535E" w14:textId="285AF283" w:rsidR="00625A21" w:rsidRPr="00437961" w:rsidRDefault="00625A21" w:rsidP="00C249D6">
          <w:pPr>
            <w:pStyle w:val="Encabezado"/>
            <w:jc w:val="center"/>
            <w:rPr>
              <w:rFonts w:ascii="Arial Narrow" w:hAnsi="Arial Narrow"/>
              <w:sz w:val="20"/>
              <w:szCs w:val="20"/>
            </w:rPr>
          </w:pPr>
          <w:r w:rsidRPr="00E61B9A">
            <w:rPr>
              <w:rFonts w:ascii="Arial Narrow" w:eastAsiaTheme="minorEastAsia" w:hAnsi="Arial Narrow" w:cs="Arial"/>
              <w:noProof/>
              <w:lang w:val="es-MX" w:eastAsia="es-MX"/>
            </w:rPr>
            <w:drawing>
              <wp:inline distT="0" distB="0" distL="0" distR="0" wp14:anchorId="44164A01" wp14:editId="2621EDF8">
                <wp:extent cx="812165" cy="782955"/>
                <wp:effectExtent l="0" t="0" r="6985" b="0"/>
                <wp:docPr id="8" name="Imagen 8" descr="Logo redondo B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redondo BCR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165" cy="782955"/>
                        </a:xfrm>
                        <a:prstGeom prst="rect">
                          <a:avLst/>
                        </a:prstGeom>
                        <a:noFill/>
                        <a:ln>
                          <a:noFill/>
                        </a:ln>
                      </pic:spPr>
                    </pic:pic>
                  </a:graphicData>
                </a:graphic>
              </wp:inline>
            </w:drawing>
          </w:r>
        </w:p>
      </w:tc>
    </w:tr>
    <w:tr w:rsidR="00625A21" w:rsidRPr="00437961" w14:paraId="018B5363" w14:textId="77777777" w:rsidTr="00C42BA1">
      <w:trPr>
        <w:trHeight w:val="366"/>
      </w:trPr>
      <w:tc>
        <w:tcPr>
          <w:tcW w:w="2264"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tcPr>
        <w:p w14:paraId="018B5360" w14:textId="77777777" w:rsidR="00625A21" w:rsidRPr="00437961" w:rsidRDefault="00625A21" w:rsidP="00C249D6">
          <w:pPr>
            <w:pStyle w:val="Piedepgina"/>
            <w:jc w:val="center"/>
            <w:rPr>
              <w:rFonts w:ascii="Arial Narrow" w:hAnsi="Arial Narrow" w:cs="Arial"/>
              <w:color w:val="818284"/>
              <w:sz w:val="20"/>
              <w:szCs w:val="20"/>
            </w:rPr>
          </w:pPr>
          <w:r>
            <w:rPr>
              <w:rFonts w:ascii="Arial Narrow" w:hAnsi="Arial Narrow" w:cs="Arial"/>
              <w:color w:val="818284"/>
              <w:sz w:val="20"/>
              <w:szCs w:val="20"/>
            </w:rPr>
            <w:t>Aprobación: 21/08/2012</w:t>
          </w:r>
        </w:p>
      </w:tc>
      <w:tc>
        <w:tcPr>
          <w:tcW w:w="6804" w:type="dxa"/>
          <w:vMerge/>
          <w:tcBorders>
            <w:left w:val="triple" w:sz="4" w:space="0" w:color="A6A6A6" w:themeColor="background1" w:themeShade="A6"/>
          </w:tcBorders>
          <w:vAlign w:val="center"/>
        </w:tcPr>
        <w:p w14:paraId="018B5361" w14:textId="77777777" w:rsidR="00625A21" w:rsidRPr="00437961" w:rsidRDefault="00625A21" w:rsidP="00C249D6">
          <w:pPr>
            <w:pStyle w:val="Encabezado"/>
            <w:jc w:val="center"/>
            <w:rPr>
              <w:rFonts w:ascii="Arial Narrow" w:hAnsi="Arial Narrow"/>
              <w:sz w:val="20"/>
              <w:szCs w:val="20"/>
            </w:rPr>
          </w:pPr>
        </w:p>
      </w:tc>
      <w:tc>
        <w:tcPr>
          <w:tcW w:w="1559" w:type="dxa"/>
          <w:vMerge/>
          <w:vAlign w:val="center"/>
        </w:tcPr>
        <w:p w14:paraId="018B5362" w14:textId="77777777" w:rsidR="00625A21" w:rsidRPr="00437961" w:rsidRDefault="00625A21" w:rsidP="00C249D6">
          <w:pPr>
            <w:pStyle w:val="Encabezado"/>
            <w:jc w:val="center"/>
            <w:rPr>
              <w:rFonts w:ascii="Arial Narrow" w:hAnsi="Arial Narrow"/>
              <w:noProof/>
              <w:sz w:val="20"/>
              <w:szCs w:val="20"/>
              <w:lang w:val="es-ES"/>
            </w:rPr>
          </w:pPr>
        </w:p>
      </w:tc>
    </w:tr>
    <w:tr w:rsidR="00625A21" w:rsidRPr="00437961" w14:paraId="018B5367" w14:textId="77777777" w:rsidTr="00C42BA1">
      <w:trPr>
        <w:trHeight w:val="366"/>
      </w:trPr>
      <w:tc>
        <w:tcPr>
          <w:tcW w:w="2264" w:type="dxa"/>
          <w:tcBorders>
            <w:top w:val="triple" w:sz="4" w:space="0" w:color="A6A6A6" w:themeColor="background1" w:themeShade="A6"/>
            <w:left w:val="triple" w:sz="4" w:space="0" w:color="A6A6A6" w:themeColor="background1" w:themeShade="A6"/>
            <w:bottom w:val="triple" w:sz="4" w:space="0" w:color="A6A6A6" w:themeColor="background1" w:themeShade="A6"/>
            <w:right w:val="triple" w:sz="4" w:space="0" w:color="A6A6A6" w:themeColor="background1" w:themeShade="A6"/>
          </w:tcBorders>
          <w:vAlign w:val="center"/>
        </w:tcPr>
        <w:p w14:paraId="018B5364" w14:textId="77777777" w:rsidR="00625A21" w:rsidRPr="00437961" w:rsidRDefault="00625A21" w:rsidP="00C249D6">
          <w:pPr>
            <w:pStyle w:val="Piedepgina"/>
            <w:jc w:val="center"/>
            <w:rPr>
              <w:rFonts w:ascii="Arial Narrow" w:hAnsi="Arial Narrow"/>
              <w:sz w:val="20"/>
              <w:szCs w:val="20"/>
            </w:rPr>
          </w:pPr>
          <w:r>
            <w:rPr>
              <w:rFonts w:ascii="Arial Narrow" w:hAnsi="Arial Narrow" w:cs="Arial"/>
              <w:color w:val="818284"/>
              <w:sz w:val="20"/>
              <w:szCs w:val="20"/>
            </w:rPr>
            <w:t>Vigencia: 01/10/2012</w:t>
          </w:r>
        </w:p>
      </w:tc>
      <w:tc>
        <w:tcPr>
          <w:tcW w:w="6804" w:type="dxa"/>
          <w:vMerge/>
          <w:tcBorders>
            <w:left w:val="triple" w:sz="4" w:space="0" w:color="A6A6A6" w:themeColor="background1" w:themeShade="A6"/>
          </w:tcBorders>
          <w:vAlign w:val="center"/>
        </w:tcPr>
        <w:p w14:paraId="018B5365" w14:textId="77777777" w:rsidR="00625A21" w:rsidRPr="00437961" w:rsidRDefault="00625A21" w:rsidP="00C249D6">
          <w:pPr>
            <w:pStyle w:val="Encabezado"/>
            <w:jc w:val="center"/>
            <w:rPr>
              <w:rFonts w:ascii="Arial Narrow" w:hAnsi="Arial Narrow"/>
              <w:sz w:val="20"/>
              <w:szCs w:val="20"/>
            </w:rPr>
          </w:pPr>
        </w:p>
      </w:tc>
      <w:tc>
        <w:tcPr>
          <w:tcW w:w="1559" w:type="dxa"/>
          <w:vMerge/>
          <w:vAlign w:val="center"/>
        </w:tcPr>
        <w:p w14:paraId="018B5366" w14:textId="77777777" w:rsidR="00625A21" w:rsidRPr="00437961" w:rsidRDefault="00625A21" w:rsidP="00C249D6">
          <w:pPr>
            <w:pStyle w:val="Encabezado"/>
            <w:jc w:val="center"/>
            <w:rPr>
              <w:rFonts w:ascii="Arial Narrow" w:hAnsi="Arial Narrow"/>
              <w:sz w:val="20"/>
              <w:szCs w:val="20"/>
            </w:rPr>
          </w:pPr>
        </w:p>
      </w:tc>
    </w:tr>
  </w:tbl>
  <w:p w14:paraId="018B5368" w14:textId="77777777" w:rsidR="00625A21" w:rsidRPr="00C42BA1" w:rsidRDefault="00625A21">
    <w:pPr>
      <w:pStyle w:val="Encabezad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C2E9E"/>
    <w:multiLevelType w:val="singleLevel"/>
    <w:tmpl w:val="65F22EE9"/>
    <w:lvl w:ilvl="0">
      <w:start w:val="1"/>
      <w:numFmt w:val="lowerLetter"/>
      <w:lvlText w:val="%1)"/>
      <w:lvlJc w:val="left"/>
      <w:pPr>
        <w:tabs>
          <w:tab w:val="num" w:pos="360"/>
        </w:tabs>
        <w:ind w:left="1008" w:hanging="360"/>
      </w:pPr>
      <w:rPr>
        <w:rFonts w:cs="Times New Roman"/>
        <w:snapToGrid/>
        <w:spacing w:val="-6"/>
        <w:sz w:val="25"/>
        <w:szCs w:val="25"/>
      </w:rPr>
    </w:lvl>
  </w:abstractNum>
  <w:abstractNum w:abstractNumId="1">
    <w:nsid w:val="03557AE0"/>
    <w:multiLevelType w:val="hybridMultilevel"/>
    <w:tmpl w:val="D1263632"/>
    <w:lvl w:ilvl="0" w:tplc="E8D6DA22">
      <w:start w:val="1"/>
      <w:numFmt w:val="lowerLetter"/>
      <w:lvlText w:val="%1)"/>
      <w:lvlJc w:val="left"/>
      <w:pPr>
        <w:ind w:left="1428" w:hanging="360"/>
      </w:pPr>
      <w:rPr>
        <w:b w:val="0"/>
      </w:rPr>
    </w:lvl>
    <w:lvl w:ilvl="1" w:tplc="9DAEA670">
      <w:numFmt w:val="bullet"/>
      <w:lvlText w:val=""/>
      <w:lvlJc w:val="left"/>
      <w:pPr>
        <w:ind w:left="2148" w:hanging="360"/>
      </w:pPr>
      <w:rPr>
        <w:rFonts w:ascii="Symbol" w:eastAsia="Times New Roman" w:hAnsi="Symbol" w:cstheme="minorHAnsi" w:hint="default"/>
      </w:r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
    <w:nsid w:val="04556992"/>
    <w:multiLevelType w:val="hybridMultilevel"/>
    <w:tmpl w:val="35FA3B28"/>
    <w:lvl w:ilvl="0" w:tplc="0C0A0013">
      <w:start w:val="1"/>
      <w:numFmt w:val="upperRoman"/>
      <w:lvlText w:val="%1."/>
      <w:lvlJc w:val="right"/>
      <w:pPr>
        <w:ind w:left="502" w:hanging="360"/>
      </w:pPr>
      <w:rPr>
        <w:rFonts w:hint="default"/>
        <w:b w:val="0"/>
        <w:sz w:val="24"/>
        <w:szCs w:val="24"/>
      </w:rPr>
    </w:lvl>
    <w:lvl w:ilvl="1" w:tplc="440A0019" w:tentative="1">
      <w:start w:val="1"/>
      <w:numFmt w:val="lowerLetter"/>
      <w:lvlText w:val="%2."/>
      <w:lvlJc w:val="left"/>
      <w:pPr>
        <w:ind w:left="1440" w:hanging="360"/>
      </w:pPr>
      <w:rPr>
        <w:rFonts w:cs="Times New Roman"/>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3">
    <w:nsid w:val="0532F725"/>
    <w:multiLevelType w:val="singleLevel"/>
    <w:tmpl w:val="6D11B880"/>
    <w:lvl w:ilvl="0">
      <w:start w:val="1"/>
      <w:numFmt w:val="lowerLetter"/>
      <w:lvlText w:val="%1)"/>
      <w:lvlJc w:val="left"/>
      <w:pPr>
        <w:tabs>
          <w:tab w:val="num" w:pos="429"/>
        </w:tabs>
      </w:pPr>
      <w:rPr>
        <w:rFonts w:ascii="Arial" w:hAnsi="Arial" w:cs="Arial"/>
        <w:i/>
        <w:iCs/>
        <w:snapToGrid/>
        <w:color w:val="102B3F"/>
        <w:spacing w:val="1"/>
        <w:sz w:val="22"/>
        <w:szCs w:val="22"/>
      </w:rPr>
    </w:lvl>
  </w:abstractNum>
  <w:abstractNum w:abstractNumId="4">
    <w:nsid w:val="1971489D"/>
    <w:multiLevelType w:val="hybridMultilevel"/>
    <w:tmpl w:val="E3AE1398"/>
    <w:lvl w:ilvl="0" w:tplc="0C0A0017">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5B715AC"/>
    <w:multiLevelType w:val="hybridMultilevel"/>
    <w:tmpl w:val="3A1CB364"/>
    <w:lvl w:ilvl="0" w:tplc="A66AD2BA">
      <w:start w:val="1"/>
      <w:numFmt w:val="bullet"/>
      <w:lvlText w:val=""/>
      <w:lvlJc w:val="left"/>
      <w:pPr>
        <w:tabs>
          <w:tab w:val="num" w:pos="720"/>
        </w:tabs>
        <w:ind w:left="720" w:hanging="360"/>
      </w:pPr>
      <w:rPr>
        <w:rFonts w:ascii="Wingdings" w:hAnsi="Wingdings" w:hint="default"/>
      </w:rPr>
    </w:lvl>
    <w:lvl w:ilvl="1" w:tplc="B980FCC8">
      <w:start w:val="1"/>
      <w:numFmt w:val="bullet"/>
      <w:lvlText w:val=""/>
      <w:lvlJc w:val="left"/>
      <w:pPr>
        <w:tabs>
          <w:tab w:val="num" w:pos="2771"/>
        </w:tabs>
        <w:ind w:left="2771" w:hanging="360"/>
      </w:pPr>
      <w:rPr>
        <w:rFonts w:ascii="Wingdings" w:hAnsi="Wingdings" w:hint="default"/>
      </w:rPr>
    </w:lvl>
    <w:lvl w:ilvl="2" w:tplc="1B9ED2FA">
      <w:start w:val="498"/>
      <w:numFmt w:val="bullet"/>
      <w:lvlText w:val=""/>
      <w:lvlJc w:val="left"/>
      <w:pPr>
        <w:tabs>
          <w:tab w:val="num" w:pos="2160"/>
        </w:tabs>
        <w:ind w:left="2160" w:hanging="360"/>
      </w:pPr>
      <w:rPr>
        <w:rFonts w:ascii="Wingdings 2" w:hAnsi="Wingdings 2" w:hint="default"/>
      </w:rPr>
    </w:lvl>
    <w:lvl w:ilvl="3" w:tplc="4CAE1CA2" w:tentative="1">
      <w:start w:val="1"/>
      <w:numFmt w:val="bullet"/>
      <w:lvlText w:val=""/>
      <w:lvlJc w:val="left"/>
      <w:pPr>
        <w:tabs>
          <w:tab w:val="num" w:pos="2880"/>
        </w:tabs>
        <w:ind w:left="2880" w:hanging="360"/>
      </w:pPr>
      <w:rPr>
        <w:rFonts w:ascii="Wingdings" w:hAnsi="Wingdings" w:hint="default"/>
      </w:rPr>
    </w:lvl>
    <w:lvl w:ilvl="4" w:tplc="E1EE01EE" w:tentative="1">
      <w:start w:val="1"/>
      <w:numFmt w:val="bullet"/>
      <w:lvlText w:val=""/>
      <w:lvlJc w:val="left"/>
      <w:pPr>
        <w:tabs>
          <w:tab w:val="num" w:pos="3600"/>
        </w:tabs>
        <w:ind w:left="3600" w:hanging="360"/>
      </w:pPr>
      <w:rPr>
        <w:rFonts w:ascii="Wingdings" w:hAnsi="Wingdings" w:hint="default"/>
      </w:rPr>
    </w:lvl>
    <w:lvl w:ilvl="5" w:tplc="411A126E" w:tentative="1">
      <w:start w:val="1"/>
      <w:numFmt w:val="bullet"/>
      <w:lvlText w:val=""/>
      <w:lvlJc w:val="left"/>
      <w:pPr>
        <w:tabs>
          <w:tab w:val="num" w:pos="4320"/>
        </w:tabs>
        <w:ind w:left="4320" w:hanging="360"/>
      </w:pPr>
      <w:rPr>
        <w:rFonts w:ascii="Wingdings" w:hAnsi="Wingdings" w:hint="default"/>
      </w:rPr>
    </w:lvl>
    <w:lvl w:ilvl="6" w:tplc="72EAD55E" w:tentative="1">
      <w:start w:val="1"/>
      <w:numFmt w:val="bullet"/>
      <w:lvlText w:val=""/>
      <w:lvlJc w:val="left"/>
      <w:pPr>
        <w:tabs>
          <w:tab w:val="num" w:pos="5040"/>
        </w:tabs>
        <w:ind w:left="5040" w:hanging="360"/>
      </w:pPr>
      <w:rPr>
        <w:rFonts w:ascii="Wingdings" w:hAnsi="Wingdings" w:hint="default"/>
      </w:rPr>
    </w:lvl>
    <w:lvl w:ilvl="7" w:tplc="2B90ABBA" w:tentative="1">
      <w:start w:val="1"/>
      <w:numFmt w:val="bullet"/>
      <w:lvlText w:val=""/>
      <w:lvlJc w:val="left"/>
      <w:pPr>
        <w:tabs>
          <w:tab w:val="num" w:pos="5760"/>
        </w:tabs>
        <w:ind w:left="5760" w:hanging="360"/>
      </w:pPr>
      <w:rPr>
        <w:rFonts w:ascii="Wingdings" w:hAnsi="Wingdings" w:hint="default"/>
      </w:rPr>
    </w:lvl>
    <w:lvl w:ilvl="8" w:tplc="89589B0E" w:tentative="1">
      <w:start w:val="1"/>
      <w:numFmt w:val="bullet"/>
      <w:lvlText w:val=""/>
      <w:lvlJc w:val="left"/>
      <w:pPr>
        <w:tabs>
          <w:tab w:val="num" w:pos="6480"/>
        </w:tabs>
        <w:ind w:left="6480" w:hanging="360"/>
      </w:pPr>
      <w:rPr>
        <w:rFonts w:ascii="Wingdings" w:hAnsi="Wingdings" w:hint="default"/>
      </w:rPr>
    </w:lvl>
  </w:abstractNum>
  <w:abstractNum w:abstractNumId="6">
    <w:nsid w:val="2E0F404A"/>
    <w:multiLevelType w:val="hybridMultilevel"/>
    <w:tmpl w:val="41A008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0B01946"/>
    <w:multiLevelType w:val="hybridMultilevel"/>
    <w:tmpl w:val="8294E1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4A72252"/>
    <w:multiLevelType w:val="hybridMultilevel"/>
    <w:tmpl w:val="56264390"/>
    <w:lvl w:ilvl="0" w:tplc="FE861A1E">
      <w:start w:val="1"/>
      <w:numFmt w:val="lowerLetter"/>
      <w:lvlText w:val="%1)"/>
      <w:lvlJc w:val="left"/>
      <w:pPr>
        <w:tabs>
          <w:tab w:val="num" w:pos="1854"/>
        </w:tabs>
        <w:ind w:left="1854" w:hanging="360"/>
      </w:pPr>
      <w:rPr>
        <w:rFonts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9">
    <w:nsid w:val="375D22F0"/>
    <w:multiLevelType w:val="hybridMultilevel"/>
    <w:tmpl w:val="69E6335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54950E0"/>
    <w:multiLevelType w:val="hybridMultilevel"/>
    <w:tmpl w:val="F1CCDBD6"/>
    <w:lvl w:ilvl="0" w:tplc="0C0A0011">
      <w:start w:val="1"/>
      <w:numFmt w:val="decimal"/>
      <w:lvlText w:val="%1)"/>
      <w:lvlJc w:val="left"/>
      <w:pPr>
        <w:ind w:left="135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0732296"/>
    <w:multiLevelType w:val="hybridMultilevel"/>
    <w:tmpl w:val="35FA3B28"/>
    <w:lvl w:ilvl="0" w:tplc="0C0A0013">
      <w:start w:val="1"/>
      <w:numFmt w:val="upperRoman"/>
      <w:lvlText w:val="%1."/>
      <w:lvlJc w:val="right"/>
      <w:pPr>
        <w:ind w:left="502" w:hanging="360"/>
      </w:pPr>
      <w:rPr>
        <w:rFonts w:hint="default"/>
        <w:b w:val="0"/>
        <w:sz w:val="24"/>
        <w:szCs w:val="24"/>
      </w:rPr>
    </w:lvl>
    <w:lvl w:ilvl="1" w:tplc="440A0019" w:tentative="1">
      <w:start w:val="1"/>
      <w:numFmt w:val="lowerLetter"/>
      <w:lvlText w:val="%2."/>
      <w:lvlJc w:val="left"/>
      <w:pPr>
        <w:ind w:left="1440" w:hanging="360"/>
      </w:pPr>
      <w:rPr>
        <w:rFonts w:cs="Times New Roman"/>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abstractNum w:abstractNumId="12">
    <w:nsid w:val="5194742E"/>
    <w:multiLevelType w:val="hybridMultilevel"/>
    <w:tmpl w:val="74A67ED0"/>
    <w:lvl w:ilvl="0" w:tplc="8CD8E54E">
      <w:start w:val="1"/>
      <w:numFmt w:val="lowerLetter"/>
      <w:lvlText w:val="%1)"/>
      <w:lvlJc w:val="left"/>
      <w:pPr>
        <w:ind w:left="720" w:hanging="360"/>
      </w:pPr>
      <w:rPr>
        <w:rFonts w:hint="default"/>
        <w:sz w:val="24"/>
        <w:szCs w:val="2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593C09EF"/>
    <w:multiLevelType w:val="hybridMultilevel"/>
    <w:tmpl w:val="69FC89C2"/>
    <w:lvl w:ilvl="0" w:tplc="BA0E1B94">
      <w:start w:val="1"/>
      <w:numFmt w:val="lowerLetter"/>
      <w:lvlText w:val="%1)"/>
      <w:lvlJc w:val="left"/>
      <w:pPr>
        <w:ind w:left="720" w:hanging="360"/>
      </w:pPr>
      <w:rPr>
        <w:rFonts w:hint="default"/>
        <w:b w:val="0"/>
        <w:lang w:val="en-U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583223B"/>
    <w:multiLevelType w:val="hybridMultilevel"/>
    <w:tmpl w:val="EA903E58"/>
    <w:lvl w:ilvl="0" w:tplc="080A0017">
      <w:start w:val="1"/>
      <w:numFmt w:val="lowerLetter"/>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5">
    <w:nsid w:val="6D6E6987"/>
    <w:multiLevelType w:val="hybridMultilevel"/>
    <w:tmpl w:val="5B0C3D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06638FB"/>
    <w:multiLevelType w:val="hybridMultilevel"/>
    <w:tmpl w:val="6AD86E28"/>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nsid w:val="71B16A8B"/>
    <w:multiLevelType w:val="hybridMultilevel"/>
    <w:tmpl w:val="4F7CE10A"/>
    <w:lvl w:ilvl="0" w:tplc="FE861A1E">
      <w:start w:val="1"/>
      <w:numFmt w:val="lowerLetter"/>
      <w:lvlText w:val="%1)"/>
      <w:lvlJc w:val="left"/>
      <w:pPr>
        <w:tabs>
          <w:tab w:val="num" w:pos="1353"/>
        </w:tabs>
        <w:ind w:left="1353" w:hanging="360"/>
      </w:pPr>
      <w:rPr>
        <w:rFonts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8">
    <w:nsid w:val="7244654B"/>
    <w:multiLevelType w:val="hybridMultilevel"/>
    <w:tmpl w:val="D1263632"/>
    <w:lvl w:ilvl="0" w:tplc="E8D6DA22">
      <w:start w:val="1"/>
      <w:numFmt w:val="lowerLetter"/>
      <w:lvlText w:val="%1)"/>
      <w:lvlJc w:val="left"/>
      <w:pPr>
        <w:ind w:left="1428" w:hanging="360"/>
      </w:pPr>
      <w:rPr>
        <w:b w:val="0"/>
      </w:rPr>
    </w:lvl>
    <w:lvl w:ilvl="1" w:tplc="9DAEA670">
      <w:numFmt w:val="bullet"/>
      <w:lvlText w:val=""/>
      <w:lvlJc w:val="left"/>
      <w:pPr>
        <w:ind w:left="2148" w:hanging="360"/>
      </w:pPr>
      <w:rPr>
        <w:rFonts w:ascii="Symbol" w:eastAsia="Times New Roman" w:hAnsi="Symbol" w:cstheme="minorHAnsi" w:hint="default"/>
      </w:r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19">
    <w:nsid w:val="7B9E2F81"/>
    <w:multiLevelType w:val="hybridMultilevel"/>
    <w:tmpl w:val="3A5AE7A4"/>
    <w:lvl w:ilvl="0" w:tplc="0C0A0011">
      <w:start w:val="1"/>
      <w:numFmt w:val="decimal"/>
      <w:lvlText w:val="%1)"/>
      <w:lvlJc w:val="left"/>
      <w:pPr>
        <w:ind w:left="277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FCC794D"/>
    <w:multiLevelType w:val="hybridMultilevel"/>
    <w:tmpl w:val="EF542D6E"/>
    <w:lvl w:ilvl="0" w:tplc="E4A29FD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8"/>
  </w:num>
  <w:num w:numId="2">
    <w:abstractNumId w:val="11"/>
  </w:num>
  <w:num w:numId="3">
    <w:abstractNumId w:val="12"/>
  </w:num>
  <w:num w:numId="4">
    <w:abstractNumId w:val="16"/>
  </w:num>
  <w:num w:numId="5">
    <w:abstractNumId w:val="17"/>
  </w:num>
  <w:num w:numId="6">
    <w:abstractNumId w:val="18"/>
  </w:num>
  <w:num w:numId="7">
    <w:abstractNumId w:val="15"/>
  </w:num>
  <w:num w:numId="8">
    <w:abstractNumId w:val="13"/>
  </w:num>
  <w:num w:numId="9">
    <w:abstractNumId w:val="10"/>
  </w:num>
  <w:num w:numId="10">
    <w:abstractNumId w:val="1"/>
  </w:num>
  <w:num w:numId="11">
    <w:abstractNumId w:val="7"/>
  </w:num>
  <w:num w:numId="12">
    <w:abstractNumId w:val="6"/>
  </w:num>
  <w:num w:numId="13">
    <w:abstractNumId w:val="9"/>
  </w:num>
  <w:num w:numId="14">
    <w:abstractNumId w:val="14"/>
  </w:num>
  <w:num w:numId="15">
    <w:abstractNumId w:val="0"/>
  </w:num>
  <w:num w:numId="16">
    <w:abstractNumId w:val="3"/>
  </w:num>
  <w:num w:numId="17">
    <w:abstractNumId w:val="4"/>
  </w:num>
  <w:num w:numId="18">
    <w:abstractNumId w:val="5"/>
  </w:num>
  <w:num w:numId="19">
    <w:abstractNumId w:val="19"/>
  </w:num>
  <w:num w:numId="20">
    <w:abstractNumId w:val="2"/>
  </w:num>
  <w:num w:numId="21">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CF6"/>
    <w:rsid w:val="000022F7"/>
    <w:rsid w:val="000078F4"/>
    <w:rsid w:val="000105D0"/>
    <w:rsid w:val="00016C5A"/>
    <w:rsid w:val="00021AAA"/>
    <w:rsid w:val="000238DA"/>
    <w:rsid w:val="000249B2"/>
    <w:rsid w:val="000249FA"/>
    <w:rsid w:val="0002688A"/>
    <w:rsid w:val="00026AFC"/>
    <w:rsid w:val="00027A3B"/>
    <w:rsid w:val="0003135F"/>
    <w:rsid w:val="00031435"/>
    <w:rsid w:val="00032462"/>
    <w:rsid w:val="00034AC4"/>
    <w:rsid w:val="00037176"/>
    <w:rsid w:val="00042DB5"/>
    <w:rsid w:val="00046D6E"/>
    <w:rsid w:val="00050C77"/>
    <w:rsid w:val="0005181D"/>
    <w:rsid w:val="00054409"/>
    <w:rsid w:val="00055F3C"/>
    <w:rsid w:val="000619C1"/>
    <w:rsid w:val="00061D2D"/>
    <w:rsid w:val="00063EA0"/>
    <w:rsid w:val="0007145D"/>
    <w:rsid w:val="000750D8"/>
    <w:rsid w:val="00081E84"/>
    <w:rsid w:val="0009029A"/>
    <w:rsid w:val="00091F6F"/>
    <w:rsid w:val="000940DE"/>
    <w:rsid w:val="000A149E"/>
    <w:rsid w:val="000A4218"/>
    <w:rsid w:val="000A5255"/>
    <w:rsid w:val="000A5329"/>
    <w:rsid w:val="000B2778"/>
    <w:rsid w:val="000C0A98"/>
    <w:rsid w:val="000C197C"/>
    <w:rsid w:val="000C60C2"/>
    <w:rsid w:val="000E11F7"/>
    <w:rsid w:val="000E2184"/>
    <w:rsid w:val="000E45E1"/>
    <w:rsid w:val="000E4EB0"/>
    <w:rsid w:val="000E503E"/>
    <w:rsid w:val="000E5A24"/>
    <w:rsid w:val="000F176A"/>
    <w:rsid w:val="000F1D56"/>
    <w:rsid w:val="000F3A3A"/>
    <w:rsid w:val="000F4E67"/>
    <w:rsid w:val="000F504C"/>
    <w:rsid w:val="00100EBC"/>
    <w:rsid w:val="00102770"/>
    <w:rsid w:val="00107668"/>
    <w:rsid w:val="00111A5D"/>
    <w:rsid w:val="001157EF"/>
    <w:rsid w:val="00116207"/>
    <w:rsid w:val="001247BF"/>
    <w:rsid w:val="00133E86"/>
    <w:rsid w:val="001342D8"/>
    <w:rsid w:val="00141949"/>
    <w:rsid w:val="00150BA7"/>
    <w:rsid w:val="00154F5B"/>
    <w:rsid w:val="00155A1B"/>
    <w:rsid w:val="001568F3"/>
    <w:rsid w:val="00164546"/>
    <w:rsid w:val="001703DE"/>
    <w:rsid w:val="00173E20"/>
    <w:rsid w:val="00180034"/>
    <w:rsid w:val="00180FA9"/>
    <w:rsid w:val="001815B4"/>
    <w:rsid w:val="001843E9"/>
    <w:rsid w:val="00186D79"/>
    <w:rsid w:val="001871ED"/>
    <w:rsid w:val="001A7FBB"/>
    <w:rsid w:val="001B3AD1"/>
    <w:rsid w:val="001B494E"/>
    <w:rsid w:val="001B7424"/>
    <w:rsid w:val="001C049E"/>
    <w:rsid w:val="001D7551"/>
    <w:rsid w:val="001E3FD0"/>
    <w:rsid w:val="001E5C1B"/>
    <w:rsid w:val="001E60E3"/>
    <w:rsid w:val="001E7491"/>
    <w:rsid w:val="001F0A82"/>
    <w:rsid w:val="001F1B07"/>
    <w:rsid w:val="001F25F1"/>
    <w:rsid w:val="001F393F"/>
    <w:rsid w:val="001F40F9"/>
    <w:rsid w:val="001F5595"/>
    <w:rsid w:val="00202E20"/>
    <w:rsid w:val="00204D71"/>
    <w:rsid w:val="00205F62"/>
    <w:rsid w:val="00210D84"/>
    <w:rsid w:val="00213A33"/>
    <w:rsid w:val="00220EDF"/>
    <w:rsid w:val="00226079"/>
    <w:rsid w:val="0023139E"/>
    <w:rsid w:val="0023357E"/>
    <w:rsid w:val="002337DE"/>
    <w:rsid w:val="002349FF"/>
    <w:rsid w:val="002431F4"/>
    <w:rsid w:val="0025011B"/>
    <w:rsid w:val="00251E37"/>
    <w:rsid w:val="00252243"/>
    <w:rsid w:val="00254DE3"/>
    <w:rsid w:val="002552A7"/>
    <w:rsid w:val="00255728"/>
    <w:rsid w:val="0026368F"/>
    <w:rsid w:val="00270F44"/>
    <w:rsid w:val="00270F52"/>
    <w:rsid w:val="00275FC9"/>
    <w:rsid w:val="002776F1"/>
    <w:rsid w:val="002808BA"/>
    <w:rsid w:val="0028167C"/>
    <w:rsid w:val="00284FF3"/>
    <w:rsid w:val="00290565"/>
    <w:rsid w:val="002909C7"/>
    <w:rsid w:val="00297DEF"/>
    <w:rsid w:val="002A1A11"/>
    <w:rsid w:val="002A41F3"/>
    <w:rsid w:val="002B167B"/>
    <w:rsid w:val="002B2C5C"/>
    <w:rsid w:val="002B4781"/>
    <w:rsid w:val="002B7770"/>
    <w:rsid w:val="002C21CA"/>
    <w:rsid w:val="002C2A6E"/>
    <w:rsid w:val="002C37D4"/>
    <w:rsid w:val="002C54C3"/>
    <w:rsid w:val="002D0F64"/>
    <w:rsid w:val="002D1426"/>
    <w:rsid w:val="002D476D"/>
    <w:rsid w:val="002D6AFD"/>
    <w:rsid w:val="002E1EC5"/>
    <w:rsid w:val="002F2D81"/>
    <w:rsid w:val="002F662B"/>
    <w:rsid w:val="00302DD1"/>
    <w:rsid w:val="00313009"/>
    <w:rsid w:val="00321965"/>
    <w:rsid w:val="00323029"/>
    <w:rsid w:val="003260E0"/>
    <w:rsid w:val="00330BC9"/>
    <w:rsid w:val="0033410E"/>
    <w:rsid w:val="0033432C"/>
    <w:rsid w:val="00334719"/>
    <w:rsid w:val="00337FF3"/>
    <w:rsid w:val="00340985"/>
    <w:rsid w:val="00352964"/>
    <w:rsid w:val="00353068"/>
    <w:rsid w:val="00356653"/>
    <w:rsid w:val="0035786A"/>
    <w:rsid w:val="00362F83"/>
    <w:rsid w:val="00363662"/>
    <w:rsid w:val="0036530D"/>
    <w:rsid w:val="00373B97"/>
    <w:rsid w:val="003769FE"/>
    <w:rsid w:val="00392828"/>
    <w:rsid w:val="00393507"/>
    <w:rsid w:val="003979B7"/>
    <w:rsid w:val="003A21FE"/>
    <w:rsid w:val="003B3D54"/>
    <w:rsid w:val="003B563C"/>
    <w:rsid w:val="003B57F1"/>
    <w:rsid w:val="003C18DA"/>
    <w:rsid w:val="003C4C6E"/>
    <w:rsid w:val="003D706E"/>
    <w:rsid w:val="003E55F1"/>
    <w:rsid w:val="003F191A"/>
    <w:rsid w:val="004016DF"/>
    <w:rsid w:val="00401A3D"/>
    <w:rsid w:val="004076A6"/>
    <w:rsid w:val="00410CE6"/>
    <w:rsid w:val="00411EB3"/>
    <w:rsid w:val="004137BD"/>
    <w:rsid w:val="004211DB"/>
    <w:rsid w:val="00424CA5"/>
    <w:rsid w:val="00431863"/>
    <w:rsid w:val="00431F34"/>
    <w:rsid w:val="00432C36"/>
    <w:rsid w:val="004407FD"/>
    <w:rsid w:val="00444C3A"/>
    <w:rsid w:val="00445084"/>
    <w:rsid w:val="00445854"/>
    <w:rsid w:val="00445C07"/>
    <w:rsid w:val="00446860"/>
    <w:rsid w:val="0044744D"/>
    <w:rsid w:val="0045089A"/>
    <w:rsid w:val="004530D4"/>
    <w:rsid w:val="004534FA"/>
    <w:rsid w:val="00462276"/>
    <w:rsid w:val="00463E95"/>
    <w:rsid w:val="0046790A"/>
    <w:rsid w:val="00472353"/>
    <w:rsid w:val="00472C79"/>
    <w:rsid w:val="0049522E"/>
    <w:rsid w:val="004A06FE"/>
    <w:rsid w:val="004A1BEE"/>
    <w:rsid w:val="004A4395"/>
    <w:rsid w:val="004A612F"/>
    <w:rsid w:val="004B0A9A"/>
    <w:rsid w:val="004B0ADE"/>
    <w:rsid w:val="004B3B3F"/>
    <w:rsid w:val="004B5C21"/>
    <w:rsid w:val="004B75B9"/>
    <w:rsid w:val="004C1E90"/>
    <w:rsid w:val="004C267F"/>
    <w:rsid w:val="004C60A2"/>
    <w:rsid w:val="004D4CD6"/>
    <w:rsid w:val="004E3858"/>
    <w:rsid w:val="004E5F2F"/>
    <w:rsid w:val="004E6273"/>
    <w:rsid w:val="004F3EA2"/>
    <w:rsid w:val="004F5FBE"/>
    <w:rsid w:val="005007D0"/>
    <w:rsid w:val="00507D8C"/>
    <w:rsid w:val="005103F9"/>
    <w:rsid w:val="00513456"/>
    <w:rsid w:val="0052621C"/>
    <w:rsid w:val="00545DA8"/>
    <w:rsid w:val="00552044"/>
    <w:rsid w:val="0056394A"/>
    <w:rsid w:val="00573200"/>
    <w:rsid w:val="00573599"/>
    <w:rsid w:val="00576A5E"/>
    <w:rsid w:val="00577FB3"/>
    <w:rsid w:val="00580440"/>
    <w:rsid w:val="00581661"/>
    <w:rsid w:val="0059063F"/>
    <w:rsid w:val="0059665D"/>
    <w:rsid w:val="005A2C67"/>
    <w:rsid w:val="005A2FE1"/>
    <w:rsid w:val="005A4EB5"/>
    <w:rsid w:val="005A62C1"/>
    <w:rsid w:val="005B02EF"/>
    <w:rsid w:val="005B0862"/>
    <w:rsid w:val="005C1657"/>
    <w:rsid w:val="005C33EE"/>
    <w:rsid w:val="005C6367"/>
    <w:rsid w:val="005D17BA"/>
    <w:rsid w:val="005D285D"/>
    <w:rsid w:val="005D5F00"/>
    <w:rsid w:val="005D70DC"/>
    <w:rsid w:val="005E10A8"/>
    <w:rsid w:val="005E37C6"/>
    <w:rsid w:val="005E7CE7"/>
    <w:rsid w:val="005F2BCA"/>
    <w:rsid w:val="005F4E69"/>
    <w:rsid w:val="005F4F04"/>
    <w:rsid w:val="005F5320"/>
    <w:rsid w:val="00601D53"/>
    <w:rsid w:val="00606AA7"/>
    <w:rsid w:val="006078D2"/>
    <w:rsid w:val="0061149F"/>
    <w:rsid w:val="00612A48"/>
    <w:rsid w:val="00614099"/>
    <w:rsid w:val="00620393"/>
    <w:rsid w:val="00623C62"/>
    <w:rsid w:val="006257DA"/>
    <w:rsid w:val="00625A21"/>
    <w:rsid w:val="00626128"/>
    <w:rsid w:val="00630F64"/>
    <w:rsid w:val="006318D0"/>
    <w:rsid w:val="00631A75"/>
    <w:rsid w:val="006323BA"/>
    <w:rsid w:val="00636B3E"/>
    <w:rsid w:val="006430CE"/>
    <w:rsid w:val="006479F3"/>
    <w:rsid w:val="0065432D"/>
    <w:rsid w:val="00660A65"/>
    <w:rsid w:val="006617FA"/>
    <w:rsid w:val="00665883"/>
    <w:rsid w:val="00674B47"/>
    <w:rsid w:val="00687B84"/>
    <w:rsid w:val="006B7354"/>
    <w:rsid w:val="006C01D4"/>
    <w:rsid w:val="006C2CF5"/>
    <w:rsid w:val="006C3730"/>
    <w:rsid w:val="006C3CBC"/>
    <w:rsid w:val="006C7F2E"/>
    <w:rsid w:val="006D1876"/>
    <w:rsid w:val="006D4411"/>
    <w:rsid w:val="006D5653"/>
    <w:rsid w:val="006D61AD"/>
    <w:rsid w:val="006F0A5D"/>
    <w:rsid w:val="006F1FDE"/>
    <w:rsid w:val="006F475A"/>
    <w:rsid w:val="006F5CD4"/>
    <w:rsid w:val="007013F7"/>
    <w:rsid w:val="007052A3"/>
    <w:rsid w:val="0070621E"/>
    <w:rsid w:val="00706FFE"/>
    <w:rsid w:val="007103CD"/>
    <w:rsid w:val="00712121"/>
    <w:rsid w:val="007136EB"/>
    <w:rsid w:val="007141A7"/>
    <w:rsid w:val="00714C99"/>
    <w:rsid w:val="0071651D"/>
    <w:rsid w:val="00720415"/>
    <w:rsid w:val="00723444"/>
    <w:rsid w:val="00723E7A"/>
    <w:rsid w:val="00724ABA"/>
    <w:rsid w:val="007252ED"/>
    <w:rsid w:val="007418F6"/>
    <w:rsid w:val="007433B9"/>
    <w:rsid w:val="007473D2"/>
    <w:rsid w:val="00753864"/>
    <w:rsid w:val="00757E73"/>
    <w:rsid w:val="00764293"/>
    <w:rsid w:val="00765366"/>
    <w:rsid w:val="00766658"/>
    <w:rsid w:val="007770DA"/>
    <w:rsid w:val="0078087E"/>
    <w:rsid w:val="007827E9"/>
    <w:rsid w:val="00782A3C"/>
    <w:rsid w:val="0079192A"/>
    <w:rsid w:val="00796C15"/>
    <w:rsid w:val="007970BF"/>
    <w:rsid w:val="007A0B85"/>
    <w:rsid w:val="007A5132"/>
    <w:rsid w:val="007A5C5C"/>
    <w:rsid w:val="007A7588"/>
    <w:rsid w:val="007A7936"/>
    <w:rsid w:val="007B2719"/>
    <w:rsid w:val="007D385A"/>
    <w:rsid w:val="007E6025"/>
    <w:rsid w:val="007E6928"/>
    <w:rsid w:val="007F0362"/>
    <w:rsid w:val="007F62BF"/>
    <w:rsid w:val="007F7817"/>
    <w:rsid w:val="00800FD4"/>
    <w:rsid w:val="008010D9"/>
    <w:rsid w:val="00802677"/>
    <w:rsid w:val="00803BEE"/>
    <w:rsid w:val="00805995"/>
    <w:rsid w:val="00806474"/>
    <w:rsid w:val="00806D49"/>
    <w:rsid w:val="0081157F"/>
    <w:rsid w:val="00813F00"/>
    <w:rsid w:val="00816133"/>
    <w:rsid w:val="0083063C"/>
    <w:rsid w:val="00833770"/>
    <w:rsid w:val="00835C02"/>
    <w:rsid w:val="00837AB5"/>
    <w:rsid w:val="00841797"/>
    <w:rsid w:val="008422FE"/>
    <w:rsid w:val="00843A93"/>
    <w:rsid w:val="0085060F"/>
    <w:rsid w:val="00855B27"/>
    <w:rsid w:val="008560EA"/>
    <w:rsid w:val="00860793"/>
    <w:rsid w:val="00860CA3"/>
    <w:rsid w:val="0086112F"/>
    <w:rsid w:val="00863EAE"/>
    <w:rsid w:val="00871E9E"/>
    <w:rsid w:val="00873B9C"/>
    <w:rsid w:val="00875CBA"/>
    <w:rsid w:val="00876CAB"/>
    <w:rsid w:val="00876FF5"/>
    <w:rsid w:val="00880F68"/>
    <w:rsid w:val="00892962"/>
    <w:rsid w:val="008A0E29"/>
    <w:rsid w:val="008A3B41"/>
    <w:rsid w:val="008A5BF7"/>
    <w:rsid w:val="008A645E"/>
    <w:rsid w:val="008B18D8"/>
    <w:rsid w:val="008B210F"/>
    <w:rsid w:val="008B487C"/>
    <w:rsid w:val="008B4EAB"/>
    <w:rsid w:val="008C1CA9"/>
    <w:rsid w:val="008C368D"/>
    <w:rsid w:val="008D160B"/>
    <w:rsid w:val="008D3078"/>
    <w:rsid w:val="008D4C78"/>
    <w:rsid w:val="008D5701"/>
    <w:rsid w:val="008D66E5"/>
    <w:rsid w:val="008D6AD0"/>
    <w:rsid w:val="008D7599"/>
    <w:rsid w:val="008E177A"/>
    <w:rsid w:val="008E3B02"/>
    <w:rsid w:val="008E773D"/>
    <w:rsid w:val="008F2F59"/>
    <w:rsid w:val="008F4F39"/>
    <w:rsid w:val="00901A15"/>
    <w:rsid w:val="00902F48"/>
    <w:rsid w:val="009041C8"/>
    <w:rsid w:val="00907B09"/>
    <w:rsid w:val="009109F9"/>
    <w:rsid w:val="00916DDB"/>
    <w:rsid w:val="00916DEF"/>
    <w:rsid w:val="0092222C"/>
    <w:rsid w:val="00930588"/>
    <w:rsid w:val="00936515"/>
    <w:rsid w:val="009373E5"/>
    <w:rsid w:val="00940C64"/>
    <w:rsid w:val="009419FC"/>
    <w:rsid w:val="009474B9"/>
    <w:rsid w:val="009503D2"/>
    <w:rsid w:val="00962BF0"/>
    <w:rsid w:val="00963034"/>
    <w:rsid w:val="009676AD"/>
    <w:rsid w:val="009729EC"/>
    <w:rsid w:val="00975769"/>
    <w:rsid w:val="00977041"/>
    <w:rsid w:val="009805DC"/>
    <w:rsid w:val="00983389"/>
    <w:rsid w:val="009835F4"/>
    <w:rsid w:val="009A2308"/>
    <w:rsid w:val="009A7B34"/>
    <w:rsid w:val="009B01A6"/>
    <w:rsid w:val="009B1BB2"/>
    <w:rsid w:val="009B2A6E"/>
    <w:rsid w:val="009B43E8"/>
    <w:rsid w:val="009C231B"/>
    <w:rsid w:val="009C39D2"/>
    <w:rsid w:val="009C7031"/>
    <w:rsid w:val="009D0A72"/>
    <w:rsid w:val="009D6B33"/>
    <w:rsid w:val="009D7374"/>
    <w:rsid w:val="009E12A7"/>
    <w:rsid w:val="009F2071"/>
    <w:rsid w:val="009F2916"/>
    <w:rsid w:val="009F5FD0"/>
    <w:rsid w:val="009F600E"/>
    <w:rsid w:val="009F6D63"/>
    <w:rsid w:val="009F7435"/>
    <w:rsid w:val="009F7739"/>
    <w:rsid w:val="00A02F5A"/>
    <w:rsid w:val="00A12004"/>
    <w:rsid w:val="00A174A0"/>
    <w:rsid w:val="00A21435"/>
    <w:rsid w:val="00A250C6"/>
    <w:rsid w:val="00A260B1"/>
    <w:rsid w:val="00A31A94"/>
    <w:rsid w:val="00A31ABD"/>
    <w:rsid w:val="00A439A5"/>
    <w:rsid w:val="00A44535"/>
    <w:rsid w:val="00A517B9"/>
    <w:rsid w:val="00A5311F"/>
    <w:rsid w:val="00A533C4"/>
    <w:rsid w:val="00A55B5F"/>
    <w:rsid w:val="00A5605D"/>
    <w:rsid w:val="00A56FFC"/>
    <w:rsid w:val="00A6722C"/>
    <w:rsid w:val="00A71974"/>
    <w:rsid w:val="00A71B18"/>
    <w:rsid w:val="00A73580"/>
    <w:rsid w:val="00A741F9"/>
    <w:rsid w:val="00A814FC"/>
    <w:rsid w:val="00A90B8E"/>
    <w:rsid w:val="00A931C7"/>
    <w:rsid w:val="00A97878"/>
    <w:rsid w:val="00AA09D7"/>
    <w:rsid w:val="00AB0A80"/>
    <w:rsid w:val="00AB46E1"/>
    <w:rsid w:val="00AC45E2"/>
    <w:rsid w:val="00AD2B19"/>
    <w:rsid w:val="00AD2EFC"/>
    <w:rsid w:val="00AD6AC3"/>
    <w:rsid w:val="00AD6CA5"/>
    <w:rsid w:val="00AD79D8"/>
    <w:rsid w:val="00AE14CE"/>
    <w:rsid w:val="00AF2513"/>
    <w:rsid w:val="00AF3841"/>
    <w:rsid w:val="00AF3AE0"/>
    <w:rsid w:val="00AF5A6E"/>
    <w:rsid w:val="00B018AC"/>
    <w:rsid w:val="00B02CF6"/>
    <w:rsid w:val="00B05694"/>
    <w:rsid w:val="00B26419"/>
    <w:rsid w:val="00B26912"/>
    <w:rsid w:val="00B30D4A"/>
    <w:rsid w:val="00B314FE"/>
    <w:rsid w:val="00B31F39"/>
    <w:rsid w:val="00B3208F"/>
    <w:rsid w:val="00B323CA"/>
    <w:rsid w:val="00B328CF"/>
    <w:rsid w:val="00B337A4"/>
    <w:rsid w:val="00B35A4F"/>
    <w:rsid w:val="00B36BFC"/>
    <w:rsid w:val="00B40B28"/>
    <w:rsid w:val="00B433FC"/>
    <w:rsid w:val="00B44DAB"/>
    <w:rsid w:val="00B4711C"/>
    <w:rsid w:val="00B619AD"/>
    <w:rsid w:val="00B6286D"/>
    <w:rsid w:val="00B732E0"/>
    <w:rsid w:val="00B80DAB"/>
    <w:rsid w:val="00B85FB9"/>
    <w:rsid w:val="00B86F42"/>
    <w:rsid w:val="00B90536"/>
    <w:rsid w:val="00B93884"/>
    <w:rsid w:val="00B94F7D"/>
    <w:rsid w:val="00B96A31"/>
    <w:rsid w:val="00BA18A8"/>
    <w:rsid w:val="00BA1E35"/>
    <w:rsid w:val="00BB30E4"/>
    <w:rsid w:val="00BB3798"/>
    <w:rsid w:val="00BB3EA5"/>
    <w:rsid w:val="00BB7A11"/>
    <w:rsid w:val="00BC5455"/>
    <w:rsid w:val="00BC6B22"/>
    <w:rsid w:val="00BE0A8B"/>
    <w:rsid w:val="00BE703C"/>
    <w:rsid w:val="00BF09D9"/>
    <w:rsid w:val="00BF2C8B"/>
    <w:rsid w:val="00BF55E0"/>
    <w:rsid w:val="00C05FA5"/>
    <w:rsid w:val="00C079C1"/>
    <w:rsid w:val="00C249D6"/>
    <w:rsid w:val="00C2512B"/>
    <w:rsid w:val="00C25AE6"/>
    <w:rsid w:val="00C27800"/>
    <w:rsid w:val="00C30387"/>
    <w:rsid w:val="00C316ED"/>
    <w:rsid w:val="00C34051"/>
    <w:rsid w:val="00C36027"/>
    <w:rsid w:val="00C373BB"/>
    <w:rsid w:val="00C425DB"/>
    <w:rsid w:val="00C42BA1"/>
    <w:rsid w:val="00C42C67"/>
    <w:rsid w:val="00C43F2C"/>
    <w:rsid w:val="00C44345"/>
    <w:rsid w:val="00C44E21"/>
    <w:rsid w:val="00C47793"/>
    <w:rsid w:val="00C52D8F"/>
    <w:rsid w:val="00C55EF3"/>
    <w:rsid w:val="00C5645E"/>
    <w:rsid w:val="00C6088E"/>
    <w:rsid w:val="00C62395"/>
    <w:rsid w:val="00C62BAC"/>
    <w:rsid w:val="00C62D66"/>
    <w:rsid w:val="00C74928"/>
    <w:rsid w:val="00C749E7"/>
    <w:rsid w:val="00C75CC5"/>
    <w:rsid w:val="00C815C0"/>
    <w:rsid w:val="00C82885"/>
    <w:rsid w:val="00C84A8A"/>
    <w:rsid w:val="00C963B1"/>
    <w:rsid w:val="00C97CFD"/>
    <w:rsid w:val="00CA0757"/>
    <w:rsid w:val="00CA0C2A"/>
    <w:rsid w:val="00CA0CB0"/>
    <w:rsid w:val="00CA2CBC"/>
    <w:rsid w:val="00CC0FCC"/>
    <w:rsid w:val="00CC200B"/>
    <w:rsid w:val="00CC415E"/>
    <w:rsid w:val="00CC4E8D"/>
    <w:rsid w:val="00CD5179"/>
    <w:rsid w:val="00CD5A96"/>
    <w:rsid w:val="00CD6A43"/>
    <w:rsid w:val="00CE1E9A"/>
    <w:rsid w:val="00CE2E14"/>
    <w:rsid w:val="00CE4982"/>
    <w:rsid w:val="00CF41D4"/>
    <w:rsid w:val="00CF4DE1"/>
    <w:rsid w:val="00D00C34"/>
    <w:rsid w:val="00D034A9"/>
    <w:rsid w:val="00D10350"/>
    <w:rsid w:val="00D145A6"/>
    <w:rsid w:val="00D148A1"/>
    <w:rsid w:val="00D217F7"/>
    <w:rsid w:val="00D22877"/>
    <w:rsid w:val="00D23869"/>
    <w:rsid w:val="00D23998"/>
    <w:rsid w:val="00D3268A"/>
    <w:rsid w:val="00D4235E"/>
    <w:rsid w:val="00D4608C"/>
    <w:rsid w:val="00D46C31"/>
    <w:rsid w:val="00D502EA"/>
    <w:rsid w:val="00D50E39"/>
    <w:rsid w:val="00D5579B"/>
    <w:rsid w:val="00D5687A"/>
    <w:rsid w:val="00D611F5"/>
    <w:rsid w:val="00D61F2F"/>
    <w:rsid w:val="00D62CFD"/>
    <w:rsid w:val="00D66CF4"/>
    <w:rsid w:val="00D70C00"/>
    <w:rsid w:val="00D7162F"/>
    <w:rsid w:val="00D74E5E"/>
    <w:rsid w:val="00D80F4E"/>
    <w:rsid w:val="00D903A0"/>
    <w:rsid w:val="00D90C4E"/>
    <w:rsid w:val="00D91862"/>
    <w:rsid w:val="00D935E8"/>
    <w:rsid w:val="00D96BE5"/>
    <w:rsid w:val="00D97D2C"/>
    <w:rsid w:val="00DA3672"/>
    <w:rsid w:val="00DA3E32"/>
    <w:rsid w:val="00DA6088"/>
    <w:rsid w:val="00DA6FA8"/>
    <w:rsid w:val="00DA70AE"/>
    <w:rsid w:val="00DB1E7E"/>
    <w:rsid w:val="00DB2B0D"/>
    <w:rsid w:val="00DB51F9"/>
    <w:rsid w:val="00DD0D4B"/>
    <w:rsid w:val="00DD1EB8"/>
    <w:rsid w:val="00DD211F"/>
    <w:rsid w:val="00DD2B1A"/>
    <w:rsid w:val="00DD376B"/>
    <w:rsid w:val="00DE7CA4"/>
    <w:rsid w:val="00DE7EC0"/>
    <w:rsid w:val="00E1569A"/>
    <w:rsid w:val="00E20738"/>
    <w:rsid w:val="00E210B0"/>
    <w:rsid w:val="00E27322"/>
    <w:rsid w:val="00E273FE"/>
    <w:rsid w:val="00E31D71"/>
    <w:rsid w:val="00E416B2"/>
    <w:rsid w:val="00E45190"/>
    <w:rsid w:val="00E53C53"/>
    <w:rsid w:val="00E540F6"/>
    <w:rsid w:val="00E54BF8"/>
    <w:rsid w:val="00E561C6"/>
    <w:rsid w:val="00E562B9"/>
    <w:rsid w:val="00E61D0A"/>
    <w:rsid w:val="00E62FDE"/>
    <w:rsid w:val="00E7017B"/>
    <w:rsid w:val="00E7157D"/>
    <w:rsid w:val="00E80090"/>
    <w:rsid w:val="00E83043"/>
    <w:rsid w:val="00E86795"/>
    <w:rsid w:val="00E91101"/>
    <w:rsid w:val="00EA1B92"/>
    <w:rsid w:val="00EA2FE6"/>
    <w:rsid w:val="00EC2901"/>
    <w:rsid w:val="00EE1A16"/>
    <w:rsid w:val="00EE2D84"/>
    <w:rsid w:val="00EE337D"/>
    <w:rsid w:val="00EE37E5"/>
    <w:rsid w:val="00EE3E56"/>
    <w:rsid w:val="00EE6D8A"/>
    <w:rsid w:val="00EF0BEF"/>
    <w:rsid w:val="00F0117A"/>
    <w:rsid w:val="00F02C62"/>
    <w:rsid w:val="00F066E1"/>
    <w:rsid w:val="00F078A7"/>
    <w:rsid w:val="00F07C94"/>
    <w:rsid w:val="00F11CE9"/>
    <w:rsid w:val="00F160D7"/>
    <w:rsid w:val="00F24751"/>
    <w:rsid w:val="00F25894"/>
    <w:rsid w:val="00F271D3"/>
    <w:rsid w:val="00F27251"/>
    <w:rsid w:val="00F30D62"/>
    <w:rsid w:val="00F32C45"/>
    <w:rsid w:val="00F348D7"/>
    <w:rsid w:val="00F37BBF"/>
    <w:rsid w:val="00F402D8"/>
    <w:rsid w:val="00F425B6"/>
    <w:rsid w:val="00F43442"/>
    <w:rsid w:val="00F43603"/>
    <w:rsid w:val="00F55985"/>
    <w:rsid w:val="00F562F0"/>
    <w:rsid w:val="00F56389"/>
    <w:rsid w:val="00F564BF"/>
    <w:rsid w:val="00F56B9D"/>
    <w:rsid w:val="00F56F92"/>
    <w:rsid w:val="00F641C9"/>
    <w:rsid w:val="00F678E5"/>
    <w:rsid w:val="00F70A8B"/>
    <w:rsid w:val="00F71EBE"/>
    <w:rsid w:val="00F819B3"/>
    <w:rsid w:val="00F81CAB"/>
    <w:rsid w:val="00F831B7"/>
    <w:rsid w:val="00F92112"/>
    <w:rsid w:val="00F93DD0"/>
    <w:rsid w:val="00FA14E1"/>
    <w:rsid w:val="00FA1D08"/>
    <w:rsid w:val="00FA20D7"/>
    <w:rsid w:val="00FA70E7"/>
    <w:rsid w:val="00FB3253"/>
    <w:rsid w:val="00FB36AE"/>
    <w:rsid w:val="00FC038F"/>
    <w:rsid w:val="00FC0911"/>
    <w:rsid w:val="00FC4EC5"/>
    <w:rsid w:val="00FD326A"/>
    <w:rsid w:val="00FD3C08"/>
    <w:rsid w:val="00FE1832"/>
    <w:rsid w:val="00FE1E79"/>
    <w:rsid w:val="00FE5AB8"/>
    <w:rsid w:val="00FF0176"/>
    <w:rsid w:val="00FF1BD9"/>
    <w:rsid w:val="00FF54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18B524D"/>
  <w15:docId w15:val="{2971A122-9FC0-4C19-AA8D-BD8AB4EE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D4B"/>
    <w:rPr>
      <w:sz w:val="24"/>
      <w:szCs w:val="24"/>
      <w:lang w:val="es-SV"/>
    </w:rPr>
  </w:style>
  <w:style w:type="paragraph" w:styleId="Ttulo1">
    <w:name w:val="heading 1"/>
    <w:basedOn w:val="Normal"/>
    <w:next w:val="Normal"/>
    <w:link w:val="Ttulo1Car"/>
    <w:qFormat/>
    <w:rsid w:val="00111A5D"/>
    <w:pPr>
      <w:keepNext/>
      <w:jc w:val="both"/>
      <w:outlineLvl w:val="0"/>
    </w:pPr>
    <w:rPr>
      <w:b/>
      <w:szCs w:val="20"/>
      <w:lang w:val="es-GT"/>
    </w:rPr>
  </w:style>
  <w:style w:type="paragraph" w:styleId="Ttulo2">
    <w:name w:val="heading 2"/>
    <w:basedOn w:val="Normal"/>
    <w:next w:val="Normal"/>
    <w:link w:val="Ttulo2Car"/>
    <w:qFormat/>
    <w:rsid w:val="00111A5D"/>
    <w:pPr>
      <w:keepNext/>
      <w:jc w:val="center"/>
      <w:outlineLvl w:val="1"/>
    </w:pPr>
    <w:rPr>
      <w:rFonts w:ascii="Arial" w:hAnsi="Arial"/>
      <w:b/>
      <w:szCs w:val="20"/>
      <w:lang w:val="es-GT"/>
    </w:rPr>
  </w:style>
  <w:style w:type="paragraph" w:styleId="Ttulo3">
    <w:name w:val="heading 3"/>
    <w:basedOn w:val="Normal"/>
    <w:next w:val="Normal"/>
    <w:link w:val="Ttulo3Car"/>
    <w:qFormat/>
    <w:rsid w:val="00111A5D"/>
    <w:pPr>
      <w:keepNext/>
      <w:ind w:firstLine="708"/>
      <w:jc w:val="both"/>
      <w:outlineLvl w:val="2"/>
    </w:pPr>
    <w:rPr>
      <w:rFonts w:ascii="Arial" w:hAnsi="Arial"/>
      <w:b/>
      <w:szCs w:val="20"/>
      <w:lang w:val="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02CF6"/>
    <w:pPr>
      <w:tabs>
        <w:tab w:val="center" w:pos="4252"/>
        <w:tab w:val="right" w:pos="8504"/>
      </w:tabs>
    </w:pPr>
  </w:style>
  <w:style w:type="character" w:customStyle="1" w:styleId="EncabezadoCar">
    <w:name w:val="Encabezado Car"/>
    <w:basedOn w:val="Fuentedeprrafopredeter"/>
    <w:link w:val="Encabezado"/>
    <w:rsid w:val="00B02CF6"/>
    <w:rPr>
      <w:sz w:val="24"/>
      <w:szCs w:val="24"/>
      <w:lang w:val="es-SV"/>
    </w:rPr>
  </w:style>
  <w:style w:type="paragraph" w:styleId="Piedepgina">
    <w:name w:val="footer"/>
    <w:basedOn w:val="Normal"/>
    <w:link w:val="PiedepginaCar"/>
    <w:rsid w:val="00B02CF6"/>
    <w:pPr>
      <w:tabs>
        <w:tab w:val="center" w:pos="4252"/>
        <w:tab w:val="right" w:pos="8504"/>
      </w:tabs>
    </w:pPr>
  </w:style>
  <w:style w:type="character" w:customStyle="1" w:styleId="PiedepginaCar">
    <w:name w:val="Pie de página Car"/>
    <w:basedOn w:val="Fuentedeprrafopredeter"/>
    <w:link w:val="Piedepgina"/>
    <w:rsid w:val="00B02CF6"/>
    <w:rPr>
      <w:sz w:val="24"/>
      <w:szCs w:val="24"/>
      <w:lang w:val="es-SV"/>
    </w:rPr>
  </w:style>
  <w:style w:type="paragraph" w:styleId="Textodeglobo">
    <w:name w:val="Balloon Text"/>
    <w:basedOn w:val="Normal"/>
    <w:link w:val="TextodegloboCar"/>
    <w:rsid w:val="00B02CF6"/>
    <w:rPr>
      <w:rFonts w:ascii="Tahoma" w:hAnsi="Tahoma" w:cs="Tahoma"/>
      <w:sz w:val="16"/>
      <w:szCs w:val="16"/>
    </w:rPr>
  </w:style>
  <w:style w:type="character" w:customStyle="1" w:styleId="TextodegloboCar">
    <w:name w:val="Texto de globo Car"/>
    <w:basedOn w:val="Fuentedeprrafopredeter"/>
    <w:link w:val="Textodeglobo"/>
    <w:rsid w:val="00B02CF6"/>
    <w:rPr>
      <w:rFonts w:ascii="Tahoma" w:hAnsi="Tahoma" w:cs="Tahoma"/>
      <w:sz w:val="16"/>
      <w:szCs w:val="16"/>
      <w:lang w:val="es-SV"/>
    </w:rPr>
  </w:style>
  <w:style w:type="paragraph" w:styleId="Textoindependiente">
    <w:name w:val="Body Text"/>
    <w:basedOn w:val="Normal"/>
    <w:link w:val="TextoindependienteCar"/>
    <w:rsid w:val="001157EF"/>
    <w:pPr>
      <w:jc w:val="both"/>
    </w:pPr>
    <w:rPr>
      <w:szCs w:val="20"/>
      <w:lang w:val="es-GT"/>
    </w:rPr>
  </w:style>
  <w:style w:type="character" w:customStyle="1" w:styleId="TextoindependienteCar">
    <w:name w:val="Texto independiente Car"/>
    <w:basedOn w:val="Fuentedeprrafopredeter"/>
    <w:link w:val="Textoindependiente"/>
    <w:rsid w:val="001157EF"/>
    <w:rPr>
      <w:sz w:val="24"/>
      <w:lang w:val="es-GT"/>
    </w:rPr>
  </w:style>
  <w:style w:type="paragraph" w:styleId="Prrafodelista">
    <w:name w:val="List Paragraph"/>
    <w:basedOn w:val="Normal"/>
    <w:uiPriority w:val="34"/>
    <w:qFormat/>
    <w:rsid w:val="001157EF"/>
    <w:pPr>
      <w:ind w:left="708"/>
    </w:pPr>
    <w:rPr>
      <w:rFonts w:ascii="Arial" w:hAnsi="Arial"/>
      <w:szCs w:val="20"/>
      <w:lang w:val="es-ES_tradnl"/>
    </w:rPr>
  </w:style>
  <w:style w:type="character" w:customStyle="1" w:styleId="Ttulo1Car">
    <w:name w:val="Título 1 Car"/>
    <w:basedOn w:val="Fuentedeprrafopredeter"/>
    <w:link w:val="Ttulo1"/>
    <w:rsid w:val="00111A5D"/>
    <w:rPr>
      <w:b/>
      <w:sz w:val="24"/>
      <w:lang w:val="es-GT"/>
    </w:rPr>
  </w:style>
  <w:style w:type="character" w:customStyle="1" w:styleId="Ttulo2Car">
    <w:name w:val="Título 2 Car"/>
    <w:basedOn w:val="Fuentedeprrafopredeter"/>
    <w:link w:val="Ttulo2"/>
    <w:rsid w:val="00111A5D"/>
    <w:rPr>
      <w:rFonts w:ascii="Arial" w:hAnsi="Arial"/>
      <w:b/>
      <w:sz w:val="24"/>
      <w:lang w:val="es-GT"/>
    </w:rPr>
  </w:style>
  <w:style w:type="character" w:customStyle="1" w:styleId="Ttulo3Car">
    <w:name w:val="Título 3 Car"/>
    <w:basedOn w:val="Fuentedeprrafopredeter"/>
    <w:link w:val="Ttulo3"/>
    <w:rsid w:val="00111A5D"/>
    <w:rPr>
      <w:rFonts w:ascii="Arial" w:hAnsi="Arial"/>
      <w:b/>
      <w:sz w:val="24"/>
      <w:lang w:val="es-GT"/>
    </w:rPr>
  </w:style>
  <w:style w:type="paragraph" w:styleId="Textoindependiente2">
    <w:name w:val="Body Text 2"/>
    <w:basedOn w:val="Normal"/>
    <w:link w:val="Textoindependiente2Car"/>
    <w:rsid w:val="00AD6CA5"/>
    <w:pPr>
      <w:spacing w:after="120" w:line="480" w:lineRule="auto"/>
    </w:pPr>
  </w:style>
  <w:style w:type="character" w:customStyle="1" w:styleId="Textoindependiente2Car">
    <w:name w:val="Texto independiente 2 Car"/>
    <w:basedOn w:val="Fuentedeprrafopredeter"/>
    <w:link w:val="Textoindependiente2"/>
    <w:rsid w:val="00AD6CA5"/>
    <w:rPr>
      <w:sz w:val="24"/>
      <w:szCs w:val="24"/>
      <w:lang w:val="es-SV"/>
    </w:rPr>
  </w:style>
  <w:style w:type="table" w:styleId="Tablaconcuadrcula">
    <w:name w:val="Table Grid"/>
    <w:basedOn w:val="Tablanormal"/>
    <w:uiPriority w:val="99"/>
    <w:rsid w:val="00C42C6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rsid w:val="00507D8C"/>
    <w:rPr>
      <w:sz w:val="20"/>
      <w:szCs w:val="20"/>
      <w:lang w:val="es-ES"/>
    </w:rPr>
  </w:style>
  <w:style w:type="character" w:customStyle="1" w:styleId="TextonotapieCar">
    <w:name w:val="Texto nota pie Car"/>
    <w:basedOn w:val="Fuentedeprrafopredeter"/>
    <w:link w:val="Textonotapie"/>
    <w:rsid w:val="00507D8C"/>
  </w:style>
  <w:style w:type="character" w:styleId="Refdenotaalpie">
    <w:name w:val="footnote reference"/>
    <w:basedOn w:val="Fuentedeprrafopredeter"/>
    <w:rsid w:val="00507D8C"/>
    <w:rPr>
      <w:vertAlign w:val="superscript"/>
    </w:rPr>
  </w:style>
  <w:style w:type="paragraph" w:styleId="NormalWeb">
    <w:name w:val="Normal (Web)"/>
    <w:basedOn w:val="Normal"/>
    <w:uiPriority w:val="99"/>
    <w:rsid w:val="00507D8C"/>
    <w:pPr>
      <w:spacing w:before="100" w:beforeAutospacing="1" w:after="100" w:afterAutospacing="1"/>
    </w:pPr>
    <w:rPr>
      <w:lang w:val="es-ES"/>
    </w:rPr>
  </w:style>
  <w:style w:type="paragraph" w:customStyle="1" w:styleId="CUERPOTEXTO">
    <w:name w:val="CUERPO TEXTO"/>
    <w:basedOn w:val="Normal"/>
    <w:rsid w:val="00507D8C"/>
    <w:pPr>
      <w:tabs>
        <w:tab w:val="center" w:pos="510"/>
        <w:tab w:val="left" w:pos="1134"/>
      </w:tabs>
      <w:spacing w:before="28" w:after="28" w:line="210" w:lineRule="atLeast"/>
      <w:ind w:firstLine="283"/>
      <w:jc w:val="both"/>
    </w:pPr>
    <w:rPr>
      <w:rFonts w:ascii="Times" w:hAnsi="Times"/>
      <w:color w:val="000000"/>
      <w:sz w:val="19"/>
      <w:szCs w:val="20"/>
      <w:lang w:val="es-ES_tradnl"/>
    </w:rPr>
  </w:style>
  <w:style w:type="paragraph" w:styleId="Sinespaciado">
    <w:name w:val="No Spacing"/>
    <w:uiPriority w:val="1"/>
    <w:qFormat/>
    <w:rsid w:val="00507D8C"/>
    <w:rPr>
      <w:rFonts w:ascii="Calibri" w:hAnsi="Calibri"/>
      <w:sz w:val="22"/>
      <w:szCs w:val="22"/>
      <w:vertAlign w:val="superscript"/>
      <w:lang w:val="es-SV" w:eastAsia="en-US"/>
    </w:rPr>
  </w:style>
  <w:style w:type="paragraph" w:customStyle="1" w:styleId="Default">
    <w:name w:val="Default"/>
    <w:uiPriority w:val="99"/>
    <w:rsid w:val="008560EA"/>
    <w:pPr>
      <w:autoSpaceDE w:val="0"/>
      <w:autoSpaceDN w:val="0"/>
      <w:adjustRightInd w:val="0"/>
    </w:pPr>
    <w:rPr>
      <w:rFonts w:ascii="Arial Narrow" w:hAnsi="Arial Narrow" w:cs="Arial Narrow"/>
      <w:color w:val="000000"/>
      <w:sz w:val="24"/>
      <w:szCs w:val="24"/>
      <w:lang w:val="es-SV" w:eastAsia="es-SV"/>
    </w:rPr>
  </w:style>
  <w:style w:type="paragraph" w:styleId="Textocomentario">
    <w:name w:val="annotation text"/>
    <w:basedOn w:val="Normal"/>
    <w:link w:val="TextocomentarioCar"/>
    <w:uiPriority w:val="99"/>
    <w:unhideWhenUsed/>
    <w:rsid w:val="008560EA"/>
    <w:rPr>
      <w:sz w:val="20"/>
      <w:szCs w:val="20"/>
      <w:lang w:val="es-ES"/>
    </w:rPr>
  </w:style>
  <w:style w:type="character" w:customStyle="1" w:styleId="TextocomentarioCar">
    <w:name w:val="Texto comentario Car"/>
    <w:basedOn w:val="Fuentedeprrafopredeter"/>
    <w:link w:val="Textocomentario"/>
    <w:uiPriority w:val="99"/>
    <w:rsid w:val="008560EA"/>
  </w:style>
  <w:style w:type="character" w:styleId="Refdecomentario">
    <w:name w:val="annotation reference"/>
    <w:basedOn w:val="Fuentedeprrafopredeter"/>
    <w:rsid w:val="004E3858"/>
    <w:rPr>
      <w:sz w:val="16"/>
      <w:szCs w:val="16"/>
    </w:rPr>
  </w:style>
  <w:style w:type="paragraph" w:styleId="Asuntodelcomentario">
    <w:name w:val="annotation subject"/>
    <w:basedOn w:val="Textocomentario"/>
    <w:next w:val="Textocomentario"/>
    <w:link w:val="AsuntodelcomentarioCar"/>
    <w:rsid w:val="004E3858"/>
    <w:rPr>
      <w:b/>
      <w:bCs/>
      <w:lang w:val="es-SV"/>
    </w:rPr>
  </w:style>
  <w:style w:type="character" w:customStyle="1" w:styleId="AsuntodelcomentarioCar">
    <w:name w:val="Asunto del comentario Car"/>
    <w:basedOn w:val="TextocomentarioCar"/>
    <w:link w:val="Asuntodelcomentario"/>
    <w:rsid w:val="004E3858"/>
    <w:rPr>
      <w:b/>
      <w:bCs/>
      <w:lang w:val="es-SV"/>
    </w:rPr>
  </w:style>
  <w:style w:type="character" w:customStyle="1" w:styleId="CharacterStyle2">
    <w:name w:val="Character Style 2"/>
    <w:uiPriority w:val="99"/>
    <w:rsid w:val="00A533C4"/>
    <w:rPr>
      <w:rFonts w:ascii="Verdana" w:hAnsi="Verdana"/>
      <w:sz w:val="15"/>
    </w:rPr>
  </w:style>
  <w:style w:type="paragraph" w:customStyle="1" w:styleId="Style1">
    <w:name w:val="Style 1"/>
    <w:basedOn w:val="Normal"/>
    <w:uiPriority w:val="99"/>
    <w:rsid w:val="001F25F1"/>
    <w:pPr>
      <w:widowControl w:val="0"/>
      <w:autoSpaceDE w:val="0"/>
      <w:autoSpaceDN w:val="0"/>
      <w:adjustRightInd w:val="0"/>
    </w:pPr>
    <w:rPr>
      <w:rFonts w:ascii="Verdana" w:hAnsi="Verdana" w:cs="Verdana"/>
      <w:color w:val="000000"/>
      <w:sz w:val="15"/>
      <w:szCs w:val="15"/>
      <w:lang w:val="en-US"/>
    </w:rPr>
  </w:style>
  <w:style w:type="character" w:customStyle="1" w:styleId="CharacterStyle7">
    <w:name w:val="Character Style 7"/>
    <w:uiPriority w:val="99"/>
    <w:rsid w:val="00054409"/>
    <w:rPr>
      <w:rFonts w:ascii="Arial" w:hAnsi="Arial"/>
      <w:sz w:val="22"/>
    </w:rPr>
  </w:style>
  <w:style w:type="paragraph" w:customStyle="1" w:styleId="Style2">
    <w:name w:val="Style 2"/>
    <w:basedOn w:val="Normal"/>
    <w:uiPriority w:val="99"/>
    <w:rsid w:val="001F1B07"/>
    <w:pPr>
      <w:widowControl w:val="0"/>
      <w:autoSpaceDE w:val="0"/>
      <w:autoSpaceDN w:val="0"/>
      <w:adjustRightInd w:val="0"/>
    </w:pPr>
    <w:rPr>
      <w:sz w:val="20"/>
      <w:szCs w:val="20"/>
      <w:lang w:val="en-US"/>
    </w:rPr>
  </w:style>
  <w:style w:type="paragraph" w:customStyle="1" w:styleId="Style3">
    <w:name w:val="Style 3"/>
    <w:basedOn w:val="Normal"/>
    <w:uiPriority w:val="99"/>
    <w:rsid w:val="001F1B07"/>
    <w:pPr>
      <w:widowControl w:val="0"/>
      <w:autoSpaceDE w:val="0"/>
      <w:autoSpaceDN w:val="0"/>
      <w:adjustRightInd w:val="0"/>
    </w:pPr>
    <w:rPr>
      <w:sz w:val="20"/>
      <w:szCs w:val="20"/>
      <w:lang w:val="en-US"/>
    </w:rPr>
  </w:style>
  <w:style w:type="character" w:customStyle="1" w:styleId="CharacterStyle6">
    <w:name w:val="Character Style 6"/>
    <w:uiPriority w:val="99"/>
    <w:rsid w:val="001F1B07"/>
    <w:rPr>
      <w:rFonts w:ascii="Bookman Old Style" w:hAnsi="Bookman Old Style"/>
      <w:sz w:val="25"/>
    </w:rPr>
  </w:style>
  <w:style w:type="paragraph" w:customStyle="1" w:styleId="Style6">
    <w:name w:val="Style 6"/>
    <w:basedOn w:val="Normal"/>
    <w:uiPriority w:val="99"/>
    <w:rsid w:val="001F1B07"/>
    <w:pPr>
      <w:widowControl w:val="0"/>
      <w:autoSpaceDE w:val="0"/>
      <w:autoSpaceDN w:val="0"/>
      <w:ind w:left="72"/>
    </w:pPr>
    <w:rPr>
      <w:rFonts w:ascii="Arial" w:hAnsi="Arial" w:cs="Arial"/>
      <w:sz w:val="22"/>
      <w:szCs w:val="22"/>
      <w:lang w:val="en-US"/>
    </w:rPr>
  </w:style>
  <w:style w:type="paragraph" w:styleId="Textosinformato">
    <w:name w:val="Plain Text"/>
    <w:basedOn w:val="Normal"/>
    <w:link w:val="TextosinformatoCar"/>
    <w:uiPriority w:val="99"/>
    <w:rsid w:val="001F1B07"/>
    <w:rPr>
      <w:rFonts w:ascii="Consolas" w:hAnsi="Consolas"/>
      <w:sz w:val="21"/>
      <w:szCs w:val="21"/>
      <w:lang w:eastAsia="en-US"/>
    </w:rPr>
  </w:style>
  <w:style w:type="character" w:customStyle="1" w:styleId="TextosinformatoCar">
    <w:name w:val="Texto sin formato Car"/>
    <w:basedOn w:val="Fuentedeprrafopredeter"/>
    <w:link w:val="Textosinformato"/>
    <w:uiPriority w:val="99"/>
    <w:rsid w:val="001F1B07"/>
    <w:rPr>
      <w:rFonts w:ascii="Consolas" w:hAnsi="Consolas"/>
      <w:sz w:val="21"/>
      <w:szCs w:val="21"/>
      <w:lang w:val="es-SV" w:eastAsia="en-US"/>
    </w:rPr>
  </w:style>
  <w:style w:type="character" w:styleId="Hipervnculo">
    <w:name w:val="Hyperlink"/>
    <w:basedOn w:val="Fuentedeprrafopredeter"/>
    <w:uiPriority w:val="99"/>
    <w:unhideWhenUsed/>
    <w:rsid w:val="007136EB"/>
    <w:rPr>
      <w:color w:val="0000FF"/>
      <w:u w:val="single"/>
    </w:rPr>
  </w:style>
  <w:style w:type="table" w:customStyle="1" w:styleId="Tablaconcuadrcula1">
    <w:name w:val="Tabla con cuadrícula1"/>
    <w:basedOn w:val="Tablanormal"/>
    <w:uiPriority w:val="59"/>
    <w:rsid w:val="00BB3EA5"/>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0AcapiteIN">
    <w:name w:val="0. Acapite IN"/>
    <w:basedOn w:val="Descripcin"/>
    <w:link w:val="0AcapiteINCar"/>
    <w:qFormat/>
    <w:rsid w:val="00BB3EA5"/>
    <w:pPr>
      <w:widowControl w:val="0"/>
      <w:spacing w:after="0"/>
      <w:jc w:val="center"/>
    </w:pPr>
    <w:rPr>
      <w:rFonts w:ascii="Arial Narrow" w:eastAsiaTheme="majorEastAsia" w:hAnsi="Arial Narrow"/>
      <w:b/>
      <w:i w:val="0"/>
      <w:iCs w:val="0"/>
      <w:noProof/>
      <w:snapToGrid w:val="0"/>
      <w:color w:val="auto"/>
      <w:sz w:val="24"/>
      <w:szCs w:val="20"/>
      <w:lang w:val="es-ES"/>
    </w:rPr>
  </w:style>
  <w:style w:type="character" w:customStyle="1" w:styleId="0AcapiteINCar">
    <w:name w:val="0. Acapite IN Car"/>
    <w:basedOn w:val="Fuentedeprrafopredeter"/>
    <w:link w:val="0AcapiteIN"/>
    <w:rsid w:val="00BB3EA5"/>
    <w:rPr>
      <w:rFonts w:ascii="Arial Narrow" w:eastAsiaTheme="majorEastAsia" w:hAnsi="Arial Narrow"/>
      <w:b/>
      <w:noProof/>
      <w:snapToGrid w:val="0"/>
      <w:sz w:val="24"/>
    </w:rPr>
  </w:style>
  <w:style w:type="paragraph" w:styleId="Descripcin">
    <w:name w:val="caption"/>
    <w:basedOn w:val="Normal"/>
    <w:next w:val="Normal"/>
    <w:semiHidden/>
    <w:unhideWhenUsed/>
    <w:qFormat/>
    <w:rsid w:val="00BB3EA5"/>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652637">
      <w:bodyDiv w:val="1"/>
      <w:marLeft w:val="0"/>
      <w:marRight w:val="0"/>
      <w:marTop w:val="0"/>
      <w:marBottom w:val="0"/>
      <w:divBdr>
        <w:top w:val="none" w:sz="0" w:space="0" w:color="auto"/>
        <w:left w:val="none" w:sz="0" w:space="0" w:color="auto"/>
        <w:bottom w:val="none" w:sz="0" w:space="0" w:color="auto"/>
        <w:right w:val="none" w:sz="0" w:space="0" w:color="auto"/>
      </w:divBdr>
    </w:div>
    <w:div w:id="243950945">
      <w:bodyDiv w:val="1"/>
      <w:marLeft w:val="0"/>
      <w:marRight w:val="0"/>
      <w:marTop w:val="0"/>
      <w:marBottom w:val="0"/>
      <w:divBdr>
        <w:top w:val="none" w:sz="0" w:space="0" w:color="auto"/>
        <w:left w:val="none" w:sz="0" w:space="0" w:color="auto"/>
        <w:bottom w:val="none" w:sz="0" w:space="0" w:color="auto"/>
        <w:right w:val="none" w:sz="0" w:space="0" w:color="auto"/>
      </w:divBdr>
    </w:div>
    <w:div w:id="654187608">
      <w:bodyDiv w:val="1"/>
      <w:marLeft w:val="0"/>
      <w:marRight w:val="0"/>
      <w:marTop w:val="0"/>
      <w:marBottom w:val="0"/>
      <w:divBdr>
        <w:top w:val="none" w:sz="0" w:space="0" w:color="auto"/>
        <w:left w:val="none" w:sz="0" w:space="0" w:color="auto"/>
        <w:bottom w:val="none" w:sz="0" w:space="0" w:color="auto"/>
        <w:right w:val="none" w:sz="0" w:space="0" w:color="auto"/>
      </w:divBdr>
    </w:div>
    <w:div w:id="1177498918">
      <w:bodyDiv w:val="1"/>
      <w:marLeft w:val="0"/>
      <w:marRight w:val="0"/>
      <w:marTop w:val="0"/>
      <w:marBottom w:val="0"/>
      <w:divBdr>
        <w:top w:val="none" w:sz="0" w:space="0" w:color="auto"/>
        <w:left w:val="none" w:sz="0" w:space="0" w:color="auto"/>
        <w:bottom w:val="none" w:sz="0" w:space="0" w:color="auto"/>
        <w:right w:val="none" w:sz="0" w:space="0" w:color="auto"/>
      </w:divBdr>
    </w:div>
    <w:div w:id="1265698265">
      <w:bodyDiv w:val="1"/>
      <w:marLeft w:val="0"/>
      <w:marRight w:val="0"/>
      <w:marTop w:val="0"/>
      <w:marBottom w:val="0"/>
      <w:divBdr>
        <w:top w:val="none" w:sz="0" w:space="0" w:color="auto"/>
        <w:left w:val="none" w:sz="0" w:space="0" w:color="auto"/>
        <w:bottom w:val="none" w:sz="0" w:space="0" w:color="auto"/>
        <w:right w:val="none" w:sz="0" w:space="0" w:color="auto"/>
      </w:divBdr>
    </w:div>
    <w:div w:id="1476143794">
      <w:bodyDiv w:val="1"/>
      <w:marLeft w:val="0"/>
      <w:marRight w:val="0"/>
      <w:marTop w:val="0"/>
      <w:marBottom w:val="0"/>
      <w:divBdr>
        <w:top w:val="none" w:sz="0" w:space="0" w:color="auto"/>
        <w:left w:val="none" w:sz="0" w:space="0" w:color="auto"/>
        <w:bottom w:val="none" w:sz="0" w:space="0" w:color="auto"/>
        <w:right w:val="none" w:sz="0" w:space="0" w:color="auto"/>
      </w:divBdr>
    </w:div>
    <w:div w:id="1646355655">
      <w:bodyDiv w:val="1"/>
      <w:marLeft w:val="0"/>
      <w:marRight w:val="0"/>
      <w:marTop w:val="0"/>
      <w:marBottom w:val="0"/>
      <w:divBdr>
        <w:top w:val="none" w:sz="0" w:space="0" w:color="auto"/>
        <w:left w:val="none" w:sz="0" w:space="0" w:color="auto"/>
        <w:bottom w:val="none" w:sz="0" w:space="0" w:color="auto"/>
        <w:right w:val="none" w:sz="0" w:space="0" w:color="auto"/>
      </w:divBdr>
      <w:divsChild>
        <w:div w:id="68504125">
          <w:marLeft w:val="864"/>
          <w:marRight w:val="0"/>
          <w:marTop w:val="74"/>
          <w:marBottom w:val="0"/>
          <w:divBdr>
            <w:top w:val="none" w:sz="0" w:space="0" w:color="auto"/>
            <w:left w:val="none" w:sz="0" w:space="0" w:color="auto"/>
            <w:bottom w:val="none" w:sz="0" w:space="0" w:color="auto"/>
            <w:right w:val="none" w:sz="0" w:space="0" w:color="auto"/>
          </w:divBdr>
        </w:div>
        <w:div w:id="487326930">
          <w:marLeft w:val="1296"/>
          <w:marRight w:val="0"/>
          <w:marTop w:val="74"/>
          <w:marBottom w:val="0"/>
          <w:divBdr>
            <w:top w:val="none" w:sz="0" w:space="0" w:color="auto"/>
            <w:left w:val="none" w:sz="0" w:space="0" w:color="auto"/>
            <w:bottom w:val="none" w:sz="0" w:space="0" w:color="auto"/>
            <w:right w:val="none" w:sz="0" w:space="0" w:color="auto"/>
          </w:divBdr>
        </w:div>
        <w:div w:id="2097238237">
          <w:marLeft w:val="1296"/>
          <w:marRight w:val="0"/>
          <w:marTop w:val="74"/>
          <w:marBottom w:val="0"/>
          <w:divBdr>
            <w:top w:val="none" w:sz="0" w:space="0" w:color="auto"/>
            <w:left w:val="none" w:sz="0" w:space="0" w:color="auto"/>
            <w:bottom w:val="none" w:sz="0" w:space="0" w:color="auto"/>
            <w:right w:val="none" w:sz="0" w:space="0" w:color="auto"/>
          </w:divBdr>
        </w:div>
        <w:div w:id="1064064766">
          <w:marLeft w:val="864"/>
          <w:marRight w:val="0"/>
          <w:marTop w:val="74"/>
          <w:marBottom w:val="0"/>
          <w:divBdr>
            <w:top w:val="none" w:sz="0" w:space="0" w:color="auto"/>
            <w:left w:val="none" w:sz="0" w:space="0" w:color="auto"/>
            <w:bottom w:val="none" w:sz="0" w:space="0" w:color="auto"/>
            <w:right w:val="none" w:sz="0" w:space="0" w:color="auto"/>
          </w:divBdr>
        </w:div>
      </w:divsChild>
    </w:div>
    <w:div w:id="1814784368">
      <w:bodyDiv w:val="1"/>
      <w:marLeft w:val="0"/>
      <w:marRight w:val="0"/>
      <w:marTop w:val="0"/>
      <w:marBottom w:val="0"/>
      <w:divBdr>
        <w:top w:val="none" w:sz="0" w:space="0" w:color="auto"/>
        <w:left w:val="none" w:sz="0" w:space="0" w:color="auto"/>
        <w:bottom w:val="none" w:sz="0" w:space="0" w:color="auto"/>
        <w:right w:val="none" w:sz="0" w:space="0" w:color="auto"/>
      </w:divBdr>
    </w:div>
    <w:div w:id="1827209321">
      <w:bodyDiv w:val="1"/>
      <w:marLeft w:val="0"/>
      <w:marRight w:val="0"/>
      <w:marTop w:val="0"/>
      <w:marBottom w:val="0"/>
      <w:divBdr>
        <w:top w:val="none" w:sz="0" w:space="0" w:color="auto"/>
        <w:left w:val="none" w:sz="0" w:space="0" w:color="auto"/>
        <w:bottom w:val="none" w:sz="0" w:space="0" w:color="auto"/>
        <w:right w:val="none" w:sz="0" w:space="0" w:color="auto"/>
      </w:divBdr>
    </w:div>
    <w:div w:id="2024698226">
      <w:bodyDiv w:val="1"/>
      <w:marLeft w:val="0"/>
      <w:marRight w:val="0"/>
      <w:marTop w:val="0"/>
      <w:marBottom w:val="0"/>
      <w:divBdr>
        <w:top w:val="none" w:sz="0" w:space="0" w:color="auto"/>
        <w:left w:val="none" w:sz="0" w:space="0" w:color="auto"/>
        <w:bottom w:val="none" w:sz="0" w:space="0" w:color="auto"/>
        <w:right w:val="none" w:sz="0" w:space="0" w:color="auto"/>
      </w:divBdr>
    </w:div>
    <w:div w:id="211250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emf"/><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ABDFA6B02FB2E45B31F03989F69819B" ma:contentTypeVersion="4" ma:contentTypeDescription="Crear nuevo documento." ma:contentTypeScope="" ma:versionID="322dfb77334a318fe52eedb4a3f6be3f">
  <xsd:schema xmlns:xsd="http://www.w3.org/2001/XMLSchema" xmlns:xs="http://www.w3.org/2001/XMLSchema" xmlns:p="http://schemas.microsoft.com/office/2006/metadata/properties" xmlns:ns2="925361b9-3a0c-4c35-ae0e-5f5ef97db517" xmlns:ns3="b0b24d6a-01c5-41d8-b592-d89f712f4127" targetNamespace="http://schemas.microsoft.com/office/2006/metadata/properties" ma:root="true" ma:fieldsID="393452a33ccbe5541fea19b2b9aa0b5f" ns2:_="" ns3:_="">
    <xsd:import namespace="925361b9-3a0c-4c35-ae0e-5f5ef97db517"/>
    <xsd:import namespace="b0b24d6a-01c5-41d8-b592-d89f712f4127"/>
    <xsd:element name="properties">
      <xsd:complexType>
        <xsd:sequence>
          <xsd:element name="documentManagement">
            <xsd:complexType>
              <xsd:all>
                <xsd:element ref="ns2:SharedWithUsers" minOccurs="0"/>
                <xsd:element ref="ns2:_dlc_DocId" minOccurs="0"/>
                <xsd:element ref="ns2:_dlc_DocIdUrl" minOccurs="0"/>
                <xsd:element ref="ns2:_dlc_DocIdPersistId" minOccurs="0"/>
                <xsd:element ref="ns3:Estado_x0020_de_x0020_normativa" minOccurs="0"/>
                <xsd:element ref="ns3:Fecha_x0020_Derogaci_x00f3_n_x002f_Vencimiento" minOccurs="0"/>
                <xsd:element ref="ns3:Derogado_x0020_p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5361b9-3a0c-4c35-ae0e-5f5ef97db517"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9" nillable="true" ma:displayName="Valor de Id. de documento" ma:description="El valor del identificador de documento asignado a este elemento." ma:internalName="_dlc_DocId" ma:readOnly="true">
      <xsd:simpleType>
        <xsd:restriction base="dms:Text"/>
      </xsd:simpleType>
    </xsd:element>
    <xsd:element name="_dlc_DocIdUrl" ma:index="10"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Identificador persistente" ma:description="Mantener el identificador al agregar."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0b24d6a-01c5-41d8-b592-d89f712f4127" elementFormDefault="qualified">
    <xsd:import namespace="http://schemas.microsoft.com/office/2006/documentManagement/types"/>
    <xsd:import namespace="http://schemas.microsoft.com/office/infopath/2007/PartnerControls"/>
    <xsd:element name="Estado_x0020_de_x0020_normativa" ma:index="12" nillable="true" ma:displayName="Estado de normativa" ma:default="Vigente" ma:format="Dropdown" ma:internalName="Estado_x0020_de_x0020_normativa">
      <xsd:simpleType>
        <xsd:restriction base="dms:Choice">
          <xsd:enumeration value="Vigente"/>
          <xsd:enumeration value="Derogada"/>
          <xsd:enumeration value="Vencida"/>
        </xsd:restriction>
      </xsd:simpleType>
    </xsd:element>
    <xsd:element name="Fecha_x0020_Derogaci_x00f3_n_x002f_Vencimiento" ma:index="13" nillable="true" ma:displayName="Fecha Derogación/Vencimiento" ma:format="DateOnly" ma:internalName="Fecha_x0020_Derogaci_x00f3_n_x002f_Vencimiento">
      <xsd:simpleType>
        <xsd:restriction base="dms:DateTime"/>
      </xsd:simpleType>
    </xsd:element>
    <xsd:element name="Derogado_x0020_por" ma:index="14" nillable="true" ma:displayName="Derogado por" ma:internalName="Derogado_x0020_po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25361b9-3a0c-4c35-ae0e-5f5ef97db517">TAK2XWSQXAVX-2124196863-38</_dlc_DocId>
    <_dlc_DocIdUrl xmlns="925361b9-3a0c-4c35-ae0e-5f5ef97db517">
      <Url>http://sis/dn/_layouts/15/DocIdRedir.aspx?ID=TAK2XWSQXAVX-2124196863-38</Url>
      <Description>TAK2XWSQXAVX-2124196863-38</Description>
    </_dlc_DocIdUrl>
    <Derogado_x0020_por xmlns="b0b24d6a-01c5-41d8-b592-d89f712f4127" xsi:nil="true"/>
    <Fecha_x0020_Derogaci_x00f3_n_x002f_Vencimiento xmlns="b0b24d6a-01c5-41d8-b592-d89f712f4127" xsi:nil="true"/>
    <Estado_x0020_de_x0020_normativa xmlns="b0b24d6a-01c5-41d8-b592-d89f712f4127">Vigente</Estado_x0020_de_x0020_normativa>
  </documentManagement>
</p:properties>
</file>

<file path=customXml/itemProps1.xml><?xml version="1.0" encoding="utf-8"?>
<ds:datastoreItem xmlns:ds="http://schemas.openxmlformats.org/officeDocument/2006/customXml" ds:itemID="{5ACFABBB-79FC-46C9-B587-962C27653472}"/>
</file>

<file path=customXml/itemProps2.xml><?xml version="1.0" encoding="utf-8"?>
<ds:datastoreItem xmlns:ds="http://schemas.openxmlformats.org/officeDocument/2006/customXml" ds:itemID="{168C5B4E-832B-42BC-85A5-A3FA0C9C46D9}"/>
</file>

<file path=customXml/itemProps3.xml><?xml version="1.0" encoding="utf-8"?>
<ds:datastoreItem xmlns:ds="http://schemas.openxmlformats.org/officeDocument/2006/customXml" ds:itemID="{BB894CB9-4883-4C77-8AFA-87946D85A888}"/>
</file>

<file path=customXml/itemProps4.xml><?xml version="1.0" encoding="utf-8"?>
<ds:datastoreItem xmlns:ds="http://schemas.openxmlformats.org/officeDocument/2006/customXml" ds:itemID="{5DE6CA36-9C95-4097-BA88-27B1F24BA55A}"/>
</file>

<file path=customXml/itemProps5.xml><?xml version="1.0" encoding="utf-8"?>
<ds:datastoreItem xmlns:ds="http://schemas.openxmlformats.org/officeDocument/2006/customXml" ds:itemID="{20BCD36E-3982-4ADB-B691-96E67162073D}"/>
</file>

<file path=docProps/app.xml><?xml version="1.0" encoding="utf-8"?>
<Properties xmlns="http://schemas.openxmlformats.org/officeDocument/2006/extended-properties" xmlns:vt="http://schemas.openxmlformats.org/officeDocument/2006/docPropsVTypes">
  <Template>Normal.dotm</Template>
  <TotalTime>1</TotalTime>
  <Pages>22</Pages>
  <Words>4368</Words>
  <Characters>24025</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bcr</Company>
  <LinksUpToDate>false</LinksUpToDate>
  <CharactersWithSpaces>28337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Ingrid Lissette Ruiz Padilla</dc:creator>
  <cp:lastModifiedBy>Laila Badiyéh Resbain Sholéh Ramírez Abarca</cp:lastModifiedBy>
  <cp:revision>2</cp:revision>
  <cp:lastPrinted>2012-08-22T23:04:00Z</cp:lastPrinted>
  <dcterms:created xsi:type="dcterms:W3CDTF">2019-02-22T00:26:00Z</dcterms:created>
  <dcterms:modified xsi:type="dcterms:W3CDTF">2019-02-22T00:26:00Z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0x0101006ABDFA6B02FB2E45B31F03989F69819B</vt:lpwstr>
  </property>
  <property fmtid="{D5CDD505-2E9C-101B-9397-08002B2CF9AE}" pid="3" name="_docset_NoMedatataSyncRequired">
    <vt:lpwstr>False</vt:lpwstr>
  </property>
  <property fmtid="{D5CDD505-2E9C-101B-9397-08002B2CF9AE}" pid="4" name="_dlc_DocIdItemGuid">
    <vt:lpwstr>c22f396f-c992-4afb-a4b1-c2da2ae9909f</vt:lpwstr>
  </property>
</Properties>
</file>