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E7C" w:rsidRPr="00DD1E7C" w:rsidRDefault="00DD1E7C" w:rsidP="00DD1E7C">
      <w:pPr>
        <w:rPr>
          <w:lang w:val="es-SV"/>
        </w:rPr>
      </w:pPr>
      <w:r w:rsidRPr="00DD1E7C">
        <w:rPr>
          <w:b/>
          <w:bCs/>
          <w:lang w:val="es-SV"/>
        </w:rPr>
        <w:t>La Junta Directiva de Bolsa de Valore s de El Salvador, S.A. de C.V., en ejercicio de las facultades que le otorga el artículo 29 de la Ley del Mercado de Valores en sesión de Junta Directiva JD-06/2015, de fecha 21 de abril de 2015, acordó autorizar el presente instructivo. Este instructivo fue autorizado mediante resolución del Comité de Normas del Banco Central de Reserva No. CN-09/2015, de fecha 13 de mayo de 2015.</w:t>
      </w:r>
    </w:p>
    <w:p w:rsidR="00DD1E7C" w:rsidRPr="00DD1E7C" w:rsidRDefault="00DD1E7C" w:rsidP="00DD1E7C">
      <w:pPr>
        <w:jc w:val="center"/>
        <w:rPr>
          <w:b/>
          <w:bCs/>
          <w:lang w:val="es-SV"/>
        </w:rPr>
      </w:pPr>
      <w:r w:rsidRPr="00DD1E7C">
        <w:rPr>
          <w:b/>
          <w:bCs/>
          <w:lang w:val="es-SV"/>
        </w:rPr>
        <w:t>INSTRUCTIVO DE EMISIONES DE VALORES</w:t>
      </w:r>
      <w:bookmarkStart w:id="0" w:name="_GoBack"/>
      <w:bookmarkEnd w:id="0"/>
    </w:p>
    <w:p w:rsidR="00DD1E7C" w:rsidRPr="00DD1E7C" w:rsidRDefault="00DD1E7C" w:rsidP="00DD1E7C">
      <w:pPr>
        <w:jc w:val="center"/>
        <w:rPr>
          <w:b/>
          <w:bCs/>
          <w:lang w:val="es-SV"/>
        </w:rPr>
      </w:pPr>
      <w:r w:rsidRPr="00DD1E7C">
        <w:rPr>
          <w:b/>
          <w:bCs/>
          <w:lang w:val="es-SV"/>
        </w:rPr>
        <w:t>TÍTULO PRIMERO</w:t>
      </w:r>
    </w:p>
    <w:p w:rsidR="00DD1E7C" w:rsidRPr="00DD1E7C" w:rsidRDefault="00DD1E7C" w:rsidP="00DD1E7C">
      <w:pPr>
        <w:jc w:val="center"/>
        <w:rPr>
          <w:b/>
          <w:bCs/>
          <w:lang w:val="es-SV"/>
        </w:rPr>
      </w:pPr>
      <w:r w:rsidRPr="00DD1E7C">
        <w:rPr>
          <w:b/>
          <w:bCs/>
          <w:lang w:val="es-SV"/>
        </w:rPr>
        <w:t>CAPITULO I</w:t>
      </w:r>
    </w:p>
    <w:p w:rsidR="00DD1E7C" w:rsidRPr="00DD1E7C" w:rsidRDefault="00DD1E7C" w:rsidP="00DD1E7C">
      <w:pPr>
        <w:jc w:val="center"/>
        <w:rPr>
          <w:b/>
          <w:bCs/>
          <w:lang w:val="es-SV"/>
        </w:rPr>
      </w:pPr>
      <w:r w:rsidRPr="00DD1E7C">
        <w:rPr>
          <w:b/>
          <w:bCs/>
          <w:lang w:val="es-SV"/>
        </w:rPr>
        <w:t>DISPOSICIONES   PRELIMINARES</w:t>
      </w:r>
    </w:p>
    <w:p w:rsidR="00DD1E7C" w:rsidRPr="00DD1E7C" w:rsidRDefault="00DD1E7C" w:rsidP="00DD1E7C">
      <w:pPr>
        <w:rPr>
          <w:b/>
          <w:bCs/>
          <w:lang w:val="es-SV"/>
        </w:rPr>
      </w:pPr>
      <w:r w:rsidRPr="00DD1E7C">
        <w:rPr>
          <w:b/>
          <w:bCs/>
          <w:lang w:val="es-SV"/>
        </w:rPr>
        <w:t>OBJETO, ALCANCE Y TERMINOS UTILIZADOS</w:t>
      </w:r>
    </w:p>
    <w:p w:rsidR="00DD1E7C" w:rsidRPr="00DD1E7C" w:rsidRDefault="00DD1E7C" w:rsidP="00DD1E7C">
      <w:pPr>
        <w:jc w:val="both"/>
        <w:rPr>
          <w:lang w:val="es-SV"/>
        </w:rPr>
      </w:pPr>
      <w:r w:rsidRPr="00DD1E7C">
        <w:rPr>
          <w:b/>
          <w:bCs/>
          <w:lang w:val="es-SV"/>
        </w:rPr>
        <w:t xml:space="preserve">Art. 1- </w:t>
      </w:r>
      <w:r w:rsidRPr="00DD1E7C">
        <w:rPr>
          <w:lang w:val="es-SV"/>
        </w:rPr>
        <w:t>El presente instructivo regula las emisiones que se negocien a través de la Bolsa de Valores, reglas para su estructuración, inscripción y garantías.</w:t>
      </w:r>
    </w:p>
    <w:p w:rsidR="00DD1E7C" w:rsidRPr="00DD1E7C" w:rsidRDefault="00DD1E7C" w:rsidP="00DD1E7C">
      <w:pPr>
        <w:jc w:val="both"/>
        <w:rPr>
          <w:lang w:val="es-SV"/>
        </w:rPr>
      </w:pPr>
      <w:r w:rsidRPr="00DD1E7C">
        <w:rPr>
          <w:lang w:val="es-SV"/>
        </w:rPr>
        <w:t>No será aplicable el presente Instructivo a las emisiones de valores del Estado de El Salvador y del Banco Central de Reserva de El Salvador, las que se regirán por lo dispuesto en  sus propias normas.</w:t>
      </w:r>
    </w:p>
    <w:p w:rsidR="00DD1E7C" w:rsidRDefault="00DD1E7C" w:rsidP="00DD1E7C">
      <w:pPr>
        <w:jc w:val="both"/>
        <w:rPr>
          <w:lang w:val="es-SV"/>
        </w:rPr>
      </w:pPr>
      <w:r w:rsidRPr="00DD1E7C">
        <w:rPr>
          <w:lang w:val="es-SV"/>
        </w:rPr>
        <w:t>Para los efectos de este instructivo se entenderá por:</w:t>
      </w:r>
    </w:p>
    <w:p w:rsidR="00DD1E7C" w:rsidRDefault="00DD1E7C" w:rsidP="00DD1E7C">
      <w:pPr>
        <w:pStyle w:val="Prrafodelista"/>
        <w:numPr>
          <w:ilvl w:val="0"/>
          <w:numId w:val="2"/>
        </w:numPr>
        <w:ind w:left="425" w:hanging="425"/>
        <w:jc w:val="both"/>
        <w:rPr>
          <w:lang w:val="es-SV"/>
        </w:rPr>
      </w:pPr>
      <w:r w:rsidRPr="00DD1E7C">
        <w:rPr>
          <w:lang w:val="es-SV"/>
        </w:rPr>
        <w:t>Bolsa de Valores o Bolsa: Bolsa de Valores de El Salvador, S.A. de C.V.;</w:t>
      </w:r>
    </w:p>
    <w:p w:rsidR="00DD1E7C" w:rsidRDefault="00DD1E7C" w:rsidP="00DD1E7C">
      <w:pPr>
        <w:pStyle w:val="Prrafodelista"/>
        <w:numPr>
          <w:ilvl w:val="0"/>
          <w:numId w:val="2"/>
        </w:numPr>
        <w:ind w:left="425" w:hanging="425"/>
        <w:jc w:val="both"/>
        <w:rPr>
          <w:lang w:val="es-SV"/>
        </w:rPr>
      </w:pPr>
      <w:r w:rsidRPr="00DD1E7C">
        <w:rPr>
          <w:lang w:val="es-SV"/>
        </w:rPr>
        <w:t>Banco Central de Reserva, Banco Central o BCR: Banco Central de Reserva de El Salvador;</w:t>
      </w:r>
    </w:p>
    <w:p w:rsidR="00DD1E7C" w:rsidRDefault="00DD1E7C" w:rsidP="00DD1E7C">
      <w:pPr>
        <w:pStyle w:val="Prrafodelista"/>
        <w:numPr>
          <w:ilvl w:val="0"/>
          <w:numId w:val="2"/>
        </w:numPr>
        <w:ind w:left="425" w:hanging="425"/>
        <w:jc w:val="both"/>
        <w:rPr>
          <w:lang w:val="es-SV"/>
        </w:rPr>
      </w:pPr>
      <w:r w:rsidRPr="00DD1E7C">
        <w:rPr>
          <w:lang w:val="es-SV"/>
        </w:rPr>
        <w:t>CEDEVAL o la Depositaria: Central de Depósito de Valores, S.A. de C.V.;</w:t>
      </w:r>
    </w:p>
    <w:p w:rsidR="00DD1E7C" w:rsidRDefault="00DD1E7C" w:rsidP="00DD1E7C">
      <w:pPr>
        <w:pStyle w:val="Prrafodelista"/>
        <w:numPr>
          <w:ilvl w:val="0"/>
          <w:numId w:val="2"/>
        </w:numPr>
        <w:ind w:left="425" w:hanging="425"/>
        <w:jc w:val="both"/>
        <w:rPr>
          <w:lang w:val="es-SV"/>
        </w:rPr>
      </w:pPr>
      <w:r w:rsidRPr="00DD1E7C">
        <w:rPr>
          <w:lang w:val="es-SV"/>
        </w:rPr>
        <w:t>Superintendencia: Superintendencia del Sistema Financiero.</w:t>
      </w:r>
    </w:p>
    <w:p w:rsidR="00DD1E7C" w:rsidRPr="00DD1E7C" w:rsidRDefault="00DD1E7C" w:rsidP="00DD1E7C">
      <w:pPr>
        <w:jc w:val="center"/>
        <w:rPr>
          <w:b/>
          <w:bCs/>
          <w:lang w:val="es-SV"/>
        </w:rPr>
      </w:pPr>
      <w:r w:rsidRPr="00DD1E7C">
        <w:rPr>
          <w:b/>
          <w:bCs/>
          <w:lang w:val="es-SV"/>
        </w:rPr>
        <w:t>CAPITULO II</w:t>
      </w:r>
    </w:p>
    <w:p w:rsidR="00DD1E7C" w:rsidRPr="00DD1E7C" w:rsidRDefault="00DD1E7C" w:rsidP="00DD1E7C">
      <w:pPr>
        <w:jc w:val="center"/>
        <w:rPr>
          <w:b/>
          <w:bCs/>
          <w:lang w:val="es-SV"/>
        </w:rPr>
      </w:pPr>
      <w:r w:rsidRPr="00DD1E7C">
        <w:rPr>
          <w:b/>
          <w:bCs/>
          <w:lang w:val="es-SV"/>
        </w:rPr>
        <w:t>INSCRIPCION DE EMISIONES</w:t>
      </w:r>
    </w:p>
    <w:p w:rsidR="00DD1E7C" w:rsidRPr="00DD1E7C" w:rsidRDefault="00DD1E7C" w:rsidP="00DD1E7C">
      <w:pPr>
        <w:rPr>
          <w:lang w:val="es-SV"/>
        </w:rPr>
      </w:pPr>
      <w:r w:rsidRPr="00DD1E7C">
        <w:rPr>
          <w:b/>
          <w:bCs/>
          <w:lang w:val="es-SV"/>
        </w:rPr>
        <w:t>APOYO A CASAS DE CORREDORES DE BOLSA</w:t>
      </w:r>
    </w:p>
    <w:p w:rsidR="00DD1E7C" w:rsidRPr="00DD1E7C" w:rsidRDefault="00DD1E7C" w:rsidP="00DD1E7C">
      <w:pPr>
        <w:jc w:val="both"/>
        <w:rPr>
          <w:lang w:val="es-SV"/>
        </w:rPr>
      </w:pPr>
      <w:r w:rsidRPr="00DD1E7C">
        <w:rPr>
          <w:b/>
          <w:bCs/>
          <w:lang w:val="es-SV"/>
        </w:rPr>
        <w:t xml:space="preserve">Art. 2.- </w:t>
      </w:r>
      <w:r w:rsidRPr="00DD1E7C">
        <w:rPr>
          <w:lang w:val="es-SV"/>
        </w:rPr>
        <w:t>Con el fin de facilitar a las Casas de Corredores de Bolsa en el proceso de registro e inscripción de las emisiones, la Bolsa podrá proporcionar a través de su página web o por correo  electrónico, formatos o listas de verificación de la documentación mínima a presentar para la inscripción de los diferentes tipos de emisiones, los cuales contendrán la información requerida por la ley y la normativa aplicable.</w:t>
      </w:r>
    </w:p>
    <w:p w:rsidR="00DD1E7C" w:rsidRPr="00DD1E7C" w:rsidRDefault="00DD1E7C" w:rsidP="00DD1E7C">
      <w:pPr>
        <w:rPr>
          <w:lang w:val="es-SV"/>
        </w:rPr>
      </w:pPr>
      <w:r w:rsidRPr="00DD1E7C">
        <w:rPr>
          <w:b/>
          <w:bCs/>
          <w:lang w:val="es-SV"/>
        </w:rPr>
        <w:t>INTERMEDIACIÓN  DE LAS CASAS</w:t>
      </w:r>
    </w:p>
    <w:p w:rsidR="00DD1E7C" w:rsidRPr="00DD1E7C" w:rsidRDefault="00DD1E7C" w:rsidP="00DD1E7C">
      <w:pPr>
        <w:jc w:val="both"/>
        <w:rPr>
          <w:lang w:val="es-SV"/>
        </w:rPr>
      </w:pPr>
      <w:r w:rsidRPr="00DD1E7C">
        <w:rPr>
          <w:b/>
          <w:bCs/>
          <w:lang w:val="es-SV"/>
        </w:rPr>
        <w:t xml:space="preserve">Art. </w:t>
      </w:r>
      <w:r w:rsidRPr="00DD1E7C">
        <w:rPr>
          <w:lang w:val="es-SV"/>
        </w:rPr>
        <w:t xml:space="preserve">3- Sin perjuicio de las excepciones que se establezcan en la Ley y el Reglamento General Interno de la Bolsa de Valores, la solicitud de inscripción de emisión deberá presentarse a la Bolsa, </w:t>
      </w:r>
      <w:r w:rsidRPr="00DD1E7C">
        <w:rPr>
          <w:lang w:val="es-SV"/>
        </w:rPr>
        <w:lastRenderedPageBreak/>
        <w:t>a través de una Casa de Corredores de Bolsa, acompañada de copia de la comunicación del acuerdo de autorización de asiento registra! por parte del Consejo Directivo de la Superintendencia y una copia del Asiento Registra! en el Registro Público Bursátil , además de la documentación establecida en la Ley, en el Reglamento General Interno de la Bolsa y en la normativa aplicable.</w:t>
      </w:r>
    </w:p>
    <w:p w:rsidR="00DD1E7C" w:rsidRPr="00DD1E7C" w:rsidRDefault="00DD1E7C" w:rsidP="00DD1E7C">
      <w:pPr>
        <w:jc w:val="both"/>
        <w:rPr>
          <w:lang w:val="es-SV"/>
        </w:rPr>
      </w:pPr>
      <w:r w:rsidRPr="00DD1E7C">
        <w:rPr>
          <w:lang w:val="es-SV"/>
        </w:rPr>
        <w:t>La casa de corredores que gestione la inscripción de una o más emisiones emisión, deberá atender ante la Bolsa todos los asuntos que se presenten durante el proceso de inscripción.</w:t>
      </w:r>
    </w:p>
    <w:p w:rsidR="00DD1E7C" w:rsidRPr="00DD1E7C" w:rsidRDefault="00DD1E7C" w:rsidP="00DD1E7C">
      <w:pPr>
        <w:rPr>
          <w:lang w:val="es-SV"/>
        </w:rPr>
      </w:pPr>
      <w:r w:rsidRPr="00DD1E7C">
        <w:rPr>
          <w:b/>
          <w:bCs/>
          <w:lang w:val="es-SV"/>
        </w:rPr>
        <w:t>INSCRIPCIÓN DE EMISIONES</w:t>
      </w:r>
    </w:p>
    <w:p w:rsidR="00DD1E7C" w:rsidRPr="00DD1E7C" w:rsidRDefault="00DD1E7C" w:rsidP="00DD1E7C">
      <w:pPr>
        <w:jc w:val="both"/>
        <w:rPr>
          <w:lang w:val="es-SV"/>
        </w:rPr>
      </w:pPr>
      <w:r w:rsidRPr="00DD1E7C">
        <w:rPr>
          <w:b/>
          <w:bCs/>
          <w:lang w:val="es-SV"/>
        </w:rPr>
        <w:t xml:space="preserve">Art. 4- </w:t>
      </w:r>
      <w:r w:rsidRPr="00DD1E7C">
        <w:rPr>
          <w:lang w:val="es-SV"/>
        </w:rPr>
        <w:t>La Bolsa de Valores dispondrá de un plazo de diez días hábiles para resolver sobre las inscripciones de emisiones, contados desde la fecha de presentación de la respectiva solicitud, acompañada de la documentación correspondiente. Este plazo podrá ser interrumpido por una única ocasión, cuando la Bolsa de Valores comunique a la Casa de Corredores de Bolsa solicitante las observaciones a la documentación presentada.</w:t>
      </w:r>
    </w:p>
    <w:p w:rsidR="00DD1E7C" w:rsidRPr="00DD1E7C" w:rsidRDefault="00DD1E7C" w:rsidP="00DD1E7C">
      <w:pPr>
        <w:jc w:val="both"/>
        <w:rPr>
          <w:lang w:val="es-SV"/>
        </w:rPr>
      </w:pPr>
      <w:r w:rsidRPr="00DD1E7C">
        <w:rPr>
          <w:lang w:val="es-SV"/>
        </w:rPr>
        <w:t>La Bolsa deberá verificar el cumplimiento de las disposiciones legales, normativas aplicables y el Reglamento General Interno. No obstante, la Bolsa podrá requerir información adicional únicamente con el propósito  de comprender la operatividad</w:t>
      </w:r>
      <w:r>
        <w:rPr>
          <w:lang w:val="es-SV"/>
        </w:rPr>
        <w:t xml:space="preserve"> </w:t>
      </w:r>
      <w:r w:rsidRPr="00DD1E7C">
        <w:rPr>
          <w:lang w:val="es-SV"/>
        </w:rPr>
        <w:t>de la emisión y su negociación, así como para brindarle suficientes y relevantes elementos de decisión para el inversionista.</w:t>
      </w:r>
    </w:p>
    <w:p w:rsidR="00DD1E7C" w:rsidRPr="00DD1E7C" w:rsidRDefault="00DD1E7C" w:rsidP="00DD1E7C">
      <w:pPr>
        <w:jc w:val="both"/>
        <w:rPr>
          <w:lang w:val="es-SV"/>
        </w:rPr>
      </w:pPr>
      <w:r w:rsidRPr="00DD1E7C">
        <w:rPr>
          <w:lang w:val="es-SV"/>
        </w:rPr>
        <w:t>La autorización de la inscripción de las emisiones será otorgada por la Junta Directiva de la Bolsa de Valores o por las personas a quienes esta delegue dicha facultad, de conformidad con el art. 33 de la Ley del Mercado de Valores, según el procedimiento  establecido internamente por la Bolsa.</w:t>
      </w:r>
    </w:p>
    <w:p w:rsidR="00DD1E7C" w:rsidRPr="00DD1E7C" w:rsidRDefault="00DD1E7C" w:rsidP="00DD1E7C">
      <w:pPr>
        <w:jc w:val="both"/>
        <w:rPr>
          <w:lang w:val="es-SV"/>
        </w:rPr>
      </w:pPr>
      <w:r w:rsidRPr="00DD1E7C">
        <w:rPr>
          <w:lang w:val="es-SV"/>
        </w:rPr>
        <w:t>El pago de la comisión por inscripción de una emisión deberá realizarse en el momento de presentar la solicitud.</w:t>
      </w:r>
    </w:p>
    <w:p w:rsidR="00DD1E7C" w:rsidRPr="00DD1E7C" w:rsidRDefault="00DD1E7C" w:rsidP="00DD1E7C">
      <w:pPr>
        <w:rPr>
          <w:lang w:val="es-SV"/>
        </w:rPr>
      </w:pPr>
      <w:r w:rsidRPr="00DD1E7C">
        <w:rPr>
          <w:b/>
          <w:bCs/>
          <w:lang w:val="es-SV"/>
        </w:rPr>
        <w:t>AUMENTOS DE CAPITAL DE EMISORES DE ACCIONES</w:t>
      </w:r>
    </w:p>
    <w:p w:rsidR="00DD1E7C" w:rsidRPr="00DD1E7C" w:rsidRDefault="00DD1E7C" w:rsidP="00DD1E7C">
      <w:pPr>
        <w:rPr>
          <w:lang w:val="es-SV"/>
        </w:rPr>
      </w:pPr>
      <w:r w:rsidRPr="00DD1E7C">
        <w:rPr>
          <w:b/>
          <w:bCs/>
          <w:lang w:val="es-SV"/>
        </w:rPr>
        <w:t xml:space="preserve">Art. 5.- </w:t>
      </w:r>
      <w:r w:rsidRPr="00DD1E7C">
        <w:rPr>
          <w:lang w:val="es-SV"/>
        </w:rPr>
        <w:t>Los emisores de valores que tengan inscritas sus acciones en la Bolsa de Valores y, deberán inscribir los aumentos de su capital social y posterior a haber registrado el aumento de Capital en la Superintendencia, a través de una Casa de Corredores de Bolsa.</w:t>
      </w:r>
    </w:p>
    <w:p w:rsidR="00DD1E7C" w:rsidRPr="00DD1E7C" w:rsidRDefault="00DD1E7C" w:rsidP="00DD1E7C">
      <w:pPr>
        <w:rPr>
          <w:lang w:val="es-SV"/>
        </w:rPr>
      </w:pPr>
      <w:r w:rsidRPr="00DD1E7C">
        <w:rPr>
          <w:lang w:val="es-SV"/>
        </w:rPr>
        <w:t>Sin perjuicio del cumplimiento de los otros requisitos correspondientes, no será necesario sustituir los Certificados de Acciones, siendo suficiente que los cambios a éstos se realicen por medio de un sello u otro medio que lo haga constar en el valor, de conformidad con el artículo 151 del Código de Comercio siempre y cuando la información quede legible y no genere confusión alguna.</w:t>
      </w:r>
    </w:p>
    <w:p w:rsidR="00DD1E7C" w:rsidRPr="00DD1E7C" w:rsidRDefault="00DD1E7C" w:rsidP="00DD1E7C">
      <w:pPr>
        <w:rPr>
          <w:lang w:val="es-SV"/>
        </w:rPr>
      </w:pPr>
      <w:r w:rsidRPr="00DD1E7C">
        <w:rPr>
          <w:lang w:val="es-SV"/>
        </w:rPr>
        <w:t>Para la inscripción de los aumentos de capital, la Bolsa de Valores procederá de la manera descrita en el artículo anterior.</w:t>
      </w:r>
    </w:p>
    <w:p w:rsidR="00DD1E7C" w:rsidRPr="00DD1E7C" w:rsidRDefault="00DD1E7C" w:rsidP="00DD1E7C">
      <w:pPr>
        <w:rPr>
          <w:lang w:val="es-SV"/>
        </w:rPr>
      </w:pPr>
      <w:r w:rsidRPr="00DD1E7C">
        <w:rPr>
          <w:b/>
          <w:bCs/>
          <w:lang w:val="es-SV"/>
        </w:rPr>
        <w:t>MODIFICACION  DE UNA EMISION</w:t>
      </w:r>
    </w:p>
    <w:p w:rsidR="00DD1E7C" w:rsidRPr="00DD1E7C" w:rsidRDefault="00DD1E7C" w:rsidP="00DD1E7C">
      <w:pPr>
        <w:rPr>
          <w:lang w:val="es-SV"/>
        </w:rPr>
      </w:pPr>
      <w:r w:rsidRPr="00DD1E7C">
        <w:rPr>
          <w:b/>
          <w:bCs/>
          <w:lang w:val="es-SV"/>
        </w:rPr>
        <w:lastRenderedPageBreak/>
        <w:t xml:space="preserve">Art. 6.- </w:t>
      </w:r>
      <w:r w:rsidRPr="00DD1E7C">
        <w:rPr>
          <w:lang w:val="es-SV"/>
        </w:rPr>
        <w:t>Las características de una emisión de valores podrán modificarse antes de la primera colocación, siempre que dicha modificación haya sido previamente autorizada por la Superintendencia y asentada en el Registro Público Bursátil. Para tales efectos, la Casa de Corredores solicitante deberá remitir la siguiente documentación:</w:t>
      </w:r>
    </w:p>
    <w:p w:rsidR="00DD1E7C" w:rsidRDefault="00DD1E7C" w:rsidP="00DD1E7C">
      <w:pPr>
        <w:pStyle w:val="Prrafodelista"/>
        <w:numPr>
          <w:ilvl w:val="0"/>
          <w:numId w:val="4"/>
        </w:numPr>
        <w:ind w:left="425" w:hanging="425"/>
        <w:jc w:val="both"/>
        <w:rPr>
          <w:lang w:val="es-SV"/>
        </w:rPr>
      </w:pPr>
      <w:r w:rsidRPr="00DD1E7C">
        <w:rPr>
          <w:lang w:val="es-SV"/>
        </w:rPr>
        <w:t>Copia de la comunicación del acuerdo de asiento registral por parte del</w:t>
      </w:r>
      <w:r>
        <w:rPr>
          <w:lang w:val="es-SV"/>
        </w:rPr>
        <w:t xml:space="preserve"> </w:t>
      </w:r>
      <w:r w:rsidRPr="00DD1E7C">
        <w:rPr>
          <w:lang w:val="es-SV"/>
        </w:rPr>
        <w:t>Consejo Directivo de la Superintendencia.</w:t>
      </w:r>
    </w:p>
    <w:p w:rsidR="00DD1E7C" w:rsidRDefault="00DD1E7C" w:rsidP="00DD1E7C">
      <w:pPr>
        <w:pStyle w:val="Prrafodelista"/>
        <w:numPr>
          <w:ilvl w:val="0"/>
          <w:numId w:val="4"/>
        </w:numPr>
        <w:ind w:left="425" w:hanging="425"/>
        <w:jc w:val="both"/>
        <w:rPr>
          <w:lang w:val="es-SV"/>
        </w:rPr>
      </w:pPr>
      <w:r w:rsidRPr="00DD1E7C">
        <w:rPr>
          <w:lang w:val="es-SV"/>
        </w:rPr>
        <w:t>El acuerdo del órgano social competente autorizado para modificar las características de la emisión;</w:t>
      </w:r>
    </w:p>
    <w:p w:rsidR="00DD1E7C" w:rsidRDefault="00DD1E7C" w:rsidP="00DD1E7C">
      <w:pPr>
        <w:pStyle w:val="Prrafodelista"/>
        <w:numPr>
          <w:ilvl w:val="0"/>
          <w:numId w:val="4"/>
        </w:numPr>
        <w:ind w:left="425" w:hanging="425"/>
        <w:jc w:val="both"/>
        <w:rPr>
          <w:lang w:val="es-SV"/>
        </w:rPr>
      </w:pPr>
      <w:r w:rsidRPr="00DD1E7C">
        <w:rPr>
          <w:lang w:val="es-SV"/>
        </w:rPr>
        <w:t>Un proyecto de escritura pública de modificación a las características de la emisión;</w:t>
      </w:r>
    </w:p>
    <w:p w:rsidR="00DD1E7C" w:rsidRDefault="00DD1E7C" w:rsidP="00DD1E7C">
      <w:pPr>
        <w:pStyle w:val="Prrafodelista"/>
        <w:numPr>
          <w:ilvl w:val="0"/>
          <w:numId w:val="4"/>
        </w:numPr>
        <w:ind w:left="425" w:hanging="425"/>
        <w:jc w:val="both"/>
        <w:rPr>
          <w:lang w:val="es-SV"/>
        </w:rPr>
      </w:pPr>
      <w:r w:rsidRPr="00DD1E7C">
        <w:rPr>
          <w:lang w:val="es-SV"/>
        </w:rPr>
        <w:t>Copia de la escritura pública de modificación a las características de la emisión.</w:t>
      </w:r>
    </w:p>
    <w:p w:rsidR="00DD1E7C" w:rsidRDefault="00DD1E7C" w:rsidP="00DD1E7C">
      <w:pPr>
        <w:pStyle w:val="Prrafodelista"/>
        <w:numPr>
          <w:ilvl w:val="0"/>
          <w:numId w:val="4"/>
        </w:numPr>
        <w:ind w:left="425" w:hanging="425"/>
        <w:jc w:val="both"/>
        <w:rPr>
          <w:lang w:val="es-SV"/>
        </w:rPr>
      </w:pPr>
      <w:r w:rsidRPr="00DD1E7C">
        <w:rPr>
          <w:lang w:val="es-SV"/>
        </w:rPr>
        <w:t>Insertos  o el prospecto  que  contengan  información  actualizada  y últimos hechos relevantes ocurridos, en versión digital y física.</w:t>
      </w:r>
    </w:p>
    <w:p w:rsidR="00DD1E7C" w:rsidRDefault="00DD1E7C" w:rsidP="00DD1E7C">
      <w:pPr>
        <w:pStyle w:val="Prrafodelista"/>
        <w:numPr>
          <w:ilvl w:val="0"/>
          <w:numId w:val="4"/>
        </w:numPr>
        <w:ind w:left="425" w:hanging="425"/>
        <w:jc w:val="both"/>
        <w:rPr>
          <w:lang w:val="es-SV"/>
        </w:rPr>
      </w:pPr>
      <w:r w:rsidRPr="00DD1E7C">
        <w:rPr>
          <w:lang w:val="es-SV"/>
        </w:rPr>
        <w:t>Actualización de la información a que hacen referencia los numerales 1 y 2 del artículo 6 del Instructivo de Información Bursátil, si fuera necesario.</w:t>
      </w:r>
    </w:p>
    <w:p w:rsidR="00DD1E7C" w:rsidRDefault="00DD1E7C" w:rsidP="00DD1E7C">
      <w:pPr>
        <w:pStyle w:val="Prrafodelista"/>
        <w:numPr>
          <w:ilvl w:val="0"/>
          <w:numId w:val="4"/>
        </w:numPr>
        <w:ind w:left="425" w:hanging="425"/>
        <w:jc w:val="both"/>
        <w:rPr>
          <w:lang w:val="es-SV"/>
        </w:rPr>
      </w:pPr>
      <w:r w:rsidRPr="00DD1E7C">
        <w:rPr>
          <w:lang w:val="es-SV"/>
        </w:rPr>
        <w:t>El detalle de las nuevas características de la emisión;</w:t>
      </w:r>
    </w:p>
    <w:p w:rsidR="00DD1E7C" w:rsidRDefault="00DD1E7C" w:rsidP="00DD1E7C">
      <w:pPr>
        <w:pStyle w:val="Prrafodelista"/>
        <w:numPr>
          <w:ilvl w:val="0"/>
          <w:numId w:val="4"/>
        </w:numPr>
        <w:ind w:left="425" w:hanging="425"/>
        <w:jc w:val="both"/>
        <w:rPr>
          <w:lang w:val="es-SV"/>
        </w:rPr>
      </w:pPr>
      <w:r w:rsidRPr="00DD1E7C">
        <w:rPr>
          <w:lang w:val="es-SV"/>
        </w:rPr>
        <w:t>La  clasificación  de  riesgo  que  considere  los  cambios  que  se  hubieren realizado (cuando se haya realizado una modificación que la afecte);</w:t>
      </w:r>
    </w:p>
    <w:p w:rsidR="00DD1E7C" w:rsidRDefault="00DD1E7C" w:rsidP="00DD1E7C">
      <w:pPr>
        <w:pStyle w:val="Prrafodelista"/>
        <w:numPr>
          <w:ilvl w:val="0"/>
          <w:numId w:val="4"/>
        </w:numPr>
        <w:ind w:left="425" w:hanging="425"/>
        <w:jc w:val="both"/>
        <w:rPr>
          <w:lang w:val="es-SV"/>
        </w:rPr>
      </w:pPr>
      <w:r w:rsidRPr="00DD1E7C">
        <w:rPr>
          <w:lang w:val="es-SV"/>
        </w:rPr>
        <w:t>Un resumen de las causas que motivaron el cambio solicitado.</w:t>
      </w:r>
    </w:p>
    <w:p w:rsidR="00DD1E7C" w:rsidRPr="00DD1E7C" w:rsidRDefault="00DD1E7C" w:rsidP="00DD1E7C">
      <w:pPr>
        <w:jc w:val="both"/>
        <w:rPr>
          <w:lang w:val="es-SV"/>
        </w:rPr>
      </w:pPr>
      <w:r w:rsidRPr="00DD1E7C">
        <w:rPr>
          <w:lang w:val="es-SV"/>
        </w:rPr>
        <w:t>Sin perjuicio de lo regulado en el inciso primero de este artículo, cuando sea necesario y siempre que no se cause perjuicio a los intereses de los inversionistas, la Bolsa de Valores podrá inscribir una modificación a las características de la emisión posterior a la primera colocación, mediante resolución razonada y siempre que dicha modificación haya sido previamente autorizada por la Superintendencia del Sistema Financiero.</w:t>
      </w:r>
    </w:p>
    <w:p w:rsidR="00DD1E7C" w:rsidRPr="00DD1E7C" w:rsidRDefault="00DD1E7C" w:rsidP="00DD1E7C">
      <w:pPr>
        <w:jc w:val="both"/>
        <w:rPr>
          <w:lang w:val="es-SV"/>
        </w:rPr>
      </w:pPr>
      <w:r w:rsidRPr="00DD1E7C">
        <w:rPr>
          <w:lang w:val="es-SV"/>
        </w:rPr>
        <w:t>La resolución de la Junta Directiva de la Bolsa de Valores o de las personas delegadas por esta, se comunicará a la Superintendencia del Sistema Financiero y a la Casa de Corredores de Bolsa solicitante, en un plazo máximo de tres días hábiles.</w:t>
      </w:r>
    </w:p>
    <w:p w:rsidR="00DD1E7C" w:rsidRPr="00DD1E7C" w:rsidRDefault="00DD1E7C" w:rsidP="00F02197">
      <w:pPr>
        <w:jc w:val="center"/>
        <w:rPr>
          <w:lang w:val="es-SV"/>
        </w:rPr>
      </w:pPr>
      <w:r w:rsidRPr="00DD1E7C">
        <w:rPr>
          <w:b/>
          <w:bCs/>
          <w:lang w:val="es-SV"/>
        </w:rPr>
        <w:t xml:space="preserve">CAPITULO </w:t>
      </w:r>
      <w:r w:rsidRPr="00DD1E7C">
        <w:rPr>
          <w:lang w:val="es-SV"/>
        </w:rPr>
        <w:t>III</w:t>
      </w:r>
    </w:p>
    <w:p w:rsidR="00F02197" w:rsidRDefault="00DD1E7C" w:rsidP="00F02197">
      <w:pPr>
        <w:jc w:val="center"/>
        <w:rPr>
          <w:b/>
          <w:bCs/>
          <w:lang w:val="es-SV"/>
        </w:rPr>
      </w:pPr>
      <w:r w:rsidRPr="00DD1E7C">
        <w:rPr>
          <w:b/>
          <w:bCs/>
          <w:lang w:val="es-SV"/>
        </w:rPr>
        <w:t xml:space="preserve">ESTRUCTURACION  DE EMISIONES  DE VALORES  DE DEUDA </w:t>
      </w:r>
    </w:p>
    <w:p w:rsidR="00DD1E7C" w:rsidRPr="00DD1E7C" w:rsidRDefault="00DD1E7C" w:rsidP="00F02197">
      <w:pPr>
        <w:rPr>
          <w:lang w:val="es-SV"/>
        </w:rPr>
      </w:pPr>
      <w:r w:rsidRPr="00DD1E7C">
        <w:rPr>
          <w:b/>
          <w:bCs/>
          <w:lang w:val="es-SV"/>
        </w:rPr>
        <w:t>ESTRUCTURACIÓN  DE LA EMISION</w:t>
      </w:r>
    </w:p>
    <w:p w:rsidR="00DD1E7C" w:rsidRPr="00DD1E7C" w:rsidRDefault="00DD1E7C" w:rsidP="00DD1E7C">
      <w:pPr>
        <w:jc w:val="both"/>
        <w:rPr>
          <w:lang w:val="es-SV"/>
        </w:rPr>
      </w:pPr>
      <w:r w:rsidRPr="00DD1E7C">
        <w:rPr>
          <w:b/>
          <w:bCs/>
          <w:lang w:val="es-SV"/>
        </w:rPr>
        <w:t xml:space="preserve">Art. 7-  </w:t>
      </w:r>
      <w:r w:rsidRPr="00DD1E7C">
        <w:rPr>
          <w:lang w:val="es-SV"/>
        </w:rPr>
        <w:t>Cada emisor podrá  estructurar  sus emisiones,  dentro de los límites que establezca la Ley.</w:t>
      </w:r>
    </w:p>
    <w:p w:rsidR="00DD1E7C" w:rsidRPr="00DD1E7C" w:rsidRDefault="00DD1E7C" w:rsidP="00DD1E7C">
      <w:pPr>
        <w:jc w:val="both"/>
        <w:rPr>
          <w:lang w:val="es-SV"/>
        </w:rPr>
      </w:pPr>
      <w:r w:rsidRPr="00DD1E7C">
        <w:rPr>
          <w:lang w:val="es-SV"/>
        </w:rPr>
        <w:t>En los valores emitidos en serie o también llamados valores homogéneos agrupados en emisiones según el artículo 72 de la Ley de Anotaciones Electrónicas de Valores en Cuenta, las características de cada serie o tramo deberán comunicarse a la Bolsa y a la Superintendencia , simultáneamente, dentro del plazo definido para la colocación y previo a que dicho tramo sea colocado. Los valores que conforman un mismo tramo o serie tendrán idénticas características.</w:t>
      </w:r>
    </w:p>
    <w:p w:rsidR="00DD1E7C" w:rsidRPr="00DD1E7C" w:rsidRDefault="00DD1E7C" w:rsidP="00DD1E7C">
      <w:pPr>
        <w:jc w:val="both"/>
        <w:rPr>
          <w:lang w:val="es-SV"/>
        </w:rPr>
      </w:pPr>
      <w:r w:rsidRPr="00DD1E7C">
        <w:rPr>
          <w:b/>
          <w:bCs/>
          <w:lang w:val="es-SV"/>
        </w:rPr>
        <w:lastRenderedPageBreak/>
        <w:t>VENCIMIENTO DE LOS TRAMOS</w:t>
      </w:r>
    </w:p>
    <w:p w:rsidR="00DD1E7C" w:rsidRPr="00DD1E7C" w:rsidRDefault="00DD1E7C" w:rsidP="00DD1E7C">
      <w:pPr>
        <w:jc w:val="both"/>
        <w:rPr>
          <w:lang w:val="es-SV"/>
        </w:rPr>
      </w:pPr>
      <w:r w:rsidRPr="00DD1E7C">
        <w:rPr>
          <w:b/>
          <w:bCs/>
          <w:lang w:val="es-SV"/>
        </w:rPr>
        <w:t xml:space="preserve">Art. 8- </w:t>
      </w:r>
      <w:r w:rsidRPr="00DD1E7C">
        <w:rPr>
          <w:lang w:val="es-SV"/>
        </w:rPr>
        <w:t>Cada tramo o serie deberá tener una sola fecha de vencimiento y el plazo de vigencia, el cual se empezará a contar a partir de la fecha de la primera liquidación del mismo.</w:t>
      </w:r>
    </w:p>
    <w:p w:rsidR="00DD1E7C" w:rsidRPr="00DD1E7C" w:rsidRDefault="00DD1E7C" w:rsidP="00DD1E7C">
      <w:pPr>
        <w:jc w:val="both"/>
        <w:rPr>
          <w:lang w:val="es-SV"/>
        </w:rPr>
      </w:pPr>
      <w:r w:rsidRPr="00DD1E7C">
        <w:rPr>
          <w:lang w:val="es-SV"/>
        </w:rPr>
        <w:t>Respecto a las definiciones de la fecha de colocación o colocación, fecha de negociación o negociación y fecha de liquidación o liquidación, se estará a lo dispuesto en el Instructivo de Colocaciones en Bolsa.</w:t>
      </w:r>
    </w:p>
    <w:p w:rsidR="00DD1E7C" w:rsidRPr="00DD1E7C" w:rsidRDefault="00DD1E7C" w:rsidP="00DD1E7C">
      <w:pPr>
        <w:jc w:val="both"/>
        <w:rPr>
          <w:lang w:val="es-SV"/>
        </w:rPr>
      </w:pPr>
      <w:r w:rsidRPr="00DD1E7C">
        <w:rPr>
          <w:lang w:val="es-SV"/>
        </w:rPr>
        <w:t>Sin perjuicio de lo establecido en el primer inciso, en los casos en que la Ley no lo prohíba podrán existir recompras y redenciones anticipadas de los tramos, siempre y cuando así se haya establecido en la escritura de emisión.</w:t>
      </w:r>
    </w:p>
    <w:p w:rsidR="00DD1E7C" w:rsidRDefault="00DD1E7C" w:rsidP="00DD1E7C">
      <w:pPr>
        <w:jc w:val="both"/>
        <w:rPr>
          <w:lang w:val="es-SV"/>
        </w:rPr>
      </w:pPr>
      <w:r w:rsidRPr="00DD1E7C">
        <w:rPr>
          <w:lang w:val="es-SV"/>
        </w:rPr>
        <w:t>En aquéllos casos en que la Ley prohíba la recompra de los valores o la redención anticipada de los mismos, podrán haber amortizaciones parciales programadas, si así se ha anunciado antes de la colocación del tramo respectivo; en este caso deberán especificarse las fechas de amortización y los montos o porcentajes de los tramos que se amortizarán en cada fecha . Para poder realizar amortizaciones parcia les programadas es necesario que esta posibilidad se haya previsto en las características  de la emisión.</w:t>
      </w:r>
    </w:p>
    <w:p w:rsidR="00CE55E6" w:rsidRPr="00CE55E6" w:rsidRDefault="00CE55E6" w:rsidP="00CE55E6">
      <w:pPr>
        <w:jc w:val="both"/>
        <w:rPr>
          <w:lang w:val="es-SV"/>
        </w:rPr>
      </w:pPr>
      <w:r w:rsidRPr="00CE55E6">
        <w:rPr>
          <w:b/>
          <w:bCs/>
          <w:lang w:val="es-SV"/>
        </w:rPr>
        <w:t>VALOR  NOMINAL  MINIMO</w:t>
      </w:r>
    </w:p>
    <w:p w:rsidR="00CE55E6" w:rsidRPr="00CE55E6" w:rsidRDefault="00CE55E6" w:rsidP="00CE55E6">
      <w:pPr>
        <w:jc w:val="both"/>
        <w:rPr>
          <w:lang w:val="es-SV"/>
        </w:rPr>
      </w:pPr>
      <w:r w:rsidRPr="00CE55E6">
        <w:rPr>
          <w:b/>
          <w:bCs/>
          <w:lang w:val="es-SV"/>
        </w:rPr>
        <w:t xml:space="preserve">Art. 9- </w:t>
      </w:r>
      <w:r w:rsidRPr="00CE55E6">
        <w:rPr>
          <w:lang w:val="es-SV"/>
        </w:rPr>
        <w:t>El valor nominal de cada uno de los valores físicos de deuda, cuando se trate de valores individuales, no podrá ser inferior a US$1,000.00; asimismo, el valor nominal de los valores deberá ser un múltiplo de US$1 ,000.00.</w:t>
      </w:r>
    </w:p>
    <w:p w:rsidR="00CE55E6" w:rsidRPr="00CE55E6" w:rsidRDefault="00CE55E6" w:rsidP="00CE55E6">
      <w:pPr>
        <w:jc w:val="both"/>
        <w:rPr>
          <w:lang w:val="es-SV"/>
        </w:rPr>
      </w:pPr>
      <w:r w:rsidRPr="00CE55E6">
        <w:rPr>
          <w:lang w:val="es-SV"/>
        </w:rPr>
        <w:t>El valor nominal de los valores de deuda representados por medio de anotaciones en cuenta no podrá ser inferior a US$100.00; de igual manera, el valor nominal de dichos valores deberá ser múltiplos de US$100.00. Se exceptúan de lo dispuesto en este inciso aquellos valores que por su naturaleza no puedan negociarse en estas cantidades.</w:t>
      </w:r>
    </w:p>
    <w:p w:rsidR="00CE55E6" w:rsidRPr="00CE55E6" w:rsidRDefault="00CE55E6" w:rsidP="00CE55E6">
      <w:pPr>
        <w:jc w:val="both"/>
        <w:rPr>
          <w:lang w:val="es-SV"/>
        </w:rPr>
      </w:pPr>
      <w:r w:rsidRPr="00CE55E6">
        <w:rPr>
          <w:b/>
          <w:bCs/>
          <w:lang w:val="es-SV"/>
        </w:rPr>
        <w:t>TASA DE INTERES</w:t>
      </w:r>
    </w:p>
    <w:p w:rsidR="00CE55E6" w:rsidRPr="00CE55E6" w:rsidRDefault="00CE55E6" w:rsidP="00CE55E6">
      <w:pPr>
        <w:jc w:val="both"/>
        <w:rPr>
          <w:lang w:val="es-SV"/>
        </w:rPr>
      </w:pPr>
      <w:r w:rsidRPr="00CE55E6">
        <w:rPr>
          <w:b/>
          <w:bCs/>
          <w:lang w:val="es-SV"/>
        </w:rPr>
        <w:t xml:space="preserve">Art. 10- </w:t>
      </w:r>
      <w:r w:rsidRPr="00CE55E6">
        <w:rPr>
          <w:lang w:val="es-SV"/>
        </w:rPr>
        <w:t>Para calcular la tasa de interés de los tramos de las emisiones de valores, podrán utilizarse tasas fijas, variables, crecientes, decrecientes, tasas mínimas, máximas, o bien, podrá no establecerse el pago de tasas de interés.  En este último caso los valores únicamente se colocarán a descuento, en los otros casos quedará a discreción del emisor si coloca o no a descuento.</w:t>
      </w:r>
    </w:p>
    <w:p w:rsidR="00CE55E6" w:rsidRPr="00CE55E6" w:rsidRDefault="00CE55E6" w:rsidP="00CE55E6">
      <w:pPr>
        <w:jc w:val="both"/>
        <w:rPr>
          <w:lang w:val="es-SV"/>
        </w:rPr>
      </w:pPr>
      <w:r w:rsidRPr="00CE55E6">
        <w:rPr>
          <w:lang w:val="es-SV"/>
        </w:rPr>
        <w:t>Cuando se establezca el pago de una tasa fija, esta se mantendrá tal cual se haya establecido en la colocación, durante todo el tiempo en el cual la emisión se encuentre vigente.</w:t>
      </w:r>
    </w:p>
    <w:p w:rsidR="00CE55E6" w:rsidRPr="00CE55E6" w:rsidRDefault="00CE55E6" w:rsidP="00CE55E6">
      <w:pPr>
        <w:jc w:val="both"/>
        <w:rPr>
          <w:lang w:val="es-SV"/>
        </w:rPr>
      </w:pPr>
      <w:r w:rsidRPr="00CE55E6">
        <w:rPr>
          <w:lang w:val="es-SV"/>
        </w:rPr>
        <w:t xml:space="preserve">Cuando el emisor establezca que la tasa a emplear sea variable, podrá utilizarse la Tasa de Interés Básica Pasiva (TIBP) publicada la semana anterior a la primera negociación de cualquier tramo o de su reajuste, por el Banco Central de Reserva de El Salvador, o la entidad a quien le  correspondiese, en un periódico de circulación nacional. La TIBP que se aplique corresponderá a la </w:t>
      </w:r>
      <w:r w:rsidRPr="00CE55E6">
        <w:rPr>
          <w:lang w:val="es-SV"/>
        </w:rPr>
        <w:lastRenderedPageBreak/>
        <w:t>periodicidad de los reajustes así: si se reajustará semestralmente, deberá utilizarse la TIBP para depósitos a seis meses, si se reajustará cada tres meses, deberá utilizarse la TIBP para depósitos a tres meses, y así sucesivamente.</w:t>
      </w:r>
    </w:p>
    <w:p w:rsidR="00CE55E6" w:rsidRPr="00CE55E6" w:rsidRDefault="00CE55E6" w:rsidP="00CE55E6">
      <w:pPr>
        <w:jc w:val="both"/>
        <w:rPr>
          <w:lang w:val="es-SV"/>
        </w:rPr>
      </w:pPr>
      <w:r w:rsidRPr="00CE55E6">
        <w:rPr>
          <w:lang w:val="es-SV"/>
        </w:rPr>
        <w:t xml:space="preserve">Asimismo, también se podrá utilizar, para el cálculo de la tasa de interés, la Tasa London </w:t>
      </w:r>
      <w:proofErr w:type="spellStart"/>
      <w:r w:rsidRPr="00CE55E6">
        <w:rPr>
          <w:lang w:val="es-SV"/>
        </w:rPr>
        <w:t>Interbank</w:t>
      </w:r>
      <w:proofErr w:type="spellEnd"/>
      <w:r w:rsidRPr="00CE55E6">
        <w:rPr>
          <w:lang w:val="es-SV"/>
        </w:rPr>
        <w:t xml:space="preserve"> </w:t>
      </w:r>
      <w:proofErr w:type="spellStart"/>
      <w:r w:rsidRPr="00CE55E6">
        <w:rPr>
          <w:lang w:val="es-SV"/>
        </w:rPr>
        <w:t>Offered</w:t>
      </w:r>
      <w:proofErr w:type="spellEnd"/>
      <w:r w:rsidRPr="00CE55E6">
        <w:rPr>
          <w:lang w:val="es-SV"/>
        </w:rPr>
        <w:t xml:space="preserve"> </w:t>
      </w:r>
      <w:proofErr w:type="spellStart"/>
      <w:r w:rsidRPr="00CE55E6">
        <w:rPr>
          <w:lang w:val="es-SV"/>
        </w:rPr>
        <w:t>Rate</w:t>
      </w:r>
      <w:proofErr w:type="spellEnd"/>
      <w:r w:rsidRPr="00CE55E6">
        <w:rPr>
          <w:lang w:val="es-SV"/>
        </w:rPr>
        <w:t xml:space="preserve"> (LIBOR) publicada por </w:t>
      </w:r>
      <w:proofErr w:type="spellStart"/>
      <w:r w:rsidRPr="00CE55E6">
        <w:rPr>
          <w:lang w:val="es-SV"/>
        </w:rPr>
        <w:t>Barclay´s</w:t>
      </w:r>
      <w:proofErr w:type="spellEnd"/>
      <w:r w:rsidRPr="00CE55E6">
        <w:rPr>
          <w:lang w:val="es-SV"/>
        </w:rPr>
        <w:t xml:space="preserve"> Bank, la Tasa LIBOR publicada por </w:t>
      </w:r>
      <w:proofErr w:type="spellStart"/>
      <w:r w:rsidRPr="00CE55E6">
        <w:rPr>
          <w:lang w:val="es-SV"/>
        </w:rPr>
        <w:t>Citibank</w:t>
      </w:r>
      <w:proofErr w:type="spellEnd"/>
      <w:r w:rsidRPr="00CE55E6">
        <w:rPr>
          <w:lang w:val="es-SV"/>
        </w:rPr>
        <w:t xml:space="preserve"> o la Tasa LIBOR publicada por la British </w:t>
      </w:r>
      <w:proofErr w:type="spellStart"/>
      <w:r w:rsidRPr="00CE55E6">
        <w:rPr>
          <w:lang w:val="es-SV"/>
        </w:rPr>
        <w:t>Bankers</w:t>
      </w:r>
      <w:proofErr w:type="spellEnd"/>
      <w:r w:rsidRPr="00CE55E6">
        <w:rPr>
          <w:lang w:val="es-SV"/>
        </w:rPr>
        <w:t xml:space="preserve">´ </w:t>
      </w:r>
      <w:proofErr w:type="spellStart"/>
      <w:r w:rsidRPr="00CE55E6">
        <w:rPr>
          <w:lang w:val="es-SV"/>
        </w:rPr>
        <w:t>Association</w:t>
      </w:r>
      <w:proofErr w:type="spellEnd"/>
      <w:r w:rsidRPr="00CE55E6">
        <w:rPr>
          <w:lang w:val="es-SV"/>
        </w:rPr>
        <w:t>. En estos casos, la tasa de interés de cada tramo y los reajustes, se calcularán sobre la base de la Tasa LIBOR correspondiente, publicada el día miércoles de la semana anterior a la primera negociación de cualquier tramo o al reajuste.</w:t>
      </w:r>
    </w:p>
    <w:p w:rsidR="00CE55E6" w:rsidRPr="00CE55E6" w:rsidRDefault="00CE55E6" w:rsidP="00CE55E6">
      <w:pPr>
        <w:jc w:val="both"/>
        <w:rPr>
          <w:lang w:val="es-SV"/>
        </w:rPr>
      </w:pPr>
      <w:r w:rsidRPr="00CE55E6">
        <w:rPr>
          <w:lang w:val="es-SV"/>
        </w:rPr>
        <w:t>La Tasa LIBOR que se aplique corresponderá a la periodicidad de los reajustes, de la siguiente manera: si se reajustará semestralmente, deberá utilizarse la Tasa LIBOR para depósitos a seis meses, si se reajustará cada tres meses, deberá utilizarse la Tasa LIBOR para depósitos a tres meses, y así sucesivamente.</w:t>
      </w:r>
    </w:p>
    <w:p w:rsidR="00CE55E6" w:rsidRPr="00CE55E6" w:rsidRDefault="00CE55E6" w:rsidP="00CE55E6">
      <w:pPr>
        <w:jc w:val="both"/>
        <w:rPr>
          <w:lang w:val="es-SV"/>
        </w:rPr>
      </w:pPr>
      <w:r w:rsidRPr="00CE55E6">
        <w:rPr>
          <w:lang w:val="es-SV"/>
        </w:rPr>
        <w:t>No obstante lo anterior, cuando un emisor desee utilizar una tasa base de reajuste distinta a las referidas en el presente artículo o alguna de esas mismas tasas pero publicada por un sujeto distinto a los mencionados en este artículo, el emisor deberá solicitar autorización para ello a la Junta Directiva de la Bolsa de Valores. La Junta Directiva, o a quién está delegue, autorizará lo anterior, previa verificación de la viabilidad de la tasa en los sistemas informáticos de la Bolsa y la regulación pertinente.</w:t>
      </w:r>
    </w:p>
    <w:p w:rsidR="00CE55E6" w:rsidRPr="00CE55E6" w:rsidRDefault="00CE55E6" w:rsidP="00CE55E6">
      <w:pPr>
        <w:jc w:val="both"/>
        <w:rPr>
          <w:lang w:val="es-SV"/>
        </w:rPr>
      </w:pPr>
      <w:r w:rsidRPr="00CE55E6">
        <w:rPr>
          <w:lang w:val="es-SV"/>
        </w:rPr>
        <w:t>En todos los casos, cuando el Banco Central de Reserva de El Salvador, o la entidad a quien correspondiese, no hubiese publicado la TIBP, la LIBOR o la tasa e que se trate, de acuerdo a la periodicidad establecidas al momento de la colocación, se utilizará la tasa inmediata anterior a la primera negociación o de la fecha del reajuste, según corresponda.</w:t>
      </w:r>
    </w:p>
    <w:p w:rsidR="00CE55E6" w:rsidRPr="00CE55E6" w:rsidRDefault="00CE55E6" w:rsidP="00CE55E6">
      <w:pPr>
        <w:jc w:val="both"/>
        <w:rPr>
          <w:lang w:val="es-SV"/>
        </w:rPr>
      </w:pPr>
      <w:r w:rsidRPr="00CE55E6">
        <w:rPr>
          <w:lang w:val="es-SV"/>
        </w:rPr>
        <w:t>Sin excepción, las condiciones y opciones particulares determinadas por el emisor para establecer la tasa de interés, deberán especificarse en al aviso de colocación y en la respectiva publicación que realice la colocación de la emisión. Para que un emisor pueda utilizar cualquiera de las opciones contempladas en este artículo deberá haberlo previsto así en las características de la emisión especificadas en el prospecto de emisión.</w:t>
      </w:r>
    </w:p>
    <w:p w:rsidR="00CE55E6" w:rsidRPr="00CE55E6" w:rsidRDefault="00CE55E6" w:rsidP="00CE55E6">
      <w:pPr>
        <w:jc w:val="both"/>
        <w:rPr>
          <w:lang w:val="es-SV"/>
        </w:rPr>
      </w:pPr>
      <w:r w:rsidRPr="00CE55E6">
        <w:rPr>
          <w:lang w:val="es-SV"/>
        </w:rPr>
        <w:t>Para los efectos de este artículo la semana se considera de lunes a domingo.</w:t>
      </w:r>
    </w:p>
    <w:p w:rsidR="00CE55E6" w:rsidRPr="00CE55E6" w:rsidRDefault="00CE55E6" w:rsidP="00CE55E6">
      <w:pPr>
        <w:jc w:val="both"/>
        <w:rPr>
          <w:lang w:val="es-SV"/>
        </w:rPr>
      </w:pPr>
      <w:r w:rsidRPr="00CE55E6">
        <w:rPr>
          <w:b/>
          <w:bCs/>
          <w:lang w:val="es-SV"/>
        </w:rPr>
        <w:t>REAJUSTE DE TASA</w:t>
      </w:r>
    </w:p>
    <w:p w:rsidR="00CE55E6" w:rsidRPr="00CE55E6" w:rsidRDefault="00CE55E6" w:rsidP="00CE55E6">
      <w:pPr>
        <w:jc w:val="both"/>
        <w:rPr>
          <w:lang w:val="es-SV"/>
        </w:rPr>
      </w:pPr>
      <w:r w:rsidRPr="00CE55E6">
        <w:rPr>
          <w:b/>
          <w:bCs/>
          <w:lang w:val="es-SV"/>
        </w:rPr>
        <w:t xml:space="preserve">Art. 11- </w:t>
      </w:r>
      <w:r w:rsidRPr="00CE55E6">
        <w:rPr>
          <w:lang w:val="es-SV"/>
        </w:rPr>
        <w:t>Si la tasa de interés es reajustable, el emisor deberá comunicar la nueva tasa por medio electrónico a la Bolsa y a la Superintendencia, a más tardar el día hábil antes del reajuste, especificando el cálculo de la tasa de referencia y la sobretasa. A esta notificación se deberá adjuntar una copia de la publicación que fue base para el reajuste.</w:t>
      </w:r>
    </w:p>
    <w:p w:rsidR="00CE55E6" w:rsidRPr="00CE55E6" w:rsidRDefault="00CE55E6" w:rsidP="00CE55E6">
      <w:pPr>
        <w:jc w:val="both"/>
        <w:rPr>
          <w:lang w:val="es-SV"/>
        </w:rPr>
      </w:pPr>
      <w:r w:rsidRPr="00CE55E6">
        <w:rPr>
          <w:lang w:val="es-SV"/>
        </w:rPr>
        <w:lastRenderedPageBreak/>
        <w:t>El mismo día en que el emisor notifique el reajuste de la tasa a la Bolsa de Valores y a la Superintendencia, deberá publicarlo en su página web y comunicarlo a las Casas de Corredores de Bolsa.</w:t>
      </w:r>
    </w:p>
    <w:p w:rsidR="00CE55E6" w:rsidRPr="00CE55E6" w:rsidRDefault="00CE55E6" w:rsidP="00CE55E6">
      <w:pPr>
        <w:jc w:val="both"/>
        <w:rPr>
          <w:lang w:val="es-SV"/>
        </w:rPr>
      </w:pPr>
      <w:r w:rsidRPr="00CE55E6">
        <w:rPr>
          <w:b/>
          <w:bCs/>
          <w:lang w:val="es-SV"/>
        </w:rPr>
        <w:t>SOBRETASA</w:t>
      </w:r>
    </w:p>
    <w:p w:rsidR="00CE55E6" w:rsidRPr="00CE55E6" w:rsidRDefault="00CE55E6" w:rsidP="00CE55E6">
      <w:pPr>
        <w:jc w:val="both"/>
        <w:rPr>
          <w:lang w:val="es-SV"/>
        </w:rPr>
      </w:pPr>
      <w:r w:rsidRPr="00CE55E6">
        <w:rPr>
          <w:b/>
          <w:bCs/>
          <w:lang w:val="es-SV"/>
        </w:rPr>
        <w:t xml:space="preserve">Art. 12- </w:t>
      </w:r>
      <w:r w:rsidRPr="00CE55E6">
        <w:rPr>
          <w:lang w:val="es-SV"/>
        </w:rPr>
        <w:t>La sobretasa la fijarán libremente los emisores al momento de colocar la emisión en mercado primario y será fija durante todo el plazo de vigencia de los valores que componen el tramo.</w:t>
      </w:r>
    </w:p>
    <w:p w:rsidR="00CE55E6" w:rsidRPr="00CE55E6" w:rsidRDefault="00CE55E6" w:rsidP="00F02197">
      <w:pPr>
        <w:jc w:val="center"/>
        <w:rPr>
          <w:lang w:val="es-SV"/>
        </w:rPr>
      </w:pPr>
      <w:r w:rsidRPr="00CE55E6">
        <w:rPr>
          <w:b/>
          <w:bCs/>
          <w:lang w:val="es-SV"/>
        </w:rPr>
        <w:t>CAPITULO IV</w:t>
      </w:r>
    </w:p>
    <w:p w:rsidR="00F02197" w:rsidRDefault="00CE55E6" w:rsidP="00F02197">
      <w:pPr>
        <w:jc w:val="center"/>
        <w:rPr>
          <w:b/>
          <w:bCs/>
          <w:lang w:val="es-SV"/>
        </w:rPr>
      </w:pPr>
      <w:r w:rsidRPr="00CE55E6">
        <w:rPr>
          <w:b/>
          <w:bCs/>
          <w:lang w:val="es-SV"/>
        </w:rPr>
        <w:t xml:space="preserve">MANEJO  DE LAS GARANTÍAS DE LAS EMISIONES </w:t>
      </w:r>
    </w:p>
    <w:p w:rsidR="00CE55E6" w:rsidRPr="00CE55E6" w:rsidRDefault="00CE55E6" w:rsidP="00F02197">
      <w:pPr>
        <w:rPr>
          <w:lang w:val="es-SV"/>
        </w:rPr>
      </w:pPr>
      <w:r w:rsidRPr="00CE55E6">
        <w:rPr>
          <w:b/>
          <w:bCs/>
          <w:lang w:val="es-SV"/>
        </w:rPr>
        <w:t>OBLIGACIÓN DE MANTENER LA GARANTÍA</w:t>
      </w:r>
    </w:p>
    <w:p w:rsidR="00CE55E6" w:rsidRPr="00CE55E6" w:rsidRDefault="00CE55E6" w:rsidP="00CE55E6">
      <w:pPr>
        <w:jc w:val="both"/>
        <w:rPr>
          <w:lang w:val="es-SV"/>
        </w:rPr>
      </w:pPr>
      <w:r w:rsidRPr="00CE55E6">
        <w:rPr>
          <w:b/>
          <w:bCs/>
          <w:lang w:val="es-SV"/>
        </w:rPr>
        <w:t xml:space="preserve">Art. </w:t>
      </w:r>
      <w:r w:rsidRPr="00CE55E6">
        <w:rPr>
          <w:b/>
          <w:lang w:val="es-SV"/>
        </w:rPr>
        <w:t>13-</w:t>
      </w:r>
      <w:r w:rsidRPr="00CE55E6">
        <w:rPr>
          <w:lang w:val="es-SV"/>
        </w:rPr>
        <w:t xml:space="preserve"> Todo emisor se encuentra obligado a mantener vigente la garantía de la emisión, en la proporción y calidad con que se comprometió a respaldar los valores emitidos en la escritura respectiva, hasta el pago total de la emisión. En todo caso, cuando la garantía consista en valores, no podrán garantizarse un monto superior a su precio de referencia o valor nominal de los valores dados en garantía, tomando como referencia el menor entre ambos.</w:t>
      </w:r>
    </w:p>
    <w:p w:rsidR="00CE55E6" w:rsidRPr="00CE55E6" w:rsidRDefault="00CE55E6" w:rsidP="00CE55E6">
      <w:pPr>
        <w:jc w:val="both"/>
        <w:rPr>
          <w:lang w:val="es-SV"/>
        </w:rPr>
      </w:pPr>
      <w:r w:rsidRPr="00CE55E6">
        <w:rPr>
          <w:lang w:val="es-SV"/>
        </w:rPr>
        <w:t>El  precio  de  referencia  se  calculará  de  conformidad  con  el  Instructivo   de</w:t>
      </w:r>
      <w:r>
        <w:rPr>
          <w:lang w:val="es-SV"/>
        </w:rPr>
        <w:t xml:space="preserve"> </w:t>
      </w:r>
      <w:r w:rsidRPr="00CE55E6">
        <w:rPr>
          <w:lang w:val="es-SV"/>
        </w:rPr>
        <w:t>Operatividad  Bursátil.</w:t>
      </w:r>
    </w:p>
    <w:p w:rsidR="00CE55E6" w:rsidRPr="00CE55E6" w:rsidRDefault="00CE55E6" w:rsidP="00CE55E6">
      <w:pPr>
        <w:jc w:val="both"/>
        <w:rPr>
          <w:lang w:val="es-SV"/>
        </w:rPr>
      </w:pPr>
      <w:r w:rsidRPr="00CE55E6">
        <w:rPr>
          <w:b/>
          <w:bCs/>
          <w:lang w:val="es-SV"/>
        </w:rPr>
        <w:t>OBLIGACIÓN DE INFORMAR VARIACIONES DE LAS GARANTÍAS</w:t>
      </w:r>
    </w:p>
    <w:p w:rsidR="00CE55E6" w:rsidRPr="00CE55E6" w:rsidRDefault="00CE55E6" w:rsidP="00CE55E6">
      <w:pPr>
        <w:jc w:val="both"/>
        <w:rPr>
          <w:lang w:val="es-SV"/>
        </w:rPr>
      </w:pPr>
      <w:r w:rsidRPr="00CE55E6">
        <w:rPr>
          <w:b/>
          <w:bCs/>
          <w:lang w:val="es-SV"/>
        </w:rPr>
        <w:t xml:space="preserve">Art. 14- </w:t>
      </w:r>
      <w:r w:rsidRPr="00CE55E6">
        <w:rPr>
          <w:lang w:val="es-SV"/>
        </w:rPr>
        <w:t>Los emisores están obligados a Informar a la Bolsa de Valores cualquier variación o cambio en la garantía que respalda una emisión, mensualmente, dentro de los primeros diez días hábiles de cada mes.</w:t>
      </w:r>
    </w:p>
    <w:p w:rsidR="00CE55E6" w:rsidRPr="00CE55E6" w:rsidRDefault="00CE55E6" w:rsidP="00CE55E6">
      <w:pPr>
        <w:jc w:val="both"/>
        <w:rPr>
          <w:lang w:val="es-SV"/>
        </w:rPr>
      </w:pPr>
      <w:r w:rsidRPr="00CE55E6">
        <w:rPr>
          <w:lang w:val="es-SV"/>
        </w:rPr>
        <w:t>Cuando un emisor proporcione información falsa, se niegue a proporcionar información o no la proporcione dentro del plazo que la Bolsa de Valores le establezca, la Bolsa podrá suspender la negociación de los valores correspondientes hasta que se regularice la situación.</w:t>
      </w:r>
    </w:p>
    <w:p w:rsidR="00CE55E6" w:rsidRPr="00CE55E6" w:rsidRDefault="00CE55E6" w:rsidP="00CE55E6">
      <w:pPr>
        <w:jc w:val="both"/>
        <w:rPr>
          <w:lang w:val="es-SV"/>
        </w:rPr>
      </w:pPr>
      <w:r w:rsidRPr="00CE55E6">
        <w:rPr>
          <w:b/>
          <w:bCs/>
          <w:lang w:val="es-SV"/>
        </w:rPr>
        <w:t>DISMINUCIÓN DE LA GARANTÍA</w:t>
      </w:r>
    </w:p>
    <w:p w:rsidR="00CE55E6" w:rsidRPr="00CE55E6" w:rsidRDefault="00CE55E6" w:rsidP="00CE55E6">
      <w:pPr>
        <w:jc w:val="both"/>
        <w:rPr>
          <w:lang w:val="es-SV"/>
        </w:rPr>
      </w:pPr>
      <w:r w:rsidRPr="00CE55E6">
        <w:rPr>
          <w:b/>
          <w:bCs/>
          <w:lang w:val="es-SV"/>
        </w:rPr>
        <w:t xml:space="preserve">Art. 15- </w:t>
      </w:r>
      <w:r w:rsidRPr="00CE55E6">
        <w:rPr>
          <w:lang w:val="es-SV"/>
        </w:rPr>
        <w:t>Si los bienes dados en garantía sufriesen deterioro en su calidad o cantidad de forma que no alcanzare a cubrir el monto garantizado, deberán ser sustituidos de inmediato por el emisor por bienes que llenen las características de la garantía que se comprometió a mantener vigente durante la emisión. Cuando los bienes dados en garantía sean valores, sin perjuicio de otro tipo de deterioro en su calidad o cantidad, se considerará que han sufrido deterioro siempre que su precio de referencia sea inferior a su valor nominal, en estos casos el emisor deberá, de inmediato, constituir garantía adicional, hasta cubrir el monto garantizado.</w:t>
      </w:r>
    </w:p>
    <w:p w:rsidR="00CE55E6" w:rsidRPr="00CE55E6" w:rsidRDefault="00CE55E6" w:rsidP="00CE55E6">
      <w:pPr>
        <w:jc w:val="both"/>
        <w:rPr>
          <w:lang w:val="es-SV"/>
        </w:rPr>
      </w:pPr>
      <w:r w:rsidRPr="00CE55E6">
        <w:rPr>
          <w:lang w:val="es-SV"/>
        </w:rPr>
        <w:lastRenderedPageBreak/>
        <w:t>En caso que el emisor no pueda hacer la sustitución de que se habla en el párrafo anterior, deberá otorgar a más tardar dentro de cinco días hábiles, otro tipo de garantía de igual valor a la ofrecida en la escritura de emisión, mientras se subsana a la brevedad posible el problema que le impide dar la garantía que originalmente se obligó a mantener.</w:t>
      </w:r>
    </w:p>
    <w:p w:rsidR="00CE55E6" w:rsidRPr="00CE55E6" w:rsidRDefault="00CE55E6" w:rsidP="00CE55E6">
      <w:pPr>
        <w:jc w:val="both"/>
        <w:rPr>
          <w:lang w:val="es-SV"/>
        </w:rPr>
      </w:pPr>
      <w:r w:rsidRPr="00CE55E6">
        <w:rPr>
          <w:lang w:val="es-SV"/>
        </w:rPr>
        <w:t>La garantía de que se habla en el inciso anterior podrá consistir en hipotecas, prendas, fianza, cheque certificado o valores emitido s por el Estado de El Salvador o el Banco Central; asimismo, podrá consistir en valores de oferta pública emitid os por otros emisores, públicos o privados, con calificación de riesgo no menor de "AA".</w:t>
      </w:r>
    </w:p>
    <w:p w:rsidR="00CE55E6" w:rsidRPr="00CE55E6" w:rsidRDefault="00CE55E6" w:rsidP="00CE55E6">
      <w:pPr>
        <w:jc w:val="both"/>
        <w:rPr>
          <w:lang w:val="es-SV"/>
        </w:rPr>
      </w:pPr>
      <w:r w:rsidRPr="00CE55E6">
        <w:rPr>
          <w:lang w:val="es-SV"/>
        </w:rPr>
        <w:t>Para efectos de este artículo se entenderá por precio de referencia, lo establecido en el Instructivo de Operatividad Bursátil.</w:t>
      </w:r>
    </w:p>
    <w:p w:rsidR="00CE55E6" w:rsidRPr="00CE55E6" w:rsidRDefault="00CE55E6" w:rsidP="00CE55E6">
      <w:pPr>
        <w:jc w:val="both"/>
        <w:rPr>
          <w:lang w:val="es-SV"/>
        </w:rPr>
      </w:pPr>
      <w:r w:rsidRPr="00CE55E6">
        <w:rPr>
          <w:b/>
          <w:bCs/>
          <w:lang w:val="es-SV"/>
        </w:rPr>
        <w:t>INCUMPLIMIENTOS  A LA OBLIGACIÓN DE SUSTITUIR LA GARANTIA</w:t>
      </w:r>
    </w:p>
    <w:p w:rsidR="00CE55E6" w:rsidRPr="00CE55E6" w:rsidRDefault="00CE55E6" w:rsidP="00CE55E6">
      <w:pPr>
        <w:jc w:val="both"/>
        <w:rPr>
          <w:lang w:val="es-SV"/>
        </w:rPr>
      </w:pPr>
      <w:r w:rsidRPr="00CE55E6">
        <w:rPr>
          <w:b/>
          <w:bCs/>
          <w:lang w:val="es-SV"/>
        </w:rPr>
        <w:t xml:space="preserve">Art. 16- </w:t>
      </w:r>
      <w:r w:rsidRPr="00CE55E6">
        <w:rPr>
          <w:lang w:val="es-SV"/>
        </w:rPr>
        <w:t>Si el emisor no hiciere la sustitución o no otorgase otro tipo de garantía en la forma y plazo que regula el artículo anterior, la Bolsa de Valores suspenderá la negociación de los valores correspondientes hasta que se otorgue la garantía correspondiente e informará a la Superintendencia del Sistema Financiero.</w:t>
      </w:r>
    </w:p>
    <w:p w:rsidR="00CE55E6" w:rsidRPr="00CE55E6" w:rsidRDefault="00CE55E6" w:rsidP="00CE55E6">
      <w:pPr>
        <w:jc w:val="center"/>
        <w:rPr>
          <w:b/>
          <w:bCs/>
          <w:lang w:val="es-SV"/>
        </w:rPr>
      </w:pPr>
      <w:r w:rsidRPr="00CE55E6">
        <w:rPr>
          <w:b/>
          <w:bCs/>
          <w:lang w:val="es-SV"/>
        </w:rPr>
        <w:t>TÍTULO SEGUNDO</w:t>
      </w:r>
    </w:p>
    <w:p w:rsidR="00CE55E6" w:rsidRPr="00CE55E6" w:rsidRDefault="00CE55E6" w:rsidP="00CE55E6">
      <w:pPr>
        <w:jc w:val="center"/>
        <w:rPr>
          <w:lang w:val="es-SV"/>
        </w:rPr>
      </w:pPr>
      <w:r w:rsidRPr="00CE55E6">
        <w:rPr>
          <w:b/>
          <w:bCs/>
          <w:lang w:val="es-SV"/>
        </w:rPr>
        <w:t>CAPITULO I</w:t>
      </w:r>
    </w:p>
    <w:p w:rsidR="00CE55E6" w:rsidRPr="00CE55E6" w:rsidRDefault="00CE55E6" w:rsidP="00CE55E6">
      <w:pPr>
        <w:jc w:val="center"/>
        <w:rPr>
          <w:lang w:val="es-SV"/>
        </w:rPr>
      </w:pPr>
      <w:r w:rsidRPr="00CE55E6">
        <w:rPr>
          <w:b/>
          <w:bCs/>
          <w:lang w:val="es-SV"/>
        </w:rPr>
        <w:t>VALORES  BURSÁTILES</w:t>
      </w:r>
    </w:p>
    <w:p w:rsidR="00CE55E6" w:rsidRPr="00CE55E6" w:rsidRDefault="00CE55E6" w:rsidP="00CE55E6">
      <w:pPr>
        <w:jc w:val="both"/>
        <w:rPr>
          <w:lang w:val="es-SV"/>
        </w:rPr>
      </w:pPr>
      <w:r w:rsidRPr="00CE55E6">
        <w:rPr>
          <w:b/>
          <w:bCs/>
          <w:lang w:val="es-SV"/>
        </w:rPr>
        <w:t xml:space="preserve">Art. 17- </w:t>
      </w:r>
      <w:r w:rsidRPr="00CE55E6">
        <w:rPr>
          <w:lang w:val="es-SV"/>
        </w:rPr>
        <w:t xml:space="preserve">Sin perjuicio de los valores individuales que emitan los bancos, de conformidad al artículo 4 de la Ley del Mercado de Valores, y de los valores consagrados por el uso y costumbre bursátil  que sean distintos a los contemplados en este Título, a través de la Bolsa únicamente podrán emitirse y negociarse los valores descritos en el presente Título, como valores representados por anotaciones electrónicas en cuenta y como valores físicos o </w:t>
      </w:r>
      <w:proofErr w:type="spellStart"/>
      <w:r w:rsidRPr="00CE55E6">
        <w:rPr>
          <w:lang w:val="es-SV"/>
        </w:rPr>
        <w:t>títulosvalores</w:t>
      </w:r>
      <w:proofErr w:type="spellEnd"/>
      <w:r w:rsidRPr="00CE55E6">
        <w:rPr>
          <w:lang w:val="es-SV"/>
        </w:rPr>
        <w:t>, cuando la Ley lo permita.</w:t>
      </w:r>
    </w:p>
    <w:p w:rsidR="00CE55E6" w:rsidRPr="00CE55E6" w:rsidRDefault="00CE55E6" w:rsidP="00CE55E6">
      <w:pPr>
        <w:jc w:val="both"/>
        <w:rPr>
          <w:lang w:val="es-SV"/>
        </w:rPr>
      </w:pPr>
      <w:r w:rsidRPr="00CE55E6">
        <w:rPr>
          <w:lang w:val="es-SV"/>
        </w:rPr>
        <w:t>Para la inscripción en la Bolsa de Valores se deberá dar cumplimiento a lo regulado en la Ley del Mercado de Valores y demás normativa aplicable, según corresponda a la naturaleza de cada valor.</w:t>
      </w:r>
    </w:p>
    <w:p w:rsidR="00CE55E6" w:rsidRDefault="00CE55E6" w:rsidP="00CE55E6">
      <w:pPr>
        <w:jc w:val="both"/>
        <w:rPr>
          <w:lang w:val="es-SV"/>
        </w:rPr>
      </w:pPr>
      <w:r w:rsidRPr="00CE55E6">
        <w:rPr>
          <w:lang w:val="es-SV"/>
        </w:rPr>
        <w:t>Para los efectos de este título, se entenderá:</w:t>
      </w:r>
    </w:p>
    <w:p w:rsidR="00CE55E6" w:rsidRDefault="00CE55E6" w:rsidP="00CE55E6">
      <w:pPr>
        <w:pStyle w:val="Prrafodelista"/>
        <w:numPr>
          <w:ilvl w:val="0"/>
          <w:numId w:val="12"/>
        </w:numPr>
        <w:ind w:left="425" w:hanging="425"/>
        <w:jc w:val="both"/>
        <w:rPr>
          <w:lang w:val="es-SV"/>
        </w:rPr>
      </w:pPr>
      <w:r w:rsidRPr="00CE55E6">
        <w:rPr>
          <w:lang w:val="es-SV"/>
        </w:rPr>
        <w:t>Por corto plazo: hasta 1 año.</w:t>
      </w:r>
    </w:p>
    <w:p w:rsidR="00CE55E6" w:rsidRDefault="00CE55E6" w:rsidP="00CE55E6">
      <w:pPr>
        <w:pStyle w:val="Prrafodelista"/>
        <w:numPr>
          <w:ilvl w:val="0"/>
          <w:numId w:val="12"/>
        </w:numPr>
        <w:ind w:left="425" w:hanging="425"/>
        <w:jc w:val="both"/>
        <w:rPr>
          <w:lang w:val="es-SV"/>
        </w:rPr>
      </w:pPr>
      <w:r w:rsidRPr="00CE55E6">
        <w:rPr>
          <w:lang w:val="es-SV"/>
        </w:rPr>
        <w:t>Por mediano plazo: más de 1 año hasta 5 años.</w:t>
      </w:r>
    </w:p>
    <w:p w:rsidR="00CE55E6" w:rsidRPr="00CE55E6" w:rsidRDefault="00CE55E6" w:rsidP="00CE55E6">
      <w:pPr>
        <w:pStyle w:val="Prrafodelista"/>
        <w:numPr>
          <w:ilvl w:val="0"/>
          <w:numId w:val="12"/>
        </w:numPr>
        <w:ind w:left="425" w:hanging="425"/>
        <w:jc w:val="both"/>
        <w:rPr>
          <w:lang w:val="es-SV"/>
        </w:rPr>
      </w:pPr>
      <w:r w:rsidRPr="00CE55E6">
        <w:rPr>
          <w:lang w:val="es-SV"/>
        </w:rPr>
        <w:t>Por largo plazo: más de 5 años.</w:t>
      </w:r>
    </w:p>
    <w:p w:rsidR="00CE55E6" w:rsidRPr="00CE55E6" w:rsidRDefault="00CE55E6" w:rsidP="00CE55E6">
      <w:pPr>
        <w:jc w:val="center"/>
        <w:rPr>
          <w:b/>
          <w:bCs/>
          <w:lang w:val="es-SV"/>
        </w:rPr>
      </w:pPr>
      <w:r w:rsidRPr="00CE55E6">
        <w:rPr>
          <w:b/>
          <w:bCs/>
          <w:lang w:val="es-SV"/>
        </w:rPr>
        <w:t>CAPÍTULO  II</w:t>
      </w:r>
    </w:p>
    <w:p w:rsidR="00CE55E6" w:rsidRPr="00CE55E6" w:rsidRDefault="00CE55E6" w:rsidP="00CE55E6">
      <w:pPr>
        <w:jc w:val="center"/>
        <w:rPr>
          <w:lang w:val="es-SV"/>
        </w:rPr>
      </w:pPr>
      <w:r w:rsidRPr="00CE55E6">
        <w:rPr>
          <w:b/>
          <w:bCs/>
          <w:lang w:val="es-SV"/>
        </w:rPr>
        <w:lastRenderedPageBreak/>
        <w:t>CERTIFICADOS  DE INVERSION</w:t>
      </w:r>
    </w:p>
    <w:p w:rsidR="00CE55E6" w:rsidRPr="00CE55E6" w:rsidRDefault="00CE55E6" w:rsidP="00CE55E6">
      <w:pPr>
        <w:jc w:val="both"/>
        <w:rPr>
          <w:lang w:val="es-SV"/>
        </w:rPr>
      </w:pPr>
      <w:r w:rsidRPr="00CE55E6">
        <w:rPr>
          <w:b/>
          <w:bCs/>
          <w:lang w:val="es-SV"/>
        </w:rPr>
        <w:t>DEFINICIÓN  DE CERTIFICADOS  DE INVERSIÓN</w:t>
      </w:r>
    </w:p>
    <w:p w:rsidR="00CE55E6" w:rsidRDefault="00CE55E6" w:rsidP="00CE55E6">
      <w:pPr>
        <w:jc w:val="both"/>
        <w:rPr>
          <w:lang w:val="es-SV"/>
        </w:rPr>
      </w:pPr>
      <w:r w:rsidRPr="00CE55E6">
        <w:rPr>
          <w:b/>
          <w:bCs/>
          <w:lang w:val="es-SV"/>
        </w:rPr>
        <w:t xml:space="preserve">Art. 18- </w:t>
      </w:r>
      <w:r w:rsidRPr="00CE55E6">
        <w:rPr>
          <w:lang w:val="es-SV"/>
        </w:rPr>
        <w:t>Son valores representados por anotaciones electrónicas en cuenta, que representan la participación individual del tenedor en un crédito colectivo a cargo del emisor.</w:t>
      </w:r>
    </w:p>
    <w:p w:rsidR="00CE55E6" w:rsidRPr="00CE55E6" w:rsidRDefault="00CE55E6" w:rsidP="00CE55E6">
      <w:pPr>
        <w:jc w:val="both"/>
        <w:rPr>
          <w:lang w:val="es-SV"/>
        </w:rPr>
      </w:pPr>
      <w:r w:rsidRPr="00CE55E6">
        <w:rPr>
          <w:lang w:val="es-SV"/>
        </w:rPr>
        <w:t>Los Certificados de Inversión pueden ser emitidos a corto, mediano o largo plazo, por bancos e instituciones de crédito o cualquier tipo de persona jurídica, Municipios o Instituciones Autónomas.</w:t>
      </w:r>
    </w:p>
    <w:p w:rsidR="00CE55E6" w:rsidRPr="00CE55E6" w:rsidRDefault="00CE55E6" w:rsidP="00CE55E6">
      <w:pPr>
        <w:jc w:val="both"/>
        <w:rPr>
          <w:lang w:val="es-SV"/>
        </w:rPr>
      </w:pPr>
      <w:r w:rsidRPr="00CE55E6">
        <w:rPr>
          <w:lang w:val="es-SV"/>
        </w:rPr>
        <w:t>Podrán emitirse Certificados de Inversión sin garantía específica. También podrán estar   garantizados   y/o   respaldados   con   carteras   de   créditos   hipotecarios, hipotecas, prenda, y/o cualquier otro tipo de garantía, mecanismo de</w:t>
      </w:r>
      <w:r>
        <w:rPr>
          <w:lang w:val="es-SV"/>
        </w:rPr>
        <w:t xml:space="preserve"> </w:t>
      </w:r>
      <w:r w:rsidRPr="00CE55E6">
        <w:rPr>
          <w:lang w:val="es-SV"/>
        </w:rPr>
        <w:t>aseguramiento  o  cobertura financiera.</w:t>
      </w:r>
    </w:p>
    <w:p w:rsidR="00CE55E6" w:rsidRPr="00CE55E6" w:rsidRDefault="00CE55E6" w:rsidP="00CE55E6">
      <w:pPr>
        <w:jc w:val="center"/>
        <w:rPr>
          <w:b/>
          <w:bCs/>
          <w:lang w:val="es-SV"/>
        </w:rPr>
      </w:pPr>
      <w:r w:rsidRPr="00CE55E6">
        <w:rPr>
          <w:b/>
          <w:bCs/>
          <w:lang w:val="es-SV"/>
        </w:rPr>
        <w:t>CAPÍTULO III</w:t>
      </w:r>
    </w:p>
    <w:p w:rsidR="00CE55E6" w:rsidRPr="00CE55E6" w:rsidRDefault="00CE55E6" w:rsidP="00CE55E6">
      <w:pPr>
        <w:jc w:val="center"/>
        <w:rPr>
          <w:lang w:val="es-SV"/>
        </w:rPr>
      </w:pPr>
      <w:r w:rsidRPr="00CE55E6">
        <w:rPr>
          <w:b/>
          <w:bCs/>
          <w:lang w:val="es-SV"/>
        </w:rPr>
        <w:t>PAPEL BURSÁTIL</w:t>
      </w:r>
    </w:p>
    <w:p w:rsidR="00CE55E6" w:rsidRPr="00CE55E6" w:rsidRDefault="00CE55E6" w:rsidP="00CE55E6">
      <w:pPr>
        <w:jc w:val="both"/>
        <w:rPr>
          <w:lang w:val="es-SV"/>
        </w:rPr>
      </w:pPr>
      <w:r w:rsidRPr="00CE55E6">
        <w:rPr>
          <w:b/>
          <w:bCs/>
          <w:lang w:val="es-SV"/>
        </w:rPr>
        <w:t>DEFINIFICIÓN  DE PAPEL BURSATIL</w:t>
      </w:r>
    </w:p>
    <w:p w:rsidR="00CE55E6" w:rsidRPr="00CE55E6" w:rsidRDefault="00CE55E6" w:rsidP="00CE55E6">
      <w:pPr>
        <w:jc w:val="both"/>
        <w:rPr>
          <w:lang w:val="es-SV"/>
        </w:rPr>
      </w:pPr>
      <w:r w:rsidRPr="00CE55E6">
        <w:rPr>
          <w:b/>
          <w:bCs/>
          <w:lang w:val="es-SV"/>
        </w:rPr>
        <w:t xml:space="preserve">Art. 19. </w:t>
      </w:r>
      <w:r w:rsidRPr="00CE55E6">
        <w:rPr>
          <w:lang w:val="es-SV"/>
        </w:rPr>
        <w:t>Son valores representados por anotaciones electrónicas en cuenta, que representan la participación individual del tenedor en un crédito colectivo a cargo del emisor.</w:t>
      </w:r>
    </w:p>
    <w:p w:rsidR="00CE55E6" w:rsidRPr="00CE55E6" w:rsidRDefault="00CE55E6" w:rsidP="00CE55E6">
      <w:pPr>
        <w:jc w:val="both"/>
        <w:rPr>
          <w:lang w:val="es-SV"/>
        </w:rPr>
      </w:pPr>
      <w:r w:rsidRPr="00CE55E6">
        <w:rPr>
          <w:lang w:val="es-SV"/>
        </w:rPr>
        <w:t xml:space="preserve">El papel bursátil es un programa de emisión de título s de deuda que consiste en tramos cuyos plazos máximos serán de </w:t>
      </w:r>
      <w:r w:rsidRPr="00CE55E6">
        <w:rPr>
          <w:b/>
          <w:bCs/>
          <w:lang w:val="es-SV"/>
        </w:rPr>
        <w:t xml:space="preserve">tres </w:t>
      </w:r>
      <w:r w:rsidRPr="00CE55E6">
        <w:rPr>
          <w:lang w:val="es-SV"/>
        </w:rPr>
        <w:t xml:space="preserve">años. El plazo máximo del programa será de once años. </w:t>
      </w:r>
      <w:r w:rsidRPr="00CE55E6">
        <w:rPr>
          <w:b/>
          <w:bCs/>
          <w:lang w:val="es-SV"/>
        </w:rPr>
        <w:t>(1)</w:t>
      </w:r>
    </w:p>
    <w:p w:rsidR="00CE55E6" w:rsidRPr="00CE55E6" w:rsidRDefault="00CE55E6" w:rsidP="00CE55E6">
      <w:pPr>
        <w:jc w:val="both"/>
        <w:rPr>
          <w:lang w:val="es-SV"/>
        </w:rPr>
      </w:pPr>
      <w:r w:rsidRPr="00CE55E6">
        <w:rPr>
          <w:lang w:val="es-SV"/>
        </w:rPr>
        <w:t>La disponibilidad  del monto de emisión de dicho programa puede ser restablecida hasta por la suma total aprobada, dependiendo de la existencia o no de tramos vigentes.</w:t>
      </w:r>
    </w:p>
    <w:p w:rsidR="00CE55E6" w:rsidRPr="00CE55E6" w:rsidRDefault="00CE55E6" w:rsidP="00CE55E6">
      <w:pPr>
        <w:jc w:val="both"/>
        <w:rPr>
          <w:lang w:val="es-SV"/>
        </w:rPr>
      </w:pPr>
      <w:r w:rsidRPr="00CE55E6">
        <w:rPr>
          <w:lang w:val="es-SV"/>
        </w:rPr>
        <w:t xml:space="preserve">Podrán emitirse papeles bursátiles por cualquier tipo de emisor inscrito; </w:t>
      </w:r>
      <w:r w:rsidRPr="00CE55E6">
        <w:rPr>
          <w:b/>
          <w:bCs/>
          <w:lang w:val="es-SV"/>
        </w:rPr>
        <w:t xml:space="preserve">los valores pueden ser emitidos sin garantía específica o con garantía de </w:t>
      </w:r>
      <w:r w:rsidRPr="00CE55E6">
        <w:rPr>
          <w:lang w:val="es-SV"/>
        </w:rPr>
        <w:t>carteras de créditos hipotecarios, hipotecas, prenda, y/o cualquier otro tipo de garantía, mecanismo de aseguramiento o cobertura financiera. Asimismo, la emisión puede ser a descuento o con pago de intereses, según lo establecido por el emisor</w:t>
      </w:r>
      <w:r w:rsidRPr="00CE55E6">
        <w:rPr>
          <w:b/>
          <w:bCs/>
          <w:lang w:val="es-SV"/>
        </w:rPr>
        <w:t>. (1)</w:t>
      </w:r>
    </w:p>
    <w:p w:rsidR="00CE55E6" w:rsidRPr="00CE55E6" w:rsidRDefault="00CE55E6" w:rsidP="00CE55E6">
      <w:pPr>
        <w:jc w:val="center"/>
        <w:rPr>
          <w:lang w:val="es-SV"/>
        </w:rPr>
      </w:pPr>
      <w:r w:rsidRPr="00CE55E6">
        <w:rPr>
          <w:b/>
          <w:bCs/>
          <w:lang w:val="es-SV"/>
        </w:rPr>
        <w:t>CAPÍTULO IV</w:t>
      </w:r>
    </w:p>
    <w:p w:rsidR="00CE55E6" w:rsidRPr="00CE55E6" w:rsidRDefault="00CE55E6" w:rsidP="00CE55E6">
      <w:pPr>
        <w:jc w:val="center"/>
        <w:rPr>
          <w:b/>
          <w:bCs/>
          <w:lang w:val="es-SV"/>
        </w:rPr>
      </w:pPr>
      <w:r w:rsidRPr="00CE55E6">
        <w:rPr>
          <w:b/>
          <w:bCs/>
          <w:lang w:val="es-SV"/>
        </w:rPr>
        <w:t>CEDULAS  HIPOTECARIAS</w:t>
      </w:r>
    </w:p>
    <w:p w:rsidR="00CE55E6" w:rsidRPr="00CE55E6" w:rsidRDefault="00CE55E6" w:rsidP="00CE55E6">
      <w:pPr>
        <w:jc w:val="both"/>
        <w:rPr>
          <w:lang w:val="es-SV"/>
        </w:rPr>
      </w:pPr>
      <w:r w:rsidRPr="00CE55E6">
        <w:rPr>
          <w:b/>
          <w:bCs/>
          <w:lang w:val="es-SV"/>
        </w:rPr>
        <w:t>DEFINICIÓN</w:t>
      </w:r>
    </w:p>
    <w:p w:rsidR="00CE55E6" w:rsidRPr="00CE55E6" w:rsidRDefault="00CE55E6" w:rsidP="00CE55E6">
      <w:pPr>
        <w:jc w:val="both"/>
        <w:rPr>
          <w:lang w:val="es-SV"/>
        </w:rPr>
      </w:pPr>
      <w:r w:rsidRPr="00CE55E6">
        <w:rPr>
          <w:b/>
          <w:bCs/>
          <w:lang w:val="es-SV"/>
        </w:rPr>
        <w:t xml:space="preserve">Art. 20- </w:t>
      </w:r>
      <w:r w:rsidRPr="00CE55E6">
        <w:rPr>
          <w:lang w:val="es-SV"/>
        </w:rPr>
        <w:t>Las Cédulas Hipotecarias son obligaciones negociables representadas por anotaciones electrónicas en cuenta, emitid as por Bancos, los Bancos Cooperativos y Sociedades de Ahorro y Crédito, que conceden garantía preferente a su s titulares o adquirentes, sobre la totalidad o una parte de los créditos hipotecarios constituidos a favor del emisor.</w:t>
      </w:r>
    </w:p>
    <w:p w:rsidR="00CE55E6" w:rsidRPr="00CE55E6" w:rsidRDefault="00CE55E6" w:rsidP="00CE55E6">
      <w:pPr>
        <w:jc w:val="both"/>
        <w:rPr>
          <w:lang w:val="es-SV"/>
        </w:rPr>
      </w:pPr>
      <w:r w:rsidRPr="00CE55E6">
        <w:rPr>
          <w:lang w:val="es-SV"/>
        </w:rPr>
        <w:lastRenderedPageBreak/>
        <w:t>No se admitirán como garantías para Cédulas Hipotecarias, los créditos amparados por hipotecas abiertas, salvo cuando éstas garanticen créditos por montos fijos o decrecientes.</w:t>
      </w:r>
    </w:p>
    <w:p w:rsidR="00CE55E6" w:rsidRPr="00CE55E6" w:rsidRDefault="00CE55E6" w:rsidP="00CE55E6">
      <w:pPr>
        <w:jc w:val="both"/>
        <w:rPr>
          <w:lang w:val="es-SV"/>
        </w:rPr>
      </w:pPr>
      <w:r w:rsidRPr="00CE55E6">
        <w:rPr>
          <w:b/>
          <w:bCs/>
          <w:lang w:val="es-SV"/>
        </w:rPr>
        <w:t>CARACTERÍSTICAS  DE LAS CÉDULAS HIPOTECARIAS</w:t>
      </w:r>
    </w:p>
    <w:p w:rsidR="00CE55E6" w:rsidRPr="00CE55E6" w:rsidRDefault="00CE55E6" w:rsidP="00CE55E6">
      <w:pPr>
        <w:jc w:val="both"/>
        <w:rPr>
          <w:lang w:val="es-SV"/>
        </w:rPr>
      </w:pPr>
      <w:r w:rsidRPr="00CE55E6">
        <w:rPr>
          <w:b/>
          <w:bCs/>
          <w:lang w:val="es-SV"/>
        </w:rPr>
        <w:t xml:space="preserve">Art. 21.- </w:t>
      </w:r>
      <w:r w:rsidRPr="00CE55E6">
        <w:rPr>
          <w:lang w:val="es-SV"/>
        </w:rPr>
        <w:t>Las características, modalidades y condiciones de la emisión deberán establecerse en la Escritura de Emisión y en las normas que al efecto elabore cada banco, las cuales deberán ser previamente aprobadas por el Banco Central de Reserva de El Salvador. En todo caso, las Cédulas Hipotecarias, deberán emitirse conforme a lo establecido en el Código de Comercio.</w:t>
      </w:r>
    </w:p>
    <w:p w:rsidR="00CE55E6" w:rsidRPr="00CE55E6" w:rsidRDefault="00CE55E6" w:rsidP="00CE55E6">
      <w:pPr>
        <w:jc w:val="both"/>
        <w:rPr>
          <w:lang w:val="es-SV"/>
        </w:rPr>
      </w:pPr>
      <w:r w:rsidRPr="00CE55E6">
        <w:rPr>
          <w:b/>
          <w:bCs/>
          <w:lang w:val="es-SV"/>
        </w:rPr>
        <w:t>INSCRIPCIÓN  DE ESCRITURA  DE EMISIÓN</w:t>
      </w:r>
    </w:p>
    <w:p w:rsidR="00CE55E6" w:rsidRPr="00CE55E6" w:rsidRDefault="00CE55E6" w:rsidP="00CE55E6">
      <w:pPr>
        <w:jc w:val="both"/>
        <w:rPr>
          <w:lang w:val="es-SV"/>
        </w:rPr>
      </w:pPr>
      <w:r w:rsidRPr="00CE55E6">
        <w:rPr>
          <w:b/>
          <w:bCs/>
          <w:lang w:val="es-SV"/>
        </w:rPr>
        <w:t xml:space="preserve">Art. </w:t>
      </w:r>
      <w:r w:rsidRPr="00CE55E6">
        <w:rPr>
          <w:b/>
          <w:lang w:val="es-SV"/>
        </w:rPr>
        <w:t>22-</w:t>
      </w:r>
      <w:r w:rsidRPr="00CE55E6">
        <w:rPr>
          <w:lang w:val="es-SV"/>
        </w:rPr>
        <w:t xml:space="preserve"> La escritura pública de emisión de Cédulas Hipotecarias se inscribirá en el Registro Público Bursátil que lleva la Superintendencia del Sistema Financiero, con base en el literal b) y en el inciso penúltimo del Art. 6 de la Ley del Mercado de Valores.</w:t>
      </w:r>
    </w:p>
    <w:p w:rsidR="00CE55E6" w:rsidRPr="00CE55E6" w:rsidRDefault="00CE55E6" w:rsidP="00CE55E6">
      <w:pPr>
        <w:jc w:val="both"/>
        <w:rPr>
          <w:lang w:val="es-SV"/>
        </w:rPr>
      </w:pPr>
      <w:r w:rsidRPr="00CE55E6">
        <w:rPr>
          <w:b/>
          <w:bCs/>
          <w:lang w:val="es-SV"/>
        </w:rPr>
        <w:t>MANEJO DE LA GARANTÍA</w:t>
      </w:r>
    </w:p>
    <w:p w:rsidR="00CE55E6" w:rsidRPr="00CE55E6" w:rsidRDefault="00CE55E6" w:rsidP="00CE55E6">
      <w:pPr>
        <w:jc w:val="both"/>
        <w:rPr>
          <w:lang w:val="es-SV"/>
        </w:rPr>
      </w:pPr>
      <w:r w:rsidRPr="00CE55E6">
        <w:rPr>
          <w:b/>
          <w:bCs/>
          <w:lang w:val="es-SV"/>
        </w:rPr>
        <w:t xml:space="preserve">Art. </w:t>
      </w:r>
      <w:r w:rsidRPr="00CE55E6">
        <w:rPr>
          <w:b/>
          <w:lang w:val="es-SV"/>
        </w:rPr>
        <w:t>23-</w:t>
      </w:r>
      <w:r w:rsidRPr="00CE55E6">
        <w:rPr>
          <w:lang w:val="es-SV"/>
        </w:rPr>
        <w:t xml:space="preserve"> La suma de los créditos que garantizan una emisión o un tramo de Cédulas Hipotecarias no </w:t>
      </w:r>
      <w:proofErr w:type="gramStart"/>
      <w:r w:rsidRPr="00CE55E6">
        <w:rPr>
          <w:lang w:val="es-SV"/>
        </w:rPr>
        <w:t>podrá</w:t>
      </w:r>
      <w:proofErr w:type="gramEnd"/>
      <w:r w:rsidRPr="00CE55E6">
        <w:rPr>
          <w:lang w:val="es-SV"/>
        </w:rPr>
        <w:t xml:space="preserve"> ser inferior al 125% del monto de la emisión o del tramo correspondiente.</w:t>
      </w:r>
    </w:p>
    <w:p w:rsidR="00CE55E6" w:rsidRPr="00CE55E6" w:rsidRDefault="00CE55E6" w:rsidP="00CE55E6">
      <w:pPr>
        <w:jc w:val="both"/>
        <w:rPr>
          <w:lang w:val="es-SV"/>
        </w:rPr>
      </w:pPr>
      <w:r w:rsidRPr="00CE55E6">
        <w:rPr>
          <w:lang w:val="es-SV"/>
        </w:rPr>
        <w:t>El emisor de Cédulas Hipotecarias deberá llevar las hipotecas en garantía, contable y físicamente separadas del resto de otras hipotecas otorgadas a su favor, y deberá llevar un registro especial de aquellas, anotando al día sus movimientos de pagos, deterioros por moras, sustituciones o nuevas hipotecas, etc.</w:t>
      </w:r>
    </w:p>
    <w:p w:rsidR="00CE55E6" w:rsidRDefault="00CE55E6" w:rsidP="00CE55E6">
      <w:pPr>
        <w:jc w:val="both"/>
        <w:rPr>
          <w:lang w:val="es-SV"/>
        </w:rPr>
      </w:pPr>
      <w:r w:rsidRPr="00CE55E6">
        <w:rPr>
          <w:lang w:val="es-SV"/>
        </w:rPr>
        <w:t>Si el conjunto de créditos con hipotecas afectas a una emisión llegare a sufrir deterioros en su calidad o cantidad, reduciéndose a menos del 125%, el emisor deberá proceder de conformidad al tratamiento que se indica en el artículo 16 de este Instructivo.</w:t>
      </w:r>
    </w:p>
    <w:p w:rsidR="00BF6F80" w:rsidRPr="00BF6F80" w:rsidRDefault="00BF6F80" w:rsidP="00BF6F80">
      <w:pPr>
        <w:jc w:val="both"/>
        <w:rPr>
          <w:lang w:val="es-SV"/>
        </w:rPr>
      </w:pPr>
      <w:r w:rsidRPr="00BF6F80">
        <w:rPr>
          <w:b/>
          <w:bCs/>
          <w:lang w:val="es-SV"/>
        </w:rPr>
        <w:t>PAGOS  PARCIALES  PREESTABLECIDOS</w:t>
      </w:r>
    </w:p>
    <w:p w:rsidR="00BF6F80" w:rsidRPr="00BF6F80" w:rsidRDefault="00BF6F80" w:rsidP="00BF6F80">
      <w:pPr>
        <w:jc w:val="both"/>
        <w:rPr>
          <w:lang w:val="es-SV"/>
        </w:rPr>
      </w:pPr>
      <w:r w:rsidRPr="00BF6F80">
        <w:rPr>
          <w:b/>
          <w:bCs/>
          <w:lang w:val="es-SV"/>
        </w:rPr>
        <w:t xml:space="preserve">Art. 24- </w:t>
      </w:r>
      <w:r w:rsidRPr="00BF6F80">
        <w:rPr>
          <w:lang w:val="es-SV"/>
        </w:rPr>
        <w:t>Las Cédulas hipotecarias no podrán redimirse antes de que venza su plazo o plazos estipulados para su emisión, sin embargo, podrán haber amortizaciones por montos parciales en fechas previamente establecidas, determinadas de acuerdo a las necesidad es o programas de inversión de los bancos emisores.</w:t>
      </w:r>
    </w:p>
    <w:p w:rsidR="00BF6F80" w:rsidRPr="00BF6F80" w:rsidRDefault="00BF6F80" w:rsidP="00BF6F80">
      <w:pPr>
        <w:jc w:val="both"/>
        <w:rPr>
          <w:lang w:val="es-SV"/>
        </w:rPr>
      </w:pPr>
      <w:r w:rsidRPr="00BF6F80">
        <w:rPr>
          <w:b/>
          <w:bCs/>
          <w:lang w:val="es-SV"/>
        </w:rPr>
        <w:t>GARANTIA  PREFERENTE</w:t>
      </w:r>
    </w:p>
    <w:p w:rsidR="00BF6F80" w:rsidRPr="00BF6F80" w:rsidRDefault="00BF6F80" w:rsidP="00BF6F80">
      <w:pPr>
        <w:jc w:val="both"/>
        <w:rPr>
          <w:lang w:val="es-SV"/>
        </w:rPr>
      </w:pPr>
      <w:r w:rsidRPr="00BF6F80">
        <w:rPr>
          <w:b/>
          <w:bCs/>
          <w:lang w:val="es-SV"/>
        </w:rPr>
        <w:t xml:space="preserve">Art. 25- </w:t>
      </w:r>
      <w:r w:rsidRPr="00BF6F80">
        <w:rPr>
          <w:lang w:val="es-SV"/>
        </w:rPr>
        <w:t>Los titulares de Cédulas Hipotecarias gozan de garantía preferente sobre los créditos hipotecarios que las garanticen.</w:t>
      </w:r>
    </w:p>
    <w:p w:rsidR="00BF6F80" w:rsidRPr="00BF6F80" w:rsidRDefault="00BF6F80" w:rsidP="00BF6F80">
      <w:pPr>
        <w:jc w:val="both"/>
        <w:rPr>
          <w:lang w:val="es-SV"/>
        </w:rPr>
      </w:pPr>
      <w:r w:rsidRPr="00BF6F80">
        <w:rPr>
          <w:b/>
          <w:bCs/>
          <w:lang w:val="es-SV"/>
        </w:rPr>
        <w:t>LEYES  SUPLETORIAS</w:t>
      </w:r>
    </w:p>
    <w:p w:rsidR="00BF6F80" w:rsidRPr="00BF6F80" w:rsidRDefault="00BF6F80" w:rsidP="00BF6F80">
      <w:pPr>
        <w:jc w:val="both"/>
        <w:rPr>
          <w:lang w:val="es-SV"/>
        </w:rPr>
      </w:pPr>
      <w:r w:rsidRPr="00BF6F80">
        <w:rPr>
          <w:b/>
          <w:bCs/>
          <w:lang w:val="es-SV"/>
        </w:rPr>
        <w:t xml:space="preserve">Art. </w:t>
      </w:r>
      <w:r w:rsidRPr="00BF6F80">
        <w:rPr>
          <w:b/>
          <w:lang w:val="es-SV"/>
        </w:rPr>
        <w:t>26-</w:t>
      </w:r>
      <w:r w:rsidRPr="00BF6F80">
        <w:rPr>
          <w:lang w:val="es-SV"/>
        </w:rPr>
        <w:t xml:space="preserve"> La emisión de las Cédulas Hipotecarias negociables en la Bolsa de Valores se regirá por el presente instructivo, la Ley de Bancos, la Ley de Bancos Cooperativos y Sociedades de Ahorro y </w:t>
      </w:r>
      <w:r w:rsidRPr="00BF6F80">
        <w:rPr>
          <w:lang w:val="es-SV"/>
        </w:rPr>
        <w:lastRenderedPageBreak/>
        <w:t>Crédito y la Ley del Mercado de Valores, pudiendo recurrirse al Código de Comercio sólo en lo no previsto en ellas.</w:t>
      </w:r>
    </w:p>
    <w:p w:rsidR="00BF6F80" w:rsidRPr="00BF6F80" w:rsidRDefault="00BF6F80" w:rsidP="00BF6F80">
      <w:pPr>
        <w:jc w:val="center"/>
        <w:rPr>
          <w:lang w:val="es-SV"/>
        </w:rPr>
      </w:pPr>
      <w:r w:rsidRPr="00BF6F80">
        <w:rPr>
          <w:b/>
          <w:bCs/>
          <w:lang w:val="es-SV"/>
        </w:rPr>
        <w:t>CAPÍTULO V</w:t>
      </w:r>
    </w:p>
    <w:p w:rsidR="00F02197" w:rsidRDefault="00BF6F80" w:rsidP="00BF6F80">
      <w:pPr>
        <w:jc w:val="center"/>
        <w:rPr>
          <w:b/>
          <w:bCs/>
          <w:lang w:val="es-SV"/>
        </w:rPr>
      </w:pPr>
      <w:r w:rsidRPr="00BF6F80">
        <w:rPr>
          <w:b/>
          <w:bCs/>
          <w:lang w:val="es-SV"/>
        </w:rPr>
        <w:t xml:space="preserve">CERTIFICADOS  FIDUCIARIOS  DE PARTICIPACIÓN </w:t>
      </w:r>
    </w:p>
    <w:p w:rsidR="00BF6F80" w:rsidRPr="00BF6F80" w:rsidRDefault="00BF6F80" w:rsidP="00F02197">
      <w:pPr>
        <w:rPr>
          <w:lang w:val="es-SV"/>
        </w:rPr>
      </w:pPr>
      <w:r w:rsidRPr="00BF6F80">
        <w:rPr>
          <w:b/>
          <w:bCs/>
          <w:lang w:val="es-SV"/>
        </w:rPr>
        <w:t>EMISIÓN DE CERTIFICADOS</w:t>
      </w:r>
    </w:p>
    <w:p w:rsidR="00BF6F80" w:rsidRPr="00BF6F80" w:rsidRDefault="00BF6F80" w:rsidP="00BF6F80">
      <w:pPr>
        <w:jc w:val="both"/>
        <w:rPr>
          <w:lang w:val="es-SV"/>
        </w:rPr>
      </w:pPr>
      <w:r w:rsidRPr="00BF6F80">
        <w:rPr>
          <w:b/>
          <w:bCs/>
          <w:lang w:val="es-SV"/>
        </w:rPr>
        <w:t xml:space="preserve">Art. 27- </w:t>
      </w:r>
      <w:r w:rsidRPr="00BF6F80">
        <w:rPr>
          <w:lang w:val="es-SV"/>
        </w:rPr>
        <w:t>Son valores emitidos por bancos en su rol de fiduciarios en un fideicomiso e incorporan alguno de los siguientes derechos:</w:t>
      </w:r>
    </w:p>
    <w:p w:rsidR="00BF6F80" w:rsidRPr="00BF6F80" w:rsidRDefault="00BF6F80" w:rsidP="00BF6F80">
      <w:pPr>
        <w:pStyle w:val="Prrafodelista"/>
        <w:numPr>
          <w:ilvl w:val="0"/>
          <w:numId w:val="13"/>
        </w:numPr>
        <w:ind w:left="425" w:hanging="425"/>
        <w:jc w:val="both"/>
        <w:rPr>
          <w:lang w:val="es-SV"/>
        </w:rPr>
      </w:pPr>
      <w:r w:rsidRPr="00BF6F80">
        <w:rPr>
          <w:lang w:val="es-SV"/>
        </w:rPr>
        <w:t>Derecho a una parte alícuota de los rendimientos de los derechos o bienes que tenga en fideicomiso irrevocable el banco emisor</w:t>
      </w:r>
    </w:p>
    <w:p w:rsidR="00BF6F80" w:rsidRPr="00BF6F80" w:rsidRDefault="00BF6F80" w:rsidP="00BF6F80">
      <w:pPr>
        <w:pStyle w:val="Prrafodelista"/>
        <w:numPr>
          <w:ilvl w:val="0"/>
          <w:numId w:val="13"/>
        </w:numPr>
        <w:ind w:left="425" w:hanging="425"/>
        <w:jc w:val="both"/>
        <w:rPr>
          <w:lang w:val="es-SV"/>
        </w:rPr>
      </w:pPr>
      <w:r w:rsidRPr="00BF6F80">
        <w:rPr>
          <w:lang w:val="es-SV"/>
        </w:rPr>
        <w:t xml:space="preserve">Derecho a una parte alícuota del dominio sobre los bienes o de la titularidad de los derechos </w:t>
      </w:r>
      <w:proofErr w:type="spellStart"/>
      <w:r w:rsidRPr="00BF6F80">
        <w:rPr>
          <w:lang w:val="es-SV"/>
        </w:rPr>
        <w:t>fideicomitidos</w:t>
      </w:r>
      <w:proofErr w:type="spellEnd"/>
      <w:r w:rsidRPr="00BF6F80">
        <w:rPr>
          <w:lang w:val="es-SV"/>
        </w:rPr>
        <w:t>.</w:t>
      </w:r>
    </w:p>
    <w:p w:rsidR="00BF6F80" w:rsidRPr="00BF6F80" w:rsidRDefault="00BF6F80" w:rsidP="00BF6F80">
      <w:pPr>
        <w:pStyle w:val="Prrafodelista"/>
        <w:numPr>
          <w:ilvl w:val="0"/>
          <w:numId w:val="13"/>
        </w:numPr>
        <w:ind w:left="425" w:hanging="425"/>
        <w:jc w:val="both"/>
        <w:rPr>
          <w:lang w:val="es-SV"/>
        </w:rPr>
      </w:pPr>
      <w:r w:rsidRPr="00BF6F80">
        <w:rPr>
          <w:lang w:val="es-SV"/>
        </w:rPr>
        <w:t xml:space="preserve">Derecho a una parte alícuota del producto neto de la venta de los bienes o derechos </w:t>
      </w:r>
      <w:proofErr w:type="spellStart"/>
      <w:r w:rsidRPr="00BF6F80">
        <w:rPr>
          <w:lang w:val="es-SV"/>
        </w:rPr>
        <w:t>fideicomitidos</w:t>
      </w:r>
      <w:proofErr w:type="spellEnd"/>
      <w:r w:rsidRPr="00BF6F80">
        <w:rPr>
          <w:lang w:val="es-SV"/>
        </w:rPr>
        <w:t>.</w:t>
      </w:r>
    </w:p>
    <w:p w:rsidR="00BF6F80" w:rsidRDefault="00BF6F80" w:rsidP="00BF6F80">
      <w:pPr>
        <w:jc w:val="both"/>
        <w:rPr>
          <w:lang w:val="es-SV"/>
        </w:rPr>
      </w:pPr>
      <w:r w:rsidRPr="00BF6F80">
        <w:rPr>
          <w:lang w:val="es-SV"/>
        </w:rPr>
        <w:t>Únicamente los bancos pueden emitir certificados fiduciarios de participación, siempre que, previamente, hayan cumplido los requisitos que al efecto les establezca la Ley de Bancos, el Código de Comercio y la normativa aplicable.</w:t>
      </w:r>
    </w:p>
    <w:p w:rsidR="00BF6F80" w:rsidRPr="00BF6F80" w:rsidRDefault="00BF6F80" w:rsidP="00BF6F80">
      <w:pPr>
        <w:jc w:val="center"/>
        <w:rPr>
          <w:b/>
          <w:bCs/>
          <w:lang w:val="es-SV"/>
        </w:rPr>
      </w:pPr>
      <w:r w:rsidRPr="00BF6F80">
        <w:rPr>
          <w:b/>
          <w:bCs/>
          <w:lang w:val="es-SV"/>
        </w:rPr>
        <w:t>CAPÍTULO  VI</w:t>
      </w:r>
    </w:p>
    <w:p w:rsidR="00BF6F80" w:rsidRDefault="00BF6F80" w:rsidP="00BF6F80">
      <w:pPr>
        <w:jc w:val="center"/>
        <w:rPr>
          <w:b/>
          <w:bCs/>
          <w:lang w:val="es-SV"/>
        </w:rPr>
      </w:pPr>
      <w:r w:rsidRPr="00BF6F80">
        <w:rPr>
          <w:b/>
          <w:bCs/>
          <w:lang w:val="es-SV"/>
        </w:rPr>
        <w:t>VALORES PRODUCTO DE TITULARIZACIONES</w:t>
      </w:r>
    </w:p>
    <w:p w:rsidR="00BF6F80" w:rsidRPr="00BF6F80" w:rsidRDefault="00BF6F80" w:rsidP="00BF6F80">
      <w:pPr>
        <w:jc w:val="both"/>
        <w:rPr>
          <w:lang w:val="es-SV"/>
        </w:rPr>
      </w:pPr>
      <w:r w:rsidRPr="00BF6F80">
        <w:rPr>
          <w:b/>
          <w:bCs/>
          <w:lang w:val="es-SV"/>
        </w:rPr>
        <w:t>DEFINICIÓN</w:t>
      </w:r>
    </w:p>
    <w:p w:rsidR="00BF6F80" w:rsidRPr="00BF6F80" w:rsidRDefault="00BF6F80" w:rsidP="00BF6F80">
      <w:pPr>
        <w:jc w:val="both"/>
        <w:rPr>
          <w:lang w:val="es-SV"/>
        </w:rPr>
      </w:pPr>
      <w:r w:rsidRPr="00BF6F80">
        <w:rPr>
          <w:b/>
          <w:bCs/>
          <w:lang w:val="es-SV"/>
        </w:rPr>
        <w:t xml:space="preserve">Art. 28- </w:t>
      </w:r>
      <w:r w:rsidRPr="00BF6F80">
        <w:rPr>
          <w:lang w:val="es-SV"/>
        </w:rPr>
        <w:t>Podrán emitirse valores producto de Titularizaciones, siempre y cuando, hayan cumplido los requisitos que les establezca la Ley de Titularización de Activos, la Ley del Mercado de Valores y la normativa aplicable.</w:t>
      </w:r>
    </w:p>
    <w:p w:rsidR="00BF6F80" w:rsidRPr="00BF6F80" w:rsidRDefault="00BF6F80" w:rsidP="00BF6F80">
      <w:pPr>
        <w:jc w:val="center"/>
        <w:rPr>
          <w:lang w:val="es-SV"/>
        </w:rPr>
      </w:pPr>
      <w:r w:rsidRPr="00BF6F80">
        <w:rPr>
          <w:b/>
          <w:bCs/>
          <w:lang w:val="es-SV"/>
        </w:rPr>
        <w:t>CAPÍTULO VII</w:t>
      </w:r>
    </w:p>
    <w:p w:rsidR="00BF6F80" w:rsidRPr="00BF6F80" w:rsidRDefault="00BF6F80" w:rsidP="00BF6F80">
      <w:pPr>
        <w:jc w:val="center"/>
        <w:rPr>
          <w:lang w:val="es-SV"/>
        </w:rPr>
      </w:pPr>
      <w:r w:rsidRPr="00BF6F80">
        <w:rPr>
          <w:b/>
          <w:bCs/>
          <w:lang w:val="es-SV"/>
        </w:rPr>
        <w:t>CUOTAS DE PARTICIPACION  DE FONDOS CERRADOS</w:t>
      </w:r>
    </w:p>
    <w:p w:rsidR="00BF6F80" w:rsidRPr="00BF6F80" w:rsidRDefault="00BF6F80" w:rsidP="00BF6F80">
      <w:pPr>
        <w:jc w:val="both"/>
        <w:rPr>
          <w:lang w:val="es-SV"/>
        </w:rPr>
      </w:pPr>
      <w:r w:rsidRPr="00BF6F80">
        <w:rPr>
          <w:b/>
          <w:bCs/>
          <w:lang w:val="es-SV"/>
        </w:rPr>
        <w:t xml:space="preserve">Art. 29- </w:t>
      </w:r>
      <w:r w:rsidRPr="00BF6F80">
        <w:rPr>
          <w:lang w:val="es-SV"/>
        </w:rPr>
        <w:t>Podrán emitirse cuotas de participación de Fondos de Inversión Cerrados, siempre y cuando hayan cumplido los requisitos que les establezca la Ley de Fondos de Inversión, la Ley del Mercado de Valores y la normativa aplicable.</w:t>
      </w:r>
    </w:p>
    <w:p w:rsidR="00BF6F80" w:rsidRPr="00BF6F80" w:rsidRDefault="00BF6F80" w:rsidP="00BF6F80">
      <w:pPr>
        <w:jc w:val="both"/>
        <w:rPr>
          <w:lang w:val="es-SV"/>
        </w:rPr>
      </w:pPr>
      <w:r w:rsidRPr="00BF6F80">
        <w:rPr>
          <w:b/>
          <w:bCs/>
          <w:lang w:val="es-SV"/>
        </w:rPr>
        <w:t>CAPÍTULO VIII</w:t>
      </w:r>
    </w:p>
    <w:p w:rsidR="00BF6F80" w:rsidRDefault="00BF6F80" w:rsidP="00BF6F80">
      <w:pPr>
        <w:jc w:val="center"/>
        <w:rPr>
          <w:b/>
          <w:bCs/>
          <w:lang w:val="es-SV"/>
        </w:rPr>
      </w:pPr>
      <w:r w:rsidRPr="00BF6F80">
        <w:rPr>
          <w:b/>
          <w:bCs/>
          <w:lang w:val="es-SV"/>
        </w:rPr>
        <w:t xml:space="preserve">LETRAS DE CAMBIO BURSATILES  PARA SER NEGOCIADAS </w:t>
      </w:r>
    </w:p>
    <w:p w:rsidR="00BF6F80" w:rsidRPr="00BF6F80" w:rsidRDefault="00BF6F80" w:rsidP="00BF6F80">
      <w:pPr>
        <w:jc w:val="center"/>
        <w:rPr>
          <w:lang w:val="es-SV"/>
        </w:rPr>
      </w:pPr>
      <w:r w:rsidRPr="00BF6F80">
        <w:rPr>
          <w:b/>
          <w:bCs/>
          <w:lang w:val="es-SV"/>
        </w:rPr>
        <w:t>EXCLUSIVAMENTE EN LA BOLSA DE VALORES</w:t>
      </w:r>
    </w:p>
    <w:p w:rsidR="00BF6F80" w:rsidRPr="00BF6F80" w:rsidRDefault="00BF6F80" w:rsidP="00BF6F80">
      <w:pPr>
        <w:jc w:val="both"/>
        <w:rPr>
          <w:lang w:val="es-SV"/>
        </w:rPr>
      </w:pPr>
      <w:r w:rsidRPr="00BF6F80">
        <w:rPr>
          <w:b/>
          <w:bCs/>
          <w:lang w:val="es-SV"/>
        </w:rPr>
        <w:lastRenderedPageBreak/>
        <w:t>DEFINICION</w:t>
      </w:r>
    </w:p>
    <w:p w:rsidR="00BF6F80" w:rsidRPr="00BF6F80" w:rsidRDefault="00BF6F80" w:rsidP="00BF6F80">
      <w:pPr>
        <w:jc w:val="both"/>
        <w:rPr>
          <w:lang w:val="es-SV"/>
        </w:rPr>
      </w:pPr>
      <w:r w:rsidRPr="00BF6F80">
        <w:rPr>
          <w:b/>
          <w:bCs/>
          <w:lang w:val="es-SV"/>
        </w:rPr>
        <w:t xml:space="preserve">Art. 30- </w:t>
      </w:r>
      <w:r w:rsidRPr="00BF6F80">
        <w:rPr>
          <w:lang w:val="es-SV"/>
        </w:rPr>
        <w:t>Las Letras de Cambio Bursátiles o su abreviatura "LCB" son valores de deuda o crédito, individuales o no agrupados en emisiones, que de conformidad al inciso segundo del artículo 4 de la Ley del Mercado de Valores, solo pueden ser emitidos por bancos y financieras debidamente autorizados para realizar operaciones pasivas en El Salvador, los cuales deben estar inscritos como emisores en el Registro Público Bursátil que lleva la Superintendencia del Sistema Financiero y en la Bolsa de Valores.</w:t>
      </w:r>
    </w:p>
    <w:p w:rsidR="00BF6F80" w:rsidRPr="00BF6F80" w:rsidRDefault="00BF6F80" w:rsidP="00BF6F80">
      <w:pPr>
        <w:jc w:val="both"/>
        <w:rPr>
          <w:lang w:val="es-SV"/>
        </w:rPr>
      </w:pPr>
      <w:r w:rsidRPr="00BF6F80">
        <w:rPr>
          <w:lang w:val="es-SV"/>
        </w:rPr>
        <w:t>Los bancos y financieras que emitan este tipo de instrumentos deberán además tener al menos una clasificación de riesgo otorgada por una Clasificadora de Riesgo autorizada por la Superintendencia del Sistema Financiero . Las Letras de Cambio Bursátiles podrán tener plazos hasta de 180 días. En todo caso, el plazo debe estar en relación directa con la rotación de inventarios y con el plazo de recuperación de las cuentas por cobrar de los aceptantes de las Letras de Cambio corrientes.</w:t>
      </w:r>
    </w:p>
    <w:p w:rsidR="00BF6F80" w:rsidRPr="00BF6F80" w:rsidRDefault="00BF6F80" w:rsidP="00BF6F80">
      <w:pPr>
        <w:jc w:val="both"/>
        <w:rPr>
          <w:lang w:val="es-SV"/>
        </w:rPr>
      </w:pPr>
      <w:r w:rsidRPr="00BF6F80">
        <w:rPr>
          <w:lang w:val="es-SV"/>
        </w:rPr>
        <w:t>De conformidad a lo regulado en el artículo 1 inciso tercero y artículo 72, ambos de la Ley de Anotaciones Electrónicas de Valores en Cuenta, las Letras de Cambio Bursátiles podrán emitirse en forma física o representarse por anotaciones en cuenta. En este último caso se aplicará lo dispuesto en este capítulo,  en  todo aquello que no sea contrario a su naturaleza.</w:t>
      </w:r>
    </w:p>
    <w:p w:rsidR="00BF6F80" w:rsidRPr="00BF6F80" w:rsidRDefault="00BF6F80" w:rsidP="00BF6F80">
      <w:pPr>
        <w:jc w:val="both"/>
        <w:rPr>
          <w:b/>
          <w:bCs/>
          <w:lang w:val="es-SV"/>
        </w:rPr>
      </w:pPr>
      <w:r w:rsidRPr="00BF6F80">
        <w:rPr>
          <w:b/>
          <w:bCs/>
          <w:lang w:val="es-SV"/>
        </w:rPr>
        <w:t>NEGOCIABILIDAD</w:t>
      </w:r>
    </w:p>
    <w:p w:rsidR="00BF6F80" w:rsidRPr="00BF6F80" w:rsidRDefault="00BF6F80" w:rsidP="00BF6F80">
      <w:pPr>
        <w:jc w:val="both"/>
        <w:rPr>
          <w:lang w:val="es-SV"/>
        </w:rPr>
      </w:pPr>
      <w:r w:rsidRPr="00BF6F80">
        <w:rPr>
          <w:b/>
          <w:bCs/>
          <w:lang w:val="es-SV"/>
        </w:rPr>
        <w:t xml:space="preserve">Art. 31- </w:t>
      </w:r>
      <w:r w:rsidRPr="00BF6F80">
        <w:rPr>
          <w:lang w:val="es-SV"/>
        </w:rPr>
        <w:t>La negociación de las LCB se efectuará exclusivamente en Bolsa, a descuento, de conformidad a las reglas establecidas para las obligaciones negociables por la Ley del Mercado de Valores, del Reglamento General Interno de la Bolsa de Valores, del Código de Comercio, por los usos y costumbres bursátiles y según lo dispuesto en el presente instructivo.</w:t>
      </w:r>
    </w:p>
    <w:p w:rsidR="00BF6F80" w:rsidRPr="00BF6F80" w:rsidRDefault="00BF6F80" w:rsidP="00BF6F80">
      <w:pPr>
        <w:jc w:val="both"/>
        <w:rPr>
          <w:lang w:val="es-SV"/>
        </w:rPr>
      </w:pPr>
      <w:r w:rsidRPr="00BF6F80">
        <w:rPr>
          <w:lang w:val="es-SV"/>
        </w:rPr>
        <w:t>No se considerarán aceptables como base para emitir LCB, las letras de cambio corrientes que garantizan créditos o cuentas de tarjetas de crédito u otras de similar característica.</w:t>
      </w:r>
    </w:p>
    <w:p w:rsidR="00BF6F80" w:rsidRPr="00BF6F80" w:rsidRDefault="00BF6F80" w:rsidP="00BF6F80">
      <w:pPr>
        <w:jc w:val="both"/>
        <w:rPr>
          <w:lang w:val="es-SV"/>
        </w:rPr>
      </w:pPr>
      <w:r w:rsidRPr="00BF6F80">
        <w:rPr>
          <w:lang w:val="es-SV"/>
        </w:rPr>
        <w:t>Tampoco se consideraran aceptables como base para emitir LCB, las letras de cambio corrientes cuando el valor por el cual fueron libradas sean menores a las transacciones que ampare.</w:t>
      </w:r>
    </w:p>
    <w:p w:rsidR="00BF6F80" w:rsidRPr="00BF6F80" w:rsidRDefault="00BF6F80" w:rsidP="00BF6F80">
      <w:pPr>
        <w:jc w:val="both"/>
        <w:rPr>
          <w:lang w:val="es-SV"/>
        </w:rPr>
      </w:pPr>
      <w:r w:rsidRPr="00BF6F80">
        <w:rPr>
          <w:b/>
          <w:bCs/>
          <w:lang w:val="es-SV"/>
        </w:rPr>
        <w:t>CARACTERÍSTICAS  DE LAS LETRAS  DE CAMBIO BURSÁTIL</w:t>
      </w:r>
    </w:p>
    <w:p w:rsidR="00BF6F80" w:rsidRPr="00BF6F80" w:rsidRDefault="00BF6F80" w:rsidP="00BF6F80">
      <w:pPr>
        <w:jc w:val="both"/>
        <w:rPr>
          <w:lang w:val="es-SV"/>
        </w:rPr>
      </w:pPr>
      <w:r w:rsidRPr="00BF6F80">
        <w:rPr>
          <w:b/>
          <w:bCs/>
          <w:lang w:val="es-SV"/>
        </w:rPr>
        <w:t xml:space="preserve">Art. </w:t>
      </w:r>
      <w:r w:rsidRPr="00BF6F80">
        <w:rPr>
          <w:b/>
          <w:lang w:val="es-SV"/>
        </w:rPr>
        <w:t>32</w:t>
      </w:r>
      <w:r w:rsidRPr="009570AB">
        <w:rPr>
          <w:b/>
          <w:lang w:val="es-SV"/>
        </w:rPr>
        <w:t>-</w:t>
      </w:r>
      <w:r w:rsidRPr="00BF6F80">
        <w:rPr>
          <w:lang w:val="es-SV"/>
        </w:rPr>
        <w:t xml:space="preserve"> Las características de las LCB son:</w:t>
      </w:r>
    </w:p>
    <w:p w:rsidR="00BF6F80" w:rsidRPr="00BF6F80" w:rsidRDefault="00BF6F80" w:rsidP="00BF6F80">
      <w:pPr>
        <w:pStyle w:val="Prrafodelista"/>
        <w:numPr>
          <w:ilvl w:val="0"/>
          <w:numId w:val="14"/>
        </w:numPr>
        <w:ind w:left="425" w:hanging="425"/>
        <w:jc w:val="both"/>
      </w:pPr>
      <w:r w:rsidRPr="00BF6F80">
        <w:t>Emisores: Bancos.</w:t>
      </w:r>
    </w:p>
    <w:p w:rsidR="00BF6F80" w:rsidRPr="00BF6F80" w:rsidRDefault="00BF6F80" w:rsidP="00BF6F80">
      <w:pPr>
        <w:pStyle w:val="Prrafodelista"/>
        <w:numPr>
          <w:ilvl w:val="0"/>
          <w:numId w:val="14"/>
        </w:numPr>
        <w:ind w:left="425" w:hanging="425"/>
        <w:jc w:val="both"/>
        <w:rPr>
          <w:lang w:val="es-SV"/>
        </w:rPr>
      </w:pPr>
      <w:r w:rsidRPr="00BF6F80">
        <w:rPr>
          <w:lang w:val="es-SV"/>
        </w:rPr>
        <w:t>Las Letras de Cambio Bursátiles son valores individuales.</w:t>
      </w:r>
    </w:p>
    <w:p w:rsidR="00BF6F80" w:rsidRDefault="00BF6F80" w:rsidP="00BF6F80">
      <w:pPr>
        <w:pStyle w:val="Prrafodelista"/>
        <w:numPr>
          <w:ilvl w:val="0"/>
          <w:numId w:val="14"/>
        </w:numPr>
        <w:ind w:left="425" w:hanging="425"/>
        <w:jc w:val="both"/>
        <w:rPr>
          <w:lang w:val="es-SV"/>
        </w:rPr>
      </w:pPr>
      <w:r w:rsidRPr="00BF6F80">
        <w:rPr>
          <w:lang w:val="es-SV"/>
        </w:rPr>
        <w:t>Emitidos a la orden y a descuento.</w:t>
      </w:r>
    </w:p>
    <w:p w:rsidR="00BF6F80" w:rsidRPr="00BF6F80" w:rsidRDefault="00BF6F80" w:rsidP="00BF6F80">
      <w:pPr>
        <w:pStyle w:val="Prrafodelista"/>
        <w:numPr>
          <w:ilvl w:val="0"/>
          <w:numId w:val="14"/>
        </w:numPr>
        <w:ind w:left="425" w:hanging="425"/>
        <w:jc w:val="both"/>
      </w:pPr>
      <w:r w:rsidRPr="00BF6F80">
        <w:rPr>
          <w:lang w:val="es-SV"/>
        </w:rPr>
        <w:t>Librador y aceptante será el Banco emisor</w:t>
      </w:r>
    </w:p>
    <w:p w:rsidR="00BF6F80" w:rsidRPr="00BF6F80" w:rsidRDefault="00BF6F80" w:rsidP="00BF6F80">
      <w:pPr>
        <w:pStyle w:val="Prrafodelista"/>
        <w:numPr>
          <w:ilvl w:val="0"/>
          <w:numId w:val="14"/>
        </w:numPr>
        <w:ind w:left="425" w:hanging="425"/>
        <w:jc w:val="both"/>
        <w:rPr>
          <w:lang w:val="es-SV"/>
        </w:rPr>
      </w:pPr>
      <w:r w:rsidRPr="00BF6F80">
        <w:t>Garantía: No tiene garantía específica</w:t>
      </w:r>
    </w:p>
    <w:p w:rsidR="00BF6F80" w:rsidRDefault="00BF6F80" w:rsidP="00BF6F80">
      <w:pPr>
        <w:pStyle w:val="Prrafodelista"/>
        <w:numPr>
          <w:ilvl w:val="0"/>
          <w:numId w:val="14"/>
        </w:numPr>
        <w:ind w:left="425" w:hanging="425"/>
        <w:jc w:val="both"/>
        <w:rPr>
          <w:lang w:val="es-SV"/>
        </w:rPr>
      </w:pPr>
      <w:r w:rsidRPr="00BF6F80">
        <w:rPr>
          <w:lang w:val="es-SV"/>
        </w:rPr>
        <w:t>Deben sujetarse, en lo pertinente, a las disposiciones legales sobre las letras de cambio;</w:t>
      </w:r>
    </w:p>
    <w:p w:rsidR="00BF6F80" w:rsidRDefault="00BF6F80" w:rsidP="00BF6F80">
      <w:pPr>
        <w:pStyle w:val="Prrafodelista"/>
        <w:numPr>
          <w:ilvl w:val="0"/>
          <w:numId w:val="14"/>
        </w:numPr>
        <w:ind w:left="425" w:hanging="425"/>
        <w:jc w:val="both"/>
        <w:rPr>
          <w:lang w:val="es-SV"/>
        </w:rPr>
      </w:pPr>
      <w:r w:rsidRPr="00BF6F80">
        <w:rPr>
          <w:lang w:val="es-SV"/>
        </w:rPr>
        <w:lastRenderedPageBreak/>
        <w:t>Deben ser libradas para ser pagadas a fecha fija no mayor de 180 días máximo;</w:t>
      </w:r>
    </w:p>
    <w:p w:rsidR="00BF6F80" w:rsidRDefault="00BF6F80" w:rsidP="00BF6F80">
      <w:pPr>
        <w:pStyle w:val="Prrafodelista"/>
        <w:numPr>
          <w:ilvl w:val="0"/>
          <w:numId w:val="14"/>
        </w:numPr>
        <w:ind w:left="425" w:hanging="425"/>
        <w:jc w:val="both"/>
        <w:rPr>
          <w:lang w:val="es-SV"/>
        </w:rPr>
      </w:pPr>
      <w:r w:rsidRPr="00BF6F80">
        <w:rPr>
          <w:lang w:val="es-SV"/>
        </w:rPr>
        <w:t>Estas deberán mantener un plazo de vencimiento menor o igual al plazo de vencimiento de la Letra de Cambio corriente de menor plazo, del grupo o conjunto de Letras de Cambio corrientes;</w:t>
      </w:r>
    </w:p>
    <w:p w:rsidR="00BF6F80" w:rsidRDefault="00BF6F80" w:rsidP="00BF6F80">
      <w:pPr>
        <w:pStyle w:val="Prrafodelista"/>
        <w:numPr>
          <w:ilvl w:val="0"/>
          <w:numId w:val="14"/>
        </w:numPr>
        <w:ind w:left="425" w:hanging="425"/>
        <w:jc w:val="both"/>
        <w:rPr>
          <w:lang w:val="es-SV"/>
        </w:rPr>
      </w:pPr>
      <w:r w:rsidRPr="00BF6F80">
        <w:rPr>
          <w:lang w:val="es-SV"/>
        </w:rPr>
        <w:t>Debe constar en su texto, que es letra única (Art. 781 Código de Comercio);</w:t>
      </w:r>
    </w:p>
    <w:p w:rsidR="00BF6F80" w:rsidRDefault="00BF6F80" w:rsidP="00BF6F80">
      <w:pPr>
        <w:pStyle w:val="Prrafodelista"/>
        <w:numPr>
          <w:ilvl w:val="0"/>
          <w:numId w:val="14"/>
        </w:numPr>
        <w:ind w:left="425" w:hanging="425"/>
        <w:jc w:val="both"/>
        <w:rPr>
          <w:lang w:val="es-SV"/>
        </w:rPr>
      </w:pPr>
      <w:r w:rsidRPr="00BF6F80">
        <w:rPr>
          <w:lang w:val="es-SV"/>
        </w:rPr>
        <w:t>Debe constar en su texto, la cláusula, "sin protesto";</w:t>
      </w:r>
    </w:p>
    <w:p w:rsidR="00BF6F80" w:rsidRPr="00BF6F80" w:rsidRDefault="00BF6F80" w:rsidP="00BF6F80">
      <w:pPr>
        <w:pStyle w:val="Prrafodelista"/>
        <w:numPr>
          <w:ilvl w:val="0"/>
          <w:numId w:val="14"/>
        </w:numPr>
        <w:ind w:left="425" w:hanging="425"/>
        <w:jc w:val="both"/>
        <w:rPr>
          <w:lang w:val="es-SV"/>
        </w:rPr>
      </w:pPr>
      <w:r w:rsidRPr="00BF6F80">
        <w:rPr>
          <w:lang w:val="es-SV"/>
        </w:rPr>
        <w:t>Deben ser emitidas a valor nominal, para ser negociadas a descuento.</w:t>
      </w:r>
    </w:p>
    <w:p w:rsidR="00BF6F80" w:rsidRPr="00BF6F80" w:rsidRDefault="00BF6F80" w:rsidP="00BF6F80">
      <w:pPr>
        <w:jc w:val="both"/>
        <w:rPr>
          <w:lang w:val="es-SV"/>
        </w:rPr>
      </w:pPr>
      <w:r w:rsidRPr="00BF6F80">
        <w:rPr>
          <w:b/>
          <w:bCs/>
          <w:lang w:val="es-SV"/>
        </w:rPr>
        <w:t>DEPÓSITO Y CUSTODIA PARA NEGOCIACION EN MERCADO SECUNDARIO.</w:t>
      </w:r>
    </w:p>
    <w:p w:rsidR="00BF6F80" w:rsidRPr="00BF6F80" w:rsidRDefault="00BF6F80" w:rsidP="00BF6F80">
      <w:pPr>
        <w:jc w:val="both"/>
        <w:rPr>
          <w:lang w:val="es-SV"/>
        </w:rPr>
      </w:pPr>
      <w:r w:rsidRPr="00BF6F80">
        <w:rPr>
          <w:b/>
          <w:bCs/>
          <w:lang w:val="es-SV"/>
        </w:rPr>
        <w:t xml:space="preserve">Art. </w:t>
      </w:r>
      <w:r w:rsidRPr="00BF6F80">
        <w:rPr>
          <w:b/>
          <w:lang w:val="es-SV"/>
        </w:rPr>
        <w:t>33-</w:t>
      </w:r>
      <w:r w:rsidRPr="00BF6F80">
        <w:rPr>
          <w:lang w:val="es-SV"/>
        </w:rPr>
        <w:t xml:space="preserve"> Las Casas de Corredores presentarán a CEDEVAL, las LCB con base en los instructivos preestablecidos por esta, las cuales deberán ser endosadas en administración a favor de CEDEVAL.</w:t>
      </w:r>
    </w:p>
    <w:p w:rsidR="00BF6F80" w:rsidRPr="00BF6F80" w:rsidRDefault="00BF6F80" w:rsidP="00BF6F80">
      <w:pPr>
        <w:jc w:val="center"/>
        <w:rPr>
          <w:lang w:val="es-SV"/>
        </w:rPr>
      </w:pPr>
      <w:r w:rsidRPr="00BF6F80">
        <w:rPr>
          <w:b/>
          <w:bCs/>
          <w:lang w:val="es-SV"/>
        </w:rPr>
        <w:t>CAPÍTULO IX</w:t>
      </w:r>
    </w:p>
    <w:p w:rsidR="00BF6F80" w:rsidRPr="00BF6F80" w:rsidRDefault="00BF6F80" w:rsidP="00BF6F80">
      <w:pPr>
        <w:jc w:val="center"/>
        <w:rPr>
          <w:lang w:val="es-SV"/>
        </w:rPr>
      </w:pPr>
      <w:r w:rsidRPr="00BF6F80">
        <w:rPr>
          <w:b/>
          <w:bCs/>
          <w:lang w:val="es-SV"/>
        </w:rPr>
        <w:t>OBLIGACIONES CONVERTIBLES  EN ACCIONES</w:t>
      </w:r>
    </w:p>
    <w:p w:rsidR="00BF6F80" w:rsidRPr="00BF6F80" w:rsidRDefault="00BF6F80" w:rsidP="00BF6F80">
      <w:pPr>
        <w:jc w:val="both"/>
        <w:rPr>
          <w:lang w:val="es-SV"/>
        </w:rPr>
      </w:pPr>
      <w:r w:rsidRPr="00BF6F80">
        <w:rPr>
          <w:b/>
          <w:bCs/>
          <w:lang w:val="es-SV"/>
        </w:rPr>
        <w:t xml:space="preserve">Art. 34. - </w:t>
      </w:r>
      <w:r w:rsidRPr="00BF6F80">
        <w:rPr>
          <w:lang w:val="es-SV"/>
        </w:rPr>
        <w:t>Se podrán emitir y negociar a través de la Bolsa de Valores obligaciones convertibles en acciones, previas el cumplimiento de las disposiciones legales aplicables a este tipo de valores y a la normativa del mercado de valores.</w:t>
      </w:r>
    </w:p>
    <w:p w:rsidR="00BF6F80" w:rsidRPr="00BF6F80" w:rsidRDefault="00BF6F80" w:rsidP="009570AB">
      <w:pPr>
        <w:jc w:val="center"/>
        <w:rPr>
          <w:lang w:val="es-SV"/>
        </w:rPr>
      </w:pPr>
      <w:r w:rsidRPr="00BF6F80">
        <w:rPr>
          <w:b/>
          <w:bCs/>
          <w:lang w:val="es-SV"/>
        </w:rPr>
        <w:t>CAPÍTULO X</w:t>
      </w:r>
    </w:p>
    <w:p w:rsidR="009570AB" w:rsidRDefault="00BF6F80" w:rsidP="009570AB">
      <w:pPr>
        <w:jc w:val="center"/>
        <w:rPr>
          <w:b/>
          <w:bCs/>
          <w:lang w:val="es-SV"/>
        </w:rPr>
      </w:pPr>
      <w:r w:rsidRPr="00BF6F80">
        <w:rPr>
          <w:b/>
          <w:bCs/>
          <w:lang w:val="es-SV"/>
        </w:rPr>
        <w:t xml:space="preserve">FORMACION  DE SOCIEDADES DE CAPITAL POR SUSCRIPCION  PÚBLICA </w:t>
      </w:r>
    </w:p>
    <w:p w:rsidR="00BF6F80" w:rsidRPr="00BF6F80" w:rsidRDefault="00BF6F80" w:rsidP="009570AB">
      <w:pPr>
        <w:rPr>
          <w:lang w:val="es-SV"/>
        </w:rPr>
      </w:pPr>
      <w:r w:rsidRPr="00BF6F80">
        <w:rPr>
          <w:b/>
          <w:bCs/>
          <w:lang w:val="es-SV"/>
        </w:rPr>
        <w:t>SOLICITUD Y ANEXOS</w:t>
      </w:r>
    </w:p>
    <w:p w:rsidR="00BF6F80" w:rsidRPr="00BF6F80" w:rsidRDefault="00BF6F80" w:rsidP="00BF6F80">
      <w:pPr>
        <w:jc w:val="both"/>
        <w:rPr>
          <w:lang w:val="es-SV"/>
        </w:rPr>
      </w:pPr>
      <w:r w:rsidRPr="00BF6F80">
        <w:rPr>
          <w:b/>
          <w:bCs/>
          <w:lang w:val="es-SV"/>
        </w:rPr>
        <w:t xml:space="preserve">Art. </w:t>
      </w:r>
      <w:r w:rsidRPr="00BF6F80">
        <w:rPr>
          <w:b/>
          <w:lang w:val="es-SV"/>
        </w:rPr>
        <w:t>35-</w:t>
      </w:r>
      <w:r w:rsidRPr="00BF6F80">
        <w:rPr>
          <w:lang w:val="es-SV"/>
        </w:rPr>
        <w:t xml:space="preserve"> Cuando se pretenda constituir una sociedad anónima por suscripción pública y los promotores deseen que el proceso de venta de las suscripciones se realice en una Bolsa, el representante de aquellos deberá solicitarlo a la Bolsa de Valores,  a  través  de  una  Casa  de  Corredores,  previa  autorización  de  la</w:t>
      </w:r>
      <w:r w:rsidR="009570AB">
        <w:rPr>
          <w:lang w:val="es-SV"/>
        </w:rPr>
        <w:t xml:space="preserve"> </w:t>
      </w:r>
      <w:r w:rsidRPr="00BF6F80">
        <w:rPr>
          <w:lang w:val="es-SV"/>
        </w:rPr>
        <w:t>Superintendencia. Dicha solicitud deberá estar acompañada del programa, un estudio en el que se demuestre la factibilidad del proyecto y de los demás requisitos establecidos en la Ley y la normativa dictada para tal efecto.</w:t>
      </w:r>
    </w:p>
    <w:p w:rsidR="00BF6F80" w:rsidRPr="00BF6F80" w:rsidRDefault="00BF6F80" w:rsidP="00BF6F80">
      <w:pPr>
        <w:jc w:val="both"/>
        <w:rPr>
          <w:lang w:val="es-SV"/>
        </w:rPr>
      </w:pPr>
      <w:r w:rsidRPr="00BF6F80">
        <w:rPr>
          <w:lang w:val="es-SV"/>
        </w:rPr>
        <w:t>El Presidente de la Bolsa de Valores o en quien él delegue, previa verificación de los requisitos correspondientes autorizará la solicitud e informará su resolución a los promotores, por medio de la Casa respectiva, y a la Superintendencia del Sistema Financiero.</w:t>
      </w:r>
    </w:p>
    <w:p w:rsidR="00BF6F80" w:rsidRPr="00BF6F80" w:rsidRDefault="00BF6F80" w:rsidP="00BF6F80">
      <w:pPr>
        <w:jc w:val="both"/>
        <w:rPr>
          <w:lang w:val="es-SV"/>
        </w:rPr>
      </w:pPr>
      <w:r w:rsidRPr="00BF6F80">
        <w:rPr>
          <w:lang w:val="es-SV"/>
        </w:rPr>
        <w:t>Una vez depositado el programa y el estudio de factibilidad en el Registro de Comercio, con sus debidas autorizaciones, los promotores tendrán ciento ochenta días para completar el proceso de suscripción, de conformidad con el art.  9-A de la Ley del Mercado de Valores y el Código de Comercio.</w:t>
      </w:r>
    </w:p>
    <w:p w:rsidR="00BF6F80" w:rsidRPr="00BF6F80" w:rsidRDefault="00BF6F80" w:rsidP="00BF6F80">
      <w:pPr>
        <w:jc w:val="both"/>
        <w:rPr>
          <w:lang w:val="es-SV"/>
        </w:rPr>
      </w:pPr>
      <w:r w:rsidRPr="00BF6F80">
        <w:rPr>
          <w:b/>
          <w:bCs/>
          <w:lang w:val="es-SV"/>
        </w:rPr>
        <w:t>NOTIFICACIÓN DE NOMBRAMIENTO DEL REPRESENTANTE DE LOS PROMOTORES</w:t>
      </w:r>
    </w:p>
    <w:p w:rsidR="00BF6F80" w:rsidRPr="00BF6F80" w:rsidRDefault="00BF6F80" w:rsidP="00BF6F80">
      <w:pPr>
        <w:jc w:val="both"/>
        <w:rPr>
          <w:lang w:val="es-SV"/>
        </w:rPr>
      </w:pPr>
      <w:r w:rsidRPr="00BF6F80">
        <w:rPr>
          <w:b/>
          <w:bCs/>
          <w:lang w:val="es-SV"/>
        </w:rPr>
        <w:lastRenderedPageBreak/>
        <w:t xml:space="preserve">Art. </w:t>
      </w:r>
      <w:r w:rsidRPr="00BF6F80">
        <w:rPr>
          <w:b/>
          <w:lang w:val="es-SV"/>
        </w:rPr>
        <w:t>36</w:t>
      </w:r>
      <w:r w:rsidRPr="009570AB">
        <w:rPr>
          <w:b/>
          <w:lang w:val="es-SV"/>
        </w:rPr>
        <w:t>-</w:t>
      </w:r>
      <w:r w:rsidRPr="00BF6F80">
        <w:rPr>
          <w:lang w:val="es-SV"/>
        </w:rPr>
        <w:t xml:space="preserve"> Los promotores del proyecto deberán, por medio de acuerdo unánime, proponer a un representante común, quién a su vez fungirá como administrador de los fondos que sean aportados por los mismos promotores. Dicho nombramiento deberá ser comunicado a la Bolsa de Valores y contener las formalidades que dicten la normativa o ley respectiva.</w:t>
      </w:r>
    </w:p>
    <w:p w:rsidR="00BF6F80" w:rsidRPr="00BF6F80" w:rsidRDefault="00BF6F80" w:rsidP="00BF6F80">
      <w:pPr>
        <w:jc w:val="both"/>
        <w:rPr>
          <w:lang w:val="es-SV"/>
        </w:rPr>
      </w:pPr>
      <w:r w:rsidRPr="00BF6F80">
        <w:rPr>
          <w:b/>
          <w:bCs/>
          <w:lang w:val="es-SV"/>
        </w:rPr>
        <w:t>NOTIFICACION DE REVOCATORIA DEL NOMBRAMIENTO DEL REPRESENTANTE DE LOS PROMOTORES</w:t>
      </w:r>
    </w:p>
    <w:p w:rsidR="00BF6F80" w:rsidRPr="00BF6F80" w:rsidRDefault="00BF6F80" w:rsidP="00BF6F80">
      <w:pPr>
        <w:jc w:val="both"/>
        <w:rPr>
          <w:lang w:val="es-SV"/>
        </w:rPr>
      </w:pPr>
      <w:r w:rsidRPr="009570AB">
        <w:rPr>
          <w:b/>
          <w:bCs/>
          <w:lang w:val="es-SV"/>
        </w:rPr>
        <w:t xml:space="preserve">Art. </w:t>
      </w:r>
      <w:r w:rsidRPr="009570AB">
        <w:rPr>
          <w:b/>
          <w:lang w:val="es-SV"/>
        </w:rPr>
        <w:t>37-</w:t>
      </w:r>
      <w:r w:rsidRPr="00BF6F80">
        <w:rPr>
          <w:lang w:val="es-SV"/>
        </w:rPr>
        <w:t xml:space="preserve"> La revocatoria del nombramiento del Representante de los Promotores deberá notificarse a la Superintendencia, a la Bolsa, a la Casa de Corredores solicitante del trámite y al representante revocado, a más tardar tres días hábiles posteriores a la fecha de efectuada la revocatoria.</w:t>
      </w:r>
    </w:p>
    <w:p w:rsidR="00BF6F80" w:rsidRPr="00BF6F80" w:rsidRDefault="00BF6F80" w:rsidP="00BF6F80">
      <w:pPr>
        <w:jc w:val="both"/>
        <w:rPr>
          <w:lang w:val="es-SV"/>
        </w:rPr>
      </w:pPr>
      <w:r w:rsidRPr="00BF6F80">
        <w:rPr>
          <w:b/>
          <w:bCs/>
          <w:lang w:val="es-SV"/>
        </w:rPr>
        <w:t>DE LA PUBLICIDAD O PROPAGANDA Y DIFUSIÓN</w:t>
      </w:r>
    </w:p>
    <w:p w:rsidR="00BF6F80" w:rsidRPr="00BF6F80" w:rsidRDefault="00BF6F80" w:rsidP="00BF6F80">
      <w:pPr>
        <w:jc w:val="both"/>
        <w:rPr>
          <w:lang w:val="es-SV"/>
        </w:rPr>
      </w:pPr>
      <w:r w:rsidRPr="00BF6F80">
        <w:rPr>
          <w:b/>
          <w:bCs/>
          <w:lang w:val="es-SV"/>
        </w:rPr>
        <w:t xml:space="preserve">Art. 38- </w:t>
      </w:r>
      <w:r w:rsidRPr="00BF6F80">
        <w:rPr>
          <w:lang w:val="es-SV"/>
        </w:rPr>
        <w:t>Toda publicidad, propaganda o documento de difusión que se pretenda divulgar o hacer del conocimiento del público, deberá ser previamente  aprobado</w:t>
      </w:r>
      <w:r w:rsidR="009570AB">
        <w:rPr>
          <w:lang w:val="es-SV"/>
        </w:rPr>
        <w:t xml:space="preserve"> </w:t>
      </w:r>
      <w:r w:rsidRPr="00BF6F80">
        <w:rPr>
          <w:lang w:val="es-SV"/>
        </w:rPr>
        <w:t>por la Superintendencia y a la Bolsa de Valores. La Casa de Corredores puede enviar la solicitud simultáneamente a ambas instituciones.</w:t>
      </w:r>
    </w:p>
    <w:p w:rsidR="00BF6F80" w:rsidRPr="00BF6F80" w:rsidRDefault="00BF6F80" w:rsidP="00BF6F80">
      <w:pPr>
        <w:jc w:val="both"/>
        <w:rPr>
          <w:lang w:val="es-SV"/>
        </w:rPr>
      </w:pPr>
      <w:r w:rsidRPr="00BF6F80">
        <w:rPr>
          <w:b/>
          <w:bCs/>
          <w:lang w:val="es-SV"/>
        </w:rPr>
        <w:t>RAZONES LITERALES</w:t>
      </w:r>
    </w:p>
    <w:p w:rsidR="00BF6F80" w:rsidRPr="00BF6F80" w:rsidRDefault="00BF6F80" w:rsidP="00BF6F80">
      <w:pPr>
        <w:jc w:val="both"/>
        <w:rPr>
          <w:lang w:val="es-SV"/>
        </w:rPr>
      </w:pPr>
      <w:r w:rsidRPr="00BF6F80">
        <w:rPr>
          <w:b/>
          <w:bCs/>
          <w:lang w:val="es-SV"/>
        </w:rPr>
        <w:t>Art. 39-</w:t>
      </w:r>
      <w:r w:rsidRPr="00BF6F80">
        <w:rPr>
          <w:lang w:val="es-SV"/>
        </w:rPr>
        <w:t xml:space="preserve"> Tanto en el programa que sea depositado en el Registro de Comercio, como en toda clase de publicidad o propaganda que se hiciere por los promotores, deberá de hacerse mención de la siguiente leyenda:</w:t>
      </w:r>
    </w:p>
    <w:p w:rsidR="00BF6F80" w:rsidRPr="00BF6F80" w:rsidRDefault="00BF6F80" w:rsidP="00BF6F80">
      <w:pPr>
        <w:jc w:val="both"/>
        <w:rPr>
          <w:lang w:val="es-SV"/>
        </w:rPr>
      </w:pPr>
      <w:r w:rsidRPr="00BF6F80">
        <w:rPr>
          <w:lang w:val="es-SV"/>
        </w:rPr>
        <w:t>"El proceso de constitución social será realizado a través de la Bolsa de Valores de El Salvador, S.A. de C.V., sin embargo, este hecho no implica certificación sobre la viabilidad o factibilidad económica del proyecto ni sobre ninguna clase de solvencia de los promotores y futuros suscriptores".</w:t>
      </w:r>
    </w:p>
    <w:p w:rsidR="00BF6F80" w:rsidRPr="00BF6F80" w:rsidRDefault="00BF6F80" w:rsidP="00BF6F80">
      <w:pPr>
        <w:jc w:val="both"/>
        <w:rPr>
          <w:lang w:val="es-SV"/>
        </w:rPr>
      </w:pPr>
      <w:r w:rsidRPr="00BF6F80">
        <w:rPr>
          <w:b/>
          <w:bCs/>
          <w:lang w:val="es-SV"/>
        </w:rPr>
        <w:t>DEL REGISTRO  DE LAS APORTACIONES</w:t>
      </w:r>
    </w:p>
    <w:p w:rsidR="00BF6F80" w:rsidRPr="00BF6F80" w:rsidRDefault="00BF6F80" w:rsidP="00BF6F80">
      <w:pPr>
        <w:jc w:val="both"/>
        <w:rPr>
          <w:lang w:val="es-SV"/>
        </w:rPr>
      </w:pPr>
      <w:r w:rsidRPr="00BF6F80">
        <w:rPr>
          <w:b/>
          <w:bCs/>
          <w:lang w:val="es-SV"/>
        </w:rPr>
        <w:t xml:space="preserve">Art. 40-  </w:t>
      </w:r>
      <w:r w:rsidRPr="00BF6F80">
        <w:rPr>
          <w:lang w:val="es-SV"/>
        </w:rPr>
        <w:t>La Casa de Corredores respectiva, tendrá la obligación de llevar y actualizar por lo menos cada quince días, un registro pormenorizado de las aportaciones realizadas y deberá notificar por escrito al menos quincenalmente, el estado de dicho registro, al representante de los promotores, a la institución Bancaria en donde estuviere abierta la cuenta restringida, a la Superintendencia y a la Bolsa.</w:t>
      </w:r>
    </w:p>
    <w:p w:rsidR="00BF6F80" w:rsidRPr="00BF6F80" w:rsidRDefault="00BF6F80" w:rsidP="00BF6F80">
      <w:pPr>
        <w:jc w:val="both"/>
        <w:rPr>
          <w:lang w:val="es-SV"/>
        </w:rPr>
      </w:pPr>
      <w:r w:rsidRPr="00BF6F80">
        <w:rPr>
          <w:b/>
          <w:bCs/>
          <w:lang w:val="es-SV"/>
        </w:rPr>
        <w:t>SUSCRIPCIÓN  PÚBLICA</w:t>
      </w:r>
    </w:p>
    <w:p w:rsidR="00BF6F80" w:rsidRPr="00BF6F80" w:rsidRDefault="00BF6F80" w:rsidP="00BF6F80">
      <w:pPr>
        <w:jc w:val="both"/>
        <w:rPr>
          <w:lang w:val="es-SV"/>
        </w:rPr>
      </w:pPr>
      <w:r w:rsidRPr="00BF6F80">
        <w:rPr>
          <w:b/>
          <w:bCs/>
          <w:lang w:val="es-SV"/>
        </w:rPr>
        <w:t xml:space="preserve">Art. 41- </w:t>
      </w:r>
      <w:r w:rsidRPr="00BF6F80">
        <w:rPr>
          <w:lang w:val="es-SV"/>
        </w:rPr>
        <w:t xml:space="preserve">Una vez cumplidos los requisitos exigidos por este instructivo y por la normativa aplicable, y estando por lo tanto depositado en la cuenta respectiva, la totalidad del capital que conjuntamente se obligaron a pagar, la Casa de Corredores deberá notificar por escrito dicha circunstancia al representante de los promotores, a la Superintendencia y a la Bolsa, debiendo </w:t>
      </w:r>
      <w:r w:rsidRPr="00BF6F80">
        <w:rPr>
          <w:lang w:val="es-SV"/>
        </w:rPr>
        <w:lastRenderedPageBreak/>
        <w:t>adjuntar a dicha notificación, una certificación emitida por la institución Bancaria en la que se haga constar dicha circunstancia.</w:t>
      </w:r>
    </w:p>
    <w:p w:rsidR="009570AB" w:rsidRPr="009570AB" w:rsidRDefault="009570AB" w:rsidP="009570AB">
      <w:pPr>
        <w:jc w:val="both"/>
      </w:pPr>
      <w:r w:rsidRPr="009570AB">
        <w:rPr>
          <w:b/>
          <w:bCs/>
        </w:rPr>
        <w:t>NEGOCIACIÓN DE LAS SUSCRIPCIONES</w:t>
      </w:r>
    </w:p>
    <w:p w:rsidR="009570AB" w:rsidRPr="009570AB" w:rsidRDefault="009570AB" w:rsidP="009570AB">
      <w:pPr>
        <w:jc w:val="both"/>
        <w:rPr>
          <w:lang w:val="es-SV"/>
        </w:rPr>
      </w:pPr>
      <w:r w:rsidRPr="009570AB">
        <w:rPr>
          <w:b/>
          <w:bCs/>
          <w:lang w:val="es-SV"/>
        </w:rPr>
        <w:t xml:space="preserve">Art. 42- </w:t>
      </w:r>
      <w:r w:rsidRPr="009570AB">
        <w:rPr>
          <w:lang w:val="es-SV"/>
        </w:rPr>
        <w:t>Luego de que la Casa de Corredores de Bolsa notifique a esta la fecha de negociación según el Instructivo de Colocaciones, la Bolsa habilitará una sesión especial de negociación en la fecha en que esta se realice.</w:t>
      </w:r>
    </w:p>
    <w:p w:rsidR="009570AB" w:rsidRPr="009570AB" w:rsidRDefault="009570AB" w:rsidP="009570AB">
      <w:pPr>
        <w:jc w:val="both"/>
        <w:rPr>
          <w:lang w:val="es-SV"/>
        </w:rPr>
      </w:pPr>
      <w:r w:rsidRPr="009570AB">
        <w:rPr>
          <w:lang w:val="es-SV"/>
        </w:rPr>
        <w:t>Realizada la sesión, la Casa de Corredores compradora y la Casa de Corredores vendedora gestionarán que sus respectivos clientes firmen la suscripción. Cada suscripción se recogerá por duplicado y deberá ser firmada por el representante de los promotores y el comprador, debiendo quedar en poder del primero el original y el duplicado en poder de cada uno de los compradores. Adicionalmente, quedará bajo custodia de cada una de las Casas de Corredores que intervinieron en la operación, una copia certificada notarialmente de cada una de las suscripciones realizadas.</w:t>
      </w:r>
    </w:p>
    <w:p w:rsidR="009570AB" w:rsidRPr="009570AB" w:rsidRDefault="009570AB" w:rsidP="009570AB">
      <w:pPr>
        <w:jc w:val="both"/>
        <w:rPr>
          <w:lang w:val="es-SV"/>
        </w:rPr>
      </w:pPr>
      <w:r w:rsidRPr="009570AB">
        <w:rPr>
          <w:b/>
          <w:bCs/>
          <w:lang w:val="es-SV"/>
        </w:rPr>
        <w:t>LIQUIDACIÓN EN EFECTIVO</w:t>
      </w:r>
    </w:p>
    <w:p w:rsidR="009570AB" w:rsidRPr="009570AB" w:rsidRDefault="009570AB" w:rsidP="009570AB">
      <w:pPr>
        <w:jc w:val="both"/>
        <w:rPr>
          <w:lang w:val="es-SV"/>
        </w:rPr>
      </w:pPr>
      <w:r w:rsidRPr="009570AB">
        <w:rPr>
          <w:b/>
          <w:bCs/>
          <w:lang w:val="es-SV"/>
        </w:rPr>
        <w:t xml:space="preserve">Art. 43- </w:t>
      </w:r>
      <w:r w:rsidRPr="009570AB">
        <w:rPr>
          <w:lang w:val="es-SV"/>
        </w:rPr>
        <w:t>Las aportaciones deberán liquidarse en efectivo, para aquellas operaciones que se realicen a través de la Bolsa de Valores.</w:t>
      </w:r>
    </w:p>
    <w:p w:rsidR="009570AB" w:rsidRPr="009570AB" w:rsidRDefault="009570AB" w:rsidP="009570AB">
      <w:pPr>
        <w:jc w:val="both"/>
        <w:rPr>
          <w:lang w:val="es-SV"/>
        </w:rPr>
      </w:pPr>
      <w:r w:rsidRPr="009570AB">
        <w:rPr>
          <w:b/>
          <w:bCs/>
          <w:lang w:val="es-SV"/>
        </w:rPr>
        <w:t>PLAZO PARA LA SUSCRIPCIÓN TOTAL DE LAS ACCIONES</w:t>
      </w:r>
    </w:p>
    <w:p w:rsidR="009570AB" w:rsidRPr="009570AB" w:rsidRDefault="009570AB" w:rsidP="009570AB">
      <w:pPr>
        <w:jc w:val="both"/>
        <w:rPr>
          <w:lang w:val="es-SV"/>
        </w:rPr>
      </w:pPr>
      <w:r w:rsidRPr="009570AB">
        <w:rPr>
          <w:b/>
          <w:bCs/>
          <w:lang w:val="es-SV"/>
        </w:rPr>
        <w:t xml:space="preserve">Art. 44- </w:t>
      </w:r>
      <w:r w:rsidRPr="009570AB">
        <w:rPr>
          <w:lang w:val="es-SV"/>
        </w:rPr>
        <w:t>Todas las acciones deberán quedar suscritas dentro del plazo de ciento ochenta días, contados a partir de la fecha del depósito del programa en el Registro de Comercio. Cuando no se hubieren vendido todas las suscripciones en el plazo señalado o por cualquier motivo no su llegare a constituir la sociedad, la Casa de Corredores respectiva deberá informar este hecho a la Superintendencia del Sistema Financiero y a la Bolsa de Valores y proceder conforme lo instruya la Superintendencia.</w:t>
      </w:r>
    </w:p>
    <w:p w:rsidR="009570AB" w:rsidRPr="009570AB" w:rsidRDefault="009570AB" w:rsidP="009570AB">
      <w:pPr>
        <w:jc w:val="both"/>
        <w:rPr>
          <w:lang w:val="es-SV"/>
        </w:rPr>
      </w:pPr>
      <w:r w:rsidRPr="009570AB">
        <w:rPr>
          <w:lang w:val="es-SV"/>
        </w:rPr>
        <w:t>Vendidas la totalidad del capital social previsto, la Casa de Corredores deberá comunicar dicha circunstancia a  los promotores a la Bolsa, a  la Institución Bancaria y a la Superintendencia y proceder de conformidad con las normas aplicables.</w:t>
      </w:r>
    </w:p>
    <w:p w:rsidR="009570AB" w:rsidRPr="009570AB" w:rsidRDefault="009570AB" w:rsidP="009570AB">
      <w:pPr>
        <w:jc w:val="both"/>
      </w:pPr>
      <w:r w:rsidRPr="009570AB">
        <w:rPr>
          <w:b/>
          <w:bCs/>
        </w:rPr>
        <w:t>EMISIÓN DE LAS ACCIONES</w:t>
      </w:r>
    </w:p>
    <w:p w:rsidR="009570AB" w:rsidRPr="009570AB" w:rsidRDefault="009570AB" w:rsidP="009570AB">
      <w:pPr>
        <w:jc w:val="both"/>
        <w:rPr>
          <w:lang w:val="es-SV"/>
        </w:rPr>
      </w:pPr>
      <w:r w:rsidRPr="009570AB">
        <w:rPr>
          <w:b/>
          <w:bCs/>
          <w:lang w:val="es-SV"/>
        </w:rPr>
        <w:t xml:space="preserve">Art. 45- </w:t>
      </w:r>
      <w:r w:rsidRPr="009570AB">
        <w:rPr>
          <w:lang w:val="es-SV"/>
        </w:rPr>
        <w:t>Una vez otorgada e inscrita en el Registro de Comercio la Escritura Pública de constitución de la sociedad, los administradores en ella nombrados, deberán proceder a emitir los certificados de acciones correspondientes cumpliendo con todos los requisitos legales. Dicha emisión tendrá el carácter de oferta pública y por tanto deberá cumplir con lo que se establece para tal efecto en la Ley del Mercado de Valores y la normativa e instructivos aplicables.</w:t>
      </w:r>
    </w:p>
    <w:p w:rsidR="009570AB" w:rsidRDefault="009570AB" w:rsidP="009570AB">
      <w:pPr>
        <w:jc w:val="center"/>
        <w:rPr>
          <w:b/>
          <w:bCs/>
          <w:lang w:val="es-SV"/>
        </w:rPr>
      </w:pPr>
      <w:r w:rsidRPr="009570AB">
        <w:rPr>
          <w:b/>
          <w:bCs/>
          <w:lang w:val="es-SV"/>
        </w:rPr>
        <w:t xml:space="preserve">CAPÍTULO XI </w:t>
      </w:r>
    </w:p>
    <w:p w:rsidR="009570AB" w:rsidRPr="009570AB" w:rsidRDefault="009570AB" w:rsidP="009570AB">
      <w:pPr>
        <w:jc w:val="center"/>
        <w:rPr>
          <w:lang w:val="es-SV"/>
        </w:rPr>
      </w:pPr>
      <w:r w:rsidRPr="009570AB">
        <w:rPr>
          <w:b/>
          <w:bCs/>
          <w:lang w:val="es-SV"/>
        </w:rPr>
        <w:t>ACCIONES DE TESORERIA</w:t>
      </w:r>
    </w:p>
    <w:p w:rsidR="009570AB" w:rsidRPr="009570AB" w:rsidRDefault="009570AB" w:rsidP="009570AB">
      <w:pPr>
        <w:jc w:val="both"/>
        <w:rPr>
          <w:lang w:val="es-SV"/>
        </w:rPr>
      </w:pPr>
      <w:r w:rsidRPr="009570AB">
        <w:rPr>
          <w:b/>
          <w:bCs/>
          <w:lang w:val="es-SV"/>
        </w:rPr>
        <w:lastRenderedPageBreak/>
        <w:t xml:space="preserve">Art. 46- </w:t>
      </w:r>
      <w:r w:rsidRPr="009570AB">
        <w:rPr>
          <w:lang w:val="es-SV"/>
        </w:rPr>
        <w:t>Las acciones de tesorería, según el art. 5, literal o) de la Ley del Mercado de Valores, son aquellas emitidas por una sociedad, que se encuentran pendientes de suscripción y pago, las cuales, una vez suscritas se convierten en acciones ordinarias.</w:t>
      </w:r>
    </w:p>
    <w:p w:rsidR="009570AB" w:rsidRPr="009570AB" w:rsidRDefault="009570AB" w:rsidP="009570AB">
      <w:pPr>
        <w:jc w:val="both"/>
        <w:rPr>
          <w:lang w:val="es-SV"/>
        </w:rPr>
      </w:pPr>
      <w:r w:rsidRPr="009570AB">
        <w:rPr>
          <w:lang w:val="es-SV"/>
        </w:rPr>
        <w:t>Este tipo de acciones se regirán por lo prescrito en el art. 72-A de la Ley del Mercado de Valores, el Código de Comercio y las leyes o normativas especiales que resulten aplicables, según el tipo de emisor.</w:t>
      </w:r>
    </w:p>
    <w:p w:rsidR="009570AB" w:rsidRDefault="009570AB" w:rsidP="009570AB">
      <w:pPr>
        <w:jc w:val="center"/>
        <w:rPr>
          <w:b/>
          <w:bCs/>
          <w:lang w:val="es-SV"/>
        </w:rPr>
      </w:pPr>
      <w:r w:rsidRPr="009570AB">
        <w:rPr>
          <w:b/>
          <w:bCs/>
          <w:lang w:val="es-SV"/>
        </w:rPr>
        <w:t xml:space="preserve">CAPÍTULO XII </w:t>
      </w:r>
    </w:p>
    <w:p w:rsidR="009570AB" w:rsidRPr="009570AB" w:rsidRDefault="009570AB" w:rsidP="009570AB">
      <w:pPr>
        <w:jc w:val="center"/>
        <w:rPr>
          <w:lang w:val="es-SV"/>
        </w:rPr>
      </w:pPr>
      <w:r>
        <w:rPr>
          <w:b/>
          <w:bCs/>
          <w:lang w:val="es-SV"/>
        </w:rPr>
        <w:t xml:space="preserve">ACCIONES </w:t>
      </w:r>
      <w:r w:rsidRPr="009570AB">
        <w:rPr>
          <w:b/>
          <w:bCs/>
          <w:lang w:val="es-SV"/>
        </w:rPr>
        <w:t>PREFERIDAS</w:t>
      </w:r>
    </w:p>
    <w:p w:rsidR="009570AB" w:rsidRPr="009570AB" w:rsidRDefault="009570AB" w:rsidP="009570AB">
      <w:pPr>
        <w:jc w:val="both"/>
        <w:rPr>
          <w:lang w:val="es-SV"/>
        </w:rPr>
      </w:pPr>
      <w:r w:rsidRPr="009570AB">
        <w:rPr>
          <w:b/>
          <w:bCs/>
          <w:lang w:val="es-SV"/>
        </w:rPr>
        <w:t>EMISIÓN DE ACCIONES PREFERIDAS</w:t>
      </w:r>
    </w:p>
    <w:p w:rsidR="009570AB" w:rsidRPr="009570AB" w:rsidRDefault="009570AB" w:rsidP="009570AB">
      <w:pPr>
        <w:jc w:val="both"/>
        <w:rPr>
          <w:lang w:val="es-SV"/>
        </w:rPr>
      </w:pPr>
      <w:r w:rsidRPr="009570AB">
        <w:rPr>
          <w:b/>
          <w:bCs/>
          <w:lang w:val="es-SV"/>
        </w:rPr>
        <w:t xml:space="preserve">Art. 47- </w:t>
      </w:r>
      <w:r w:rsidRPr="009570AB">
        <w:rPr>
          <w:lang w:val="es-SV"/>
        </w:rPr>
        <w:t>Para que una Sociedad Anónima salvadoreña pueda emitir acciones preferidas, debe establecerse esa autorización en su pacto social o estatutos, en donde se establezca los derechos y obligaciones de esta clase de acciones.</w:t>
      </w:r>
    </w:p>
    <w:p w:rsidR="009570AB" w:rsidRPr="009570AB" w:rsidRDefault="009570AB" w:rsidP="009570AB">
      <w:pPr>
        <w:jc w:val="both"/>
        <w:rPr>
          <w:lang w:val="es-SV"/>
        </w:rPr>
      </w:pPr>
      <w:r w:rsidRPr="009570AB">
        <w:rPr>
          <w:b/>
          <w:bCs/>
          <w:lang w:val="es-SV"/>
        </w:rPr>
        <w:t>NEGOCIABILIDAD  DE LAS ACCIONES  PREFERIDAS</w:t>
      </w:r>
    </w:p>
    <w:p w:rsidR="00BF6F80" w:rsidRDefault="009570AB" w:rsidP="009570AB">
      <w:pPr>
        <w:jc w:val="both"/>
        <w:rPr>
          <w:lang w:val="es-SV"/>
        </w:rPr>
      </w:pPr>
      <w:r w:rsidRPr="009570AB">
        <w:rPr>
          <w:b/>
          <w:bCs/>
          <w:lang w:val="es-SV"/>
        </w:rPr>
        <w:t xml:space="preserve">Art. 48- </w:t>
      </w:r>
      <w:r w:rsidRPr="009570AB">
        <w:rPr>
          <w:lang w:val="es-SV"/>
        </w:rPr>
        <w:t>Para que las acciones preferidas puedan ser negociadas en la Bolsa de Valores, estas deberán cumplir con lo establecido en la Ley del Mercado de Valores y el Código de Comercio</w:t>
      </w:r>
      <w:r>
        <w:rPr>
          <w:lang w:val="es-SV"/>
        </w:rPr>
        <w:t>.</w:t>
      </w:r>
    </w:p>
    <w:p w:rsidR="009570AB" w:rsidRPr="009570AB" w:rsidRDefault="009570AB" w:rsidP="009570AB">
      <w:pPr>
        <w:jc w:val="both"/>
        <w:rPr>
          <w:lang w:val="es-SV"/>
        </w:rPr>
      </w:pPr>
      <w:r w:rsidRPr="009570AB">
        <w:rPr>
          <w:b/>
          <w:bCs/>
          <w:lang w:val="es-SV"/>
        </w:rPr>
        <w:t>DESMATERIALIZACIÓN  DE LAS ACCIONES  PREFERIDAS</w:t>
      </w:r>
    </w:p>
    <w:p w:rsidR="009570AB" w:rsidRPr="009570AB" w:rsidRDefault="009570AB" w:rsidP="009570AB">
      <w:pPr>
        <w:jc w:val="both"/>
        <w:rPr>
          <w:lang w:val="es-SV"/>
        </w:rPr>
      </w:pPr>
      <w:r w:rsidRPr="009570AB">
        <w:rPr>
          <w:b/>
          <w:bCs/>
          <w:lang w:val="es-SV"/>
        </w:rPr>
        <w:t xml:space="preserve">Art. 49- </w:t>
      </w:r>
      <w:r w:rsidRPr="009570AB">
        <w:rPr>
          <w:lang w:val="es-SV"/>
        </w:rPr>
        <w:t xml:space="preserve">Las acciones preferidas podrán emitirse desmaterializadas, a discreción de la sociedad emisora. En este caso, deberán cumplirse todos los requisitos pertinentes.  Sin perjuicio de lo anterior, para poder emitir acciones preferidas </w:t>
      </w:r>
      <w:r>
        <w:rPr>
          <w:lang w:val="es-SV"/>
        </w:rPr>
        <w:t xml:space="preserve">desmaterializadas </w:t>
      </w:r>
      <w:r w:rsidRPr="009570AB">
        <w:rPr>
          <w:lang w:val="es-SV"/>
        </w:rPr>
        <w:t>es necesario que todas las acciones se encuentren desmaterializadas.</w:t>
      </w:r>
    </w:p>
    <w:p w:rsidR="009570AB" w:rsidRDefault="009570AB" w:rsidP="009570AB">
      <w:pPr>
        <w:jc w:val="center"/>
        <w:rPr>
          <w:b/>
          <w:bCs/>
          <w:lang w:val="es-SV"/>
        </w:rPr>
      </w:pPr>
      <w:r w:rsidRPr="009570AB">
        <w:rPr>
          <w:b/>
          <w:bCs/>
          <w:lang w:val="es-SV"/>
        </w:rPr>
        <w:t xml:space="preserve">CAPÍTULO XIII </w:t>
      </w:r>
    </w:p>
    <w:p w:rsidR="009570AB" w:rsidRPr="009570AB" w:rsidRDefault="009570AB" w:rsidP="009570AB">
      <w:pPr>
        <w:jc w:val="center"/>
        <w:rPr>
          <w:lang w:val="es-SV"/>
        </w:rPr>
      </w:pPr>
      <w:r w:rsidRPr="009570AB">
        <w:rPr>
          <w:b/>
          <w:bCs/>
          <w:lang w:val="es-SV"/>
        </w:rPr>
        <w:t>VALORES EXTRANJEROS</w:t>
      </w:r>
    </w:p>
    <w:p w:rsidR="009570AB" w:rsidRPr="009570AB" w:rsidRDefault="009570AB" w:rsidP="009570AB">
      <w:pPr>
        <w:jc w:val="both"/>
        <w:rPr>
          <w:lang w:val="es-SV"/>
        </w:rPr>
      </w:pPr>
      <w:r w:rsidRPr="009570AB">
        <w:rPr>
          <w:b/>
          <w:bCs/>
          <w:lang w:val="es-SV"/>
        </w:rPr>
        <w:t>REGISTRO Y NEGOCIABILIDAD</w:t>
      </w:r>
    </w:p>
    <w:p w:rsidR="009570AB" w:rsidRPr="009570AB" w:rsidRDefault="009570AB" w:rsidP="009570AB">
      <w:pPr>
        <w:jc w:val="both"/>
        <w:rPr>
          <w:lang w:val="es-SV"/>
        </w:rPr>
      </w:pPr>
      <w:r w:rsidRPr="009570AB">
        <w:rPr>
          <w:b/>
          <w:bCs/>
          <w:lang w:val="es-SV"/>
        </w:rPr>
        <w:t xml:space="preserve">Art. 50. </w:t>
      </w:r>
      <w:r w:rsidRPr="009570AB">
        <w:rPr>
          <w:lang w:val="es-SV"/>
        </w:rPr>
        <w:t>Para que una emisión de valores extranjeros se inscriba en la Bolsa de Valores deberá cumplir con lo establecido en el artículo 10 de la Ley del Mercado de Valores, con este instructivo y la normativa aplicable, y estar previamente asentado en el Registro Público Bursátil que lleva la Superintendencia.</w:t>
      </w:r>
    </w:p>
    <w:p w:rsidR="009570AB" w:rsidRPr="009570AB" w:rsidRDefault="009570AB" w:rsidP="009570AB">
      <w:pPr>
        <w:jc w:val="both"/>
        <w:rPr>
          <w:lang w:val="es-SV"/>
        </w:rPr>
      </w:pPr>
      <w:r w:rsidRPr="009570AB">
        <w:rPr>
          <w:lang w:val="es-SV"/>
        </w:rPr>
        <w:t>Cuando estos valores hayan cumplido todos los requisitos para ser de oferta pública, podrán ser objeto de negociación en el mercado, en las condiciones que establezca la Bolsa de Valores.</w:t>
      </w:r>
    </w:p>
    <w:p w:rsidR="009570AB" w:rsidRPr="009570AB" w:rsidRDefault="009570AB" w:rsidP="009570AB">
      <w:pPr>
        <w:jc w:val="both"/>
        <w:rPr>
          <w:lang w:val="es-SV"/>
        </w:rPr>
      </w:pPr>
      <w:r w:rsidRPr="009570AB">
        <w:rPr>
          <w:b/>
          <w:bCs/>
          <w:lang w:val="es-SV"/>
        </w:rPr>
        <w:t>REQUISITOS DE INSCRIPCIÓN</w:t>
      </w:r>
    </w:p>
    <w:p w:rsidR="009570AB" w:rsidRPr="009570AB" w:rsidRDefault="009570AB" w:rsidP="009570AB">
      <w:pPr>
        <w:jc w:val="both"/>
        <w:rPr>
          <w:lang w:val="es-SV"/>
        </w:rPr>
      </w:pPr>
      <w:r w:rsidRPr="009570AB">
        <w:rPr>
          <w:b/>
          <w:bCs/>
          <w:lang w:val="es-SV"/>
        </w:rPr>
        <w:lastRenderedPageBreak/>
        <w:t xml:space="preserve">Art. 51- </w:t>
      </w:r>
      <w:r w:rsidRPr="009570AB">
        <w:rPr>
          <w:lang w:val="es-SV"/>
        </w:rPr>
        <w:t>La Junta Directiva de la Bolsa de Valores o sus delegados, a solicitud de una Casa de Corredores de Bolsa podrá inscribir los valores a que hace referencia este capítulo, siempre y cuando se presente la solicitud respectiva, acompañada de la siguiente información:</w:t>
      </w:r>
    </w:p>
    <w:p w:rsidR="009570AB" w:rsidRPr="00F02197" w:rsidRDefault="009570AB" w:rsidP="00F02197">
      <w:pPr>
        <w:pStyle w:val="Prrafodelista"/>
        <w:numPr>
          <w:ilvl w:val="0"/>
          <w:numId w:val="15"/>
        </w:numPr>
        <w:ind w:left="425" w:hanging="425"/>
        <w:jc w:val="both"/>
        <w:rPr>
          <w:lang w:val="es-SV"/>
        </w:rPr>
      </w:pPr>
      <w:r w:rsidRPr="00F02197">
        <w:rPr>
          <w:lang w:val="es-SV"/>
        </w:rPr>
        <w:t>Copia de la comunicación del acuerdo de autorización de asiento registral del Consejo Directivo de la Superintendencia, así como copia de la certificación del Asiento Registral de la emisión en el Registro Público Bursátil de la Superintendencia.</w:t>
      </w:r>
    </w:p>
    <w:p w:rsidR="00F02197" w:rsidRDefault="009570AB" w:rsidP="00F02197">
      <w:pPr>
        <w:pStyle w:val="Prrafodelista"/>
        <w:numPr>
          <w:ilvl w:val="0"/>
          <w:numId w:val="15"/>
        </w:numPr>
        <w:ind w:left="425" w:hanging="425"/>
        <w:jc w:val="both"/>
        <w:rPr>
          <w:lang w:val="es-SV"/>
        </w:rPr>
      </w:pPr>
      <w:r w:rsidRPr="00F02197">
        <w:rPr>
          <w:lang w:val="es-SV"/>
        </w:rPr>
        <w:t>E</w:t>
      </w:r>
      <w:r w:rsidR="00F02197">
        <w:rPr>
          <w:lang w:val="es-SV"/>
        </w:rPr>
        <w:t xml:space="preserve">l Formulario de </w:t>
      </w:r>
      <w:r w:rsidRPr="00F02197">
        <w:rPr>
          <w:lang w:val="es-SV"/>
        </w:rPr>
        <w:t>Inform</w:t>
      </w:r>
      <w:r w:rsidR="00F02197">
        <w:rPr>
          <w:lang w:val="es-SV"/>
        </w:rPr>
        <w:t xml:space="preserve">ación de </w:t>
      </w:r>
      <w:r w:rsidRPr="00F02197">
        <w:rPr>
          <w:lang w:val="es-SV"/>
        </w:rPr>
        <w:t>Val</w:t>
      </w:r>
      <w:r w:rsidR="00F02197">
        <w:rPr>
          <w:lang w:val="es-SV"/>
        </w:rPr>
        <w:t xml:space="preserve">ores Extranjeros </w:t>
      </w:r>
      <w:r w:rsidRPr="00F02197">
        <w:rPr>
          <w:lang w:val="es-SV"/>
        </w:rPr>
        <w:t>(FODIVEX)</w:t>
      </w:r>
      <w:r w:rsidR="00F02197" w:rsidRPr="00F02197">
        <w:rPr>
          <w:lang w:val="es-SV"/>
        </w:rPr>
        <w:t xml:space="preserve"> </w:t>
      </w:r>
      <w:r w:rsidRPr="00F02197">
        <w:rPr>
          <w:lang w:val="es-SV"/>
        </w:rPr>
        <w:t>debidamente completado, que será proporcionado por la Bolsa de Valores.</w:t>
      </w:r>
    </w:p>
    <w:p w:rsidR="00F02197" w:rsidRDefault="00F02197" w:rsidP="00F02197">
      <w:pPr>
        <w:pStyle w:val="Prrafodelista"/>
        <w:numPr>
          <w:ilvl w:val="0"/>
          <w:numId w:val="15"/>
        </w:numPr>
        <w:ind w:left="425" w:hanging="425"/>
        <w:jc w:val="both"/>
        <w:rPr>
          <w:lang w:val="es-SV"/>
        </w:rPr>
      </w:pPr>
      <w:r w:rsidRPr="00F02197">
        <w:rPr>
          <w:lang w:val="es-SV"/>
        </w:rPr>
        <w:t>Prospecto de emisión, el cual debe presentarse debidamente traducido al español en la parte correspondiente a las características de la emisión. En caso que no se emita prospecto, se presentará un resumen de las características de la emisión.</w:t>
      </w:r>
    </w:p>
    <w:p w:rsidR="00F02197" w:rsidRDefault="00F02197" w:rsidP="00F02197">
      <w:pPr>
        <w:pStyle w:val="Prrafodelista"/>
        <w:numPr>
          <w:ilvl w:val="0"/>
          <w:numId w:val="15"/>
        </w:numPr>
        <w:ind w:left="425" w:hanging="425"/>
        <w:jc w:val="both"/>
        <w:rPr>
          <w:lang w:val="es-SV"/>
        </w:rPr>
      </w:pPr>
      <w:r w:rsidRPr="00F02197">
        <w:rPr>
          <w:lang w:val="es-SV"/>
        </w:rPr>
        <w:t>Otra información que se hubiera presentado a la Superintendencia.</w:t>
      </w:r>
    </w:p>
    <w:p w:rsidR="00F02197" w:rsidRPr="00F02197" w:rsidRDefault="00F02197" w:rsidP="00F02197">
      <w:pPr>
        <w:jc w:val="both"/>
        <w:rPr>
          <w:lang w:val="es-SV"/>
        </w:rPr>
      </w:pPr>
      <w:r w:rsidRPr="00F02197">
        <w:rPr>
          <w:lang w:val="es-SV"/>
        </w:rPr>
        <w:t>La información requerid a deberá encontrarse debidamente actualizada a la fecha que se presente la solicitud y podrá obtenerse de sistemas de información internacionales reconocidos por la Superintendencia del Sistema Financiero. La Casa de Corredores deberá presentar la información haciéndose responsable de la veracidad de la misma y de que la documentación presentada concuerde con la registrada en la fuente de información.</w:t>
      </w:r>
    </w:p>
    <w:p w:rsidR="00F02197" w:rsidRPr="00F02197" w:rsidRDefault="00F02197" w:rsidP="00F02197">
      <w:pPr>
        <w:jc w:val="both"/>
        <w:rPr>
          <w:lang w:val="es-SV"/>
        </w:rPr>
      </w:pPr>
      <w:r w:rsidRPr="00F02197">
        <w:rPr>
          <w:b/>
          <w:bCs/>
          <w:lang w:val="es-SV"/>
        </w:rPr>
        <w:t>VALORES</w:t>
      </w:r>
      <w:r>
        <w:rPr>
          <w:b/>
          <w:bCs/>
          <w:lang w:val="es-SV"/>
        </w:rPr>
        <w:t xml:space="preserve"> </w:t>
      </w:r>
      <w:r w:rsidRPr="00F02197">
        <w:rPr>
          <w:b/>
          <w:bCs/>
          <w:lang w:val="es-SV"/>
        </w:rPr>
        <w:t>EMITIDOS</w:t>
      </w:r>
      <w:r>
        <w:rPr>
          <w:b/>
          <w:bCs/>
          <w:lang w:val="es-SV"/>
        </w:rPr>
        <w:t xml:space="preserve"> </w:t>
      </w:r>
      <w:r w:rsidRPr="00F02197">
        <w:rPr>
          <w:b/>
          <w:bCs/>
          <w:lang w:val="es-SV"/>
        </w:rPr>
        <w:t>POR ESTADOS U ORGANISMOS DE ESTADOS</w:t>
      </w:r>
      <w:r>
        <w:rPr>
          <w:b/>
          <w:bCs/>
          <w:lang w:val="es-SV"/>
        </w:rPr>
        <w:t xml:space="preserve"> </w:t>
      </w:r>
      <w:r w:rsidRPr="00F02197">
        <w:rPr>
          <w:b/>
          <w:bCs/>
          <w:lang w:val="es-SV"/>
        </w:rPr>
        <w:t>CENTROAMERICANOS O REGIONALES.</w:t>
      </w:r>
    </w:p>
    <w:p w:rsidR="00F02197" w:rsidRPr="00F02197" w:rsidRDefault="00F02197" w:rsidP="00F02197">
      <w:pPr>
        <w:jc w:val="both"/>
        <w:rPr>
          <w:lang w:val="es-SV"/>
        </w:rPr>
      </w:pPr>
      <w:r w:rsidRPr="00F02197">
        <w:rPr>
          <w:b/>
          <w:bCs/>
          <w:lang w:val="es-SV"/>
        </w:rPr>
        <w:t xml:space="preserve">Art. 52.- </w:t>
      </w:r>
      <w:r w:rsidRPr="00F02197">
        <w:rPr>
          <w:lang w:val="es-SV"/>
        </w:rPr>
        <w:t>Los valores emitidos por los Estados y Bancos Centrales de los países centroamericanos, así como organismos financieros regionales e internacionales de los cuales el Estado de El Salvador o el BCR sean miembros, podrán ser inscritos en la Bolsa de Valores, previa autorización de la Superintendencia del Sistema Financiero.</w:t>
      </w:r>
    </w:p>
    <w:p w:rsidR="00F02197" w:rsidRPr="00F02197" w:rsidRDefault="00F02197" w:rsidP="00F02197">
      <w:pPr>
        <w:jc w:val="both"/>
        <w:rPr>
          <w:lang w:val="es-SV"/>
        </w:rPr>
      </w:pPr>
      <w:r w:rsidRPr="00F02197">
        <w:rPr>
          <w:lang w:val="es-SV"/>
        </w:rPr>
        <w:t>Para tales efectos, la Casa de Corredores presentará a esta Bolsa de Valores la autorización del Consejo Directivo de la Superintendencia, así como la demás documentación presentada en su momento ante la Superintendencia.</w:t>
      </w:r>
    </w:p>
    <w:p w:rsidR="00F02197" w:rsidRPr="00F02197" w:rsidRDefault="00F02197" w:rsidP="00F02197">
      <w:pPr>
        <w:jc w:val="both"/>
        <w:rPr>
          <w:lang w:val="es-SV"/>
        </w:rPr>
      </w:pPr>
      <w:r w:rsidRPr="00F02197">
        <w:rPr>
          <w:lang w:val="es-SV"/>
        </w:rPr>
        <w:t>Una vez inscritos estos valores podrán negociarse  en la Bolsa de Valores.</w:t>
      </w:r>
    </w:p>
    <w:p w:rsidR="00F02197" w:rsidRPr="00F02197" w:rsidRDefault="00F02197" w:rsidP="00F02197">
      <w:pPr>
        <w:jc w:val="both"/>
        <w:rPr>
          <w:lang w:val="es-SV"/>
        </w:rPr>
      </w:pPr>
      <w:r w:rsidRPr="00F02197">
        <w:rPr>
          <w:b/>
          <w:bCs/>
          <w:lang w:val="es-SV"/>
        </w:rPr>
        <w:t>DEROGATORIA Y TRANSITORIO</w:t>
      </w:r>
    </w:p>
    <w:p w:rsidR="00F02197" w:rsidRDefault="00F02197" w:rsidP="00F02197">
      <w:pPr>
        <w:jc w:val="both"/>
        <w:rPr>
          <w:lang w:val="es-SV"/>
        </w:rPr>
      </w:pPr>
      <w:r w:rsidRPr="00F02197">
        <w:rPr>
          <w:b/>
          <w:bCs/>
          <w:lang w:val="es-SV"/>
        </w:rPr>
        <w:t xml:space="preserve">Art. 53.- </w:t>
      </w:r>
      <w:r w:rsidRPr="00F02197">
        <w:rPr>
          <w:lang w:val="es-SV"/>
        </w:rPr>
        <w:t>Por la emisión del presente instructivo,  se deroga el Instructivo de Emisiones de Valores autorizado por la Junta Directiva de Bolsa de Valores de El Salvador, S.A. de C.V., en sesión número JD-10 /2011, de fecha 19 de julio de 2011, y autorizado por la Superintendencia del Sistema Financiero mediante resolución de No. RSTE-1 /2011, de fecha 29 de julio de 2011</w:t>
      </w:r>
      <w:r>
        <w:rPr>
          <w:lang w:val="es-SV"/>
        </w:rPr>
        <w:t>.</w:t>
      </w:r>
    </w:p>
    <w:p w:rsidR="00F02197" w:rsidRPr="00F02197" w:rsidRDefault="00F02197" w:rsidP="00F02197">
      <w:pPr>
        <w:jc w:val="both"/>
        <w:rPr>
          <w:lang w:val="es-SV"/>
        </w:rPr>
      </w:pPr>
      <w:r w:rsidRPr="00F02197">
        <w:rPr>
          <w:lang w:val="es-SV"/>
        </w:rPr>
        <w:t xml:space="preserve">Las emisiones de valores que antes de la entrada en vigencia de este instructivo se negociaban bajo las reglas contempladas en el instructivo derogado o las establecidas por los usos y las </w:t>
      </w:r>
      <w:r w:rsidRPr="00F02197">
        <w:rPr>
          <w:lang w:val="es-SV"/>
        </w:rPr>
        <w:lastRenderedPageBreak/>
        <w:t>costumbres vigentes a la fecha de inscripción de las mismas, se continuaran rigiendo bajo las mismas reglas y normas por las que fueron aprobados.</w:t>
      </w:r>
    </w:p>
    <w:p w:rsidR="00F02197" w:rsidRPr="00F02197" w:rsidRDefault="00F02197" w:rsidP="00F02197">
      <w:pPr>
        <w:jc w:val="both"/>
        <w:rPr>
          <w:lang w:val="es-SV"/>
        </w:rPr>
      </w:pPr>
      <w:r w:rsidRPr="00F02197">
        <w:rPr>
          <w:b/>
          <w:bCs/>
          <w:lang w:val="es-SV"/>
        </w:rPr>
        <w:t>VIGENCIA:</w:t>
      </w:r>
    </w:p>
    <w:p w:rsidR="00F02197" w:rsidRPr="00F02197" w:rsidRDefault="00F02197" w:rsidP="00F02197">
      <w:pPr>
        <w:jc w:val="both"/>
        <w:rPr>
          <w:lang w:val="es-SV"/>
        </w:rPr>
      </w:pPr>
      <w:r w:rsidRPr="00F02197">
        <w:rPr>
          <w:b/>
          <w:bCs/>
          <w:lang w:val="es-SV"/>
        </w:rPr>
        <w:t xml:space="preserve">Art. 54.- </w:t>
      </w:r>
      <w:r w:rsidRPr="00F02197">
        <w:rPr>
          <w:lang w:val="es-SV"/>
        </w:rPr>
        <w:t>El presente instructivo entrará en vigencia a partir del martes dos de</w:t>
      </w:r>
      <w:r>
        <w:rPr>
          <w:lang w:val="es-SV"/>
        </w:rPr>
        <w:t xml:space="preserve"> </w:t>
      </w:r>
      <w:r w:rsidRPr="00F02197">
        <w:rPr>
          <w:lang w:val="es-SV"/>
        </w:rPr>
        <w:t>junio de dos mil quince.</w:t>
      </w:r>
    </w:p>
    <w:p w:rsidR="00F02197" w:rsidRPr="00F02197" w:rsidRDefault="00F02197" w:rsidP="00F02197">
      <w:pPr>
        <w:jc w:val="both"/>
        <w:rPr>
          <w:lang w:val="es-SV"/>
        </w:rPr>
      </w:pPr>
    </w:p>
    <w:p w:rsidR="00F02197" w:rsidRPr="00F02197" w:rsidRDefault="00F02197" w:rsidP="00F02197">
      <w:pPr>
        <w:jc w:val="both"/>
        <w:rPr>
          <w:lang w:val="es-SV"/>
        </w:rPr>
      </w:pPr>
    </w:p>
    <w:p w:rsidR="00F02197" w:rsidRPr="00F02197" w:rsidRDefault="00F02197" w:rsidP="00F02197">
      <w:pPr>
        <w:jc w:val="both"/>
        <w:rPr>
          <w:lang w:val="es-SV"/>
        </w:rPr>
      </w:pPr>
    </w:p>
    <w:p w:rsidR="00F02197" w:rsidRPr="00F02197" w:rsidRDefault="00F02197" w:rsidP="00F02197">
      <w:pPr>
        <w:jc w:val="both"/>
        <w:rPr>
          <w:lang w:val="es-SV"/>
        </w:rPr>
      </w:pPr>
    </w:p>
    <w:p w:rsidR="00F02197" w:rsidRDefault="00F02197" w:rsidP="00F02197">
      <w:pPr>
        <w:jc w:val="center"/>
        <w:rPr>
          <w:b/>
          <w:bCs/>
          <w:lang w:val="es-SV"/>
        </w:rPr>
      </w:pPr>
      <w:r w:rsidRPr="00F02197">
        <w:rPr>
          <w:b/>
          <w:bCs/>
          <w:lang w:val="es-SV"/>
        </w:rPr>
        <w:t xml:space="preserve">Francisco Javier Mayora Re </w:t>
      </w:r>
    </w:p>
    <w:p w:rsidR="00F02197" w:rsidRPr="00F02197" w:rsidRDefault="00F02197" w:rsidP="00F02197">
      <w:pPr>
        <w:jc w:val="center"/>
        <w:rPr>
          <w:lang w:val="es-SV"/>
        </w:rPr>
      </w:pPr>
      <w:r w:rsidRPr="00F02197">
        <w:rPr>
          <w:b/>
          <w:bCs/>
          <w:lang w:val="es-SV"/>
        </w:rPr>
        <w:t>Gerente General</w:t>
      </w:r>
    </w:p>
    <w:p w:rsidR="00F02197" w:rsidRPr="00F02197" w:rsidRDefault="00F02197" w:rsidP="00F02197">
      <w:pPr>
        <w:jc w:val="both"/>
        <w:rPr>
          <w:lang w:val="es-SV"/>
        </w:rPr>
      </w:pPr>
      <w:r w:rsidRPr="00F02197">
        <w:rPr>
          <w:b/>
          <w:bCs/>
          <w:lang w:val="es-SV"/>
        </w:rPr>
        <w:t>Modificaciones:</w:t>
      </w:r>
    </w:p>
    <w:p w:rsidR="00F02197" w:rsidRPr="00F02197" w:rsidRDefault="00F02197" w:rsidP="00F02197">
      <w:pPr>
        <w:jc w:val="both"/>
        <w:rPr>
          <w:lang w:val="es-SV"/>
        </w:rPr>
      </w:pPr>
      <w:r w:rsidRPr="00F02197">
        <w:rPr>
          <w:b/>
          <w:bCs/>
          <w:lang w:val="es-SV"/>
        </w:rPr>
        <w:t xml:space="preserve">(1) </w:t>
      </w:r>
      <w:r w:rsidRPr="00F02197">
        <w:rPr>
          <w:lang w:val="es-SV"/>
        </w:rPr>
        <w:t>Modificaciones acordadas en Junta Directiva de la Bolsa de Valores en sesiones JD- 15/2015 de fecha 30 de octubre de 2015 y aprobadas por el Comité de Normas del Banco Central de Reserva de El Salvador, en Sesión No. CN- 17/2015 de fecha 24 de noviembre de 2015.</w:t>
      </w:r>
    </w:p>
    <w:p w:rsidR="00F02197" w:rsidRPr="00F02197" w:rsidRDefault="00F02197" w:rsidP="00F02197">
      <w:pPr>
        <w:jc w:val="both"/>
        <w:rPr>
          <w:lang w:val="es-SV"/>
        </w:rPr>
      </w:pPr>
    </w:p>
    <w:sectPr w:rsidR="00F02197" w:rsidRPr="00F02197" w:rsidSect="002F22EF">
      <w:footerReference w:type="default" r:id="rId10"/>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ECB" w:rsidRDefault="00FD7ECB">
      <w:pPr>
        <w:spacing w:after="0" w:line="240" w:lineRule="auto"/>
      </w:pPr>
      <w:r>
        <w:separator/>
      </w:r>
    </w:p>
  </w:endnote>
  <w:endnote w:type="continuationSeparator" w:id="0">
    <w:p w:rsidR="00FD7ECB" w:rsidRDefault="00FD7E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6522821"/>
      <w:docPartObj>
        <w:docPartGallery w:val="Page Numbers (Bottom of Page)"/>
        <w:docPartUnique/>
      </w:docPartObj>
    </w:sdtPr>
    <w:sdtContent>
      <w:p w:rsidR="005876BD" w:rsidRDefault="002F22EF" w:rsidP="005876BD">
        <w:pPr>
          <w:pStyle w:val="Piedepgina"/>
          <w:ind w:left="2781" w:firstLine="4419"/>
          <w:jc w:val="center"/>
        </w:pPr>
        <w:r>
          <w:fldChar w:fldCharType="begin"/>
        </w:r>
        <w:r w:rsidR="00F02197">
          <w:instrText>PAGE   \* MERGEFORMAT</w:instrText>
        </w:r>
        <w:r>
          <w:fldChar w:fldCharType="separate"/>
        </w:r>
        <w:r w:rsidR="00E4107B" w:rsidRPr="00E4107B">
          <w:rPr>
            <w:noProof/>
            <w:lang w:val="es-ES"/>
          </w:rPr>
          <w:t>17</w:t>
        </w:r>
        <w:r>
          <w:fldChar w:fldCharType="end"/>
        </w:r>
      </w:p>
    </w:sdtContent>
  </w:sdt>
  <w:p w:rsidR="005A2FBA" w:rsidRDefault="00FD7ECB">
    <w:pPr>
      <w:spacing w:line="0" w:lineRule="atLeast"/>
      <w:rPr>
        <w:sz w:val="4"/>
        <w:szCs w:val="4"/>
      </w:rPr>
    </w:pPr>
  </w:p>
  <w:p w:rsidR="000E4ECD" w:rsidRDefault="000E4EC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ECB" w:rsidRDefault="00FD7ECB">
      <w:pPr>
        <w:spacing w:after="0" w:line="240" w:lineRule="auto"/>
      </w:pPr>
      <w:r>
        <w:separator/>
      </w:r>
    </w:p>
  </w:footnote>
  <w:footnote w:type="continuationSeparator" w:id="0">
    <w:p w:rsidR="00FD7ECB" w:rsidRDefault="00FD7E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D63BD"/>
    <w:multiLevelType w:val="hybridMultilevel"/>
    <w:tmpl w:val="22520672"/>
    <w:lvl w:ilvl="0" w:tplc="C1B4A3C2">
      <w:start w:val="1"/>
      <w:numFmt w:val="lowerLetter"/>
      <w:lvlText w:val="%1)"/>
      <w:lvlJc w:val="left"/>
      <w:pPr>
        <w:ind w:hanging="359"/>
      </w:pPr>
      <w:rPr>
        <w:rFonts w:ascii="Times New Roman" w:eastAsia="Times New Roman" w:hAnsi="Times New Roman" w:hint="default"/>
        <w:color w:val="2D2D2F"/>
        <w:w w:val="104"/>
        <w:sz w:val="23"/>
        <w:szCs w:val="23"/>
      </w:rPr>
    </w:lvl>
    <w:lvl w:ilvl="1" w:tplc="F8A0D710">
      <w:start w:val="1"/>
      <w:numFmt w:val="bullet"/>
      <w:lvlText w:val="•"/>
      <w:lvlJc w:val="left"/>
      <w:rPr>
        <w:rFonts w:hint="default"/>
      </w:rPr>
    </w:lvl>
    <w:lvl w:ilvl="2" w:tplc="1CCE9352">
      <w:start w:val="1"/>
      <w:numFmt w:val="bullet"/>
      <w:lvlText w:val="•"/>
      <w:lvlJc w:val="left"/>
      <w:rPr>
        <w:rFonts w:hint="default"/>
      </w:rPr>
    </w:lvl>
    <w:lvl w:ilvl="3" w:tplc="4CD63FD0">
      <w:start w:val="1"/>
      <w:numFmt w:val="bullet"/>
      <w:lvlText w:val="•"/>
      <w:lvlJc w:val="left"/>
      <w:rPr>
        <w:rFonts w:hint="default"/>
      </w:rPr>
    </w:lvl>
    <w:lvl w:ilvl="4" w:tplc="9D58DE62">
      <w:start w:val="1"/>
      <w:numFmt w:val="bullet"/>
      <w:lvlText w:val="•"/>
      <w:lvlJc w:val="left"/>
      <w:rPr>
        <w:rFonts w:hint="default"/>
      </w:rPr>
    </w:lvl>
    <w:lvl w:ilvl="5" w:tplc="E898BB9A">
      <w:start w:val="1"/>
      <w:numFmt w:val="bullet"/>
      <w:lvlText w:val="•"/>
      <w:lvlJc w:val="left"/>
      <w:rPr>
        <w:rFonts w:hint="default"/>
      </w:rPr>
    </w:lvl>
    <w:lvl w:ilvl="6" w:tplc="AB9AB33A">
      <w:start w:val="1"/>
      <w:numFmt w:val="bullet"/>
      <w:lvlText w:val="•"/>
      <w:lvlJc w:val="left"/>
      <w:rPr>
        <w:rFonts w:hint="default"/>
      </w:rPr>
    </w:lvl>
    <w:lvl w:ilvl="7" w:tplc="6EA65AD2">
      <w:start w:val="1"/>
      <w:numFmt w:val="bullet"/>
      <w:lvlText w:val="•"/>
      <w:lvlJc w:val="left"/>
      <w:rPr>
        <w:rFonts w:hint="default"/>
      </w:rPr>
    </w:lvl>
    <w:lvl w:ilvl="8" w:tplc="8EDE673A">
      <w:start w:val="1"/>
      <w:numFmt w:val="bullet"/>
      <w:lvlText w:val="•"/>
      <w:lvlJc w:val="left"/>
      <w:rPr>
        <w:rFonts w:hint="default"/>
      </w:rPr>
    </w:lvl>
  </w:abstractNum>
  <w:abstractNum w:abstractNumId="1">
    <w:nsid w:val="04696779"/>
    <w:multiLevelType w:val="hybridMultilevel"/>
    <w:tmpl w:val="C774590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43A2874"/>
    <w:multiLevelType w:val="hybridMultilevel"/>
    <w:tmpl w:val="9654B42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274D7984"/>
    <w:multiLevelType w:val="hybridMultilevel"/>
    <w:tmpl w:val="9E5CB0EE"/>
    <w:lvl w:ilvl="0" w:tplc="4C18B006">
      <w:start w:val="1"/>
      <w:numFmt w:val="lowerLetter"/>
      <w:lvlText w:val="%1)"/>
      <w:lvlJc w:val="left"/>
      <w:pPr>
        <w:ind w:hanging="360"/>
      </w:pPr>
      <w:rPr>
        <w:rFonts w:ascii="Times New Roman" w:eastAsia="Times New Roman" w:hAnsi="Times New Roman" w:hint="default"/>
        <w:color w:val="auto"/>
        <w:spacing w:val="-9"/>
        <w:w w:val="127"/>
        <w:sz w:val="23"/>
        <w:szCs w:val="23"/>
      </w:rPr>
    </w:lvl>
    <w:lvl w:ilvl="1" w:tplc="FCB66F98">
      <w:start w:val="1"/>
      <w:numFmt w:val="bullet"/>
      <w:lvlText w:val="•"/>
      <w:lvlJc w:val="left"/>
      <w:rPr>
        <w:rFonts w:hint="default"/>
      </w:rPr>
    </w:lvl>
    <w:lvl w:ilvl="2" w:tplc="86BEC806">
      <w:start w:val="1"/>
      <w:numFmt w:val="bullet"/>
      <w:lvlText w:val="•"/>
      <w:lvlJc w:val="left"/>
      <w:rPr>
        <w:rFonts w:hint="default"/>
      </w:rPr>
    </w:lvl>
    <w:lvl w:ilvl="3" w:tplc="31945618">
      <w:start w:val="1"/>
      <w:numFmt w:val="bullet"/>
      <w:lvlText w:val="•"/>
      <w:lvlJc w:val="left"/>
      <w:rPr>
        <w:rFonts w:hint="default"/>
      </w:rPr>
    </w:lvl>
    <w:lvl w:ilvl="4" w:tplc="27BE0198">
      <w:start w:val="1"/>
      <w:numFmt w:val="bullet"/>
      <w:lvlText w:val="•"/>
      <w:lvlJc w:val="left"/>
      <w:rPr>
        <w:rFonts w:hint="default"/>
      </w:rPr>
    </w:lvl>
    <w:lvl w:ilvl="5" w:tplc="A2D2CBC8">
      <w:start w:val="1"/>
      <w:numFmt w:val="bullet"/>
      <w:lvlText w:val="•"/>
      <w:lvlJc w:val="left"/>
      <w:rPr>
        <w:rFonts w:hint="default"/>
      </w:rPr>
    </w:lvl>
    <w:lvl w:ilvl="6" w:tplc="694AB0BE">
      <w:start w:val="1"/>
      <w:numFmt w:val="bullet"/>
      <w:lvlText w:val="•"/>
      <w:lvlJc w:val="left"/>
      <w:rPr>
        <w:rFonts w:hint="default"/>
      </w:rPr>
    </w:lvl>
    <w:lvl w:ilvl="7" w:tplc="F66E6E4E">
      <w:start w:val="1"/>
      <w:numFmt w:val="bullet"/>
      <w:lvlText w:val="•"/>
      <w:lvlJc w:val="left"/>
      <w:rPr>
        <w:rFonts w:hint="default"/>
      </w:rPr>
    </w:lvl>
    <w:lvl w:ilvl="8" w:tplc="0C043418">
      <w:start w:val="1"/>
      <w:numFmt w:val="bullet"/>
      <w:lvlText w:val="•"/>
      <w:lvlJc w:val="left"/>
      <w:rPr>
        <w:rFonts w:hint="default"/>
      </w:rPr>
    </w:lvl>
  </w:abstractNum>
  <w:abstractNum w:abstractNumId="4">
    <w:nsid w:val="328D7E71"/>
    <w:multiLevelType w:val="hybridMultilevel"/>
    <w:tmpl w:val="758632C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49D7465"/>
    <w:multiLevelType w:val="hybridMultilevel"/>
    <w:tmpl w:val="CA70CF90"/>
    <w:lvl w:ilvl="0" w:tplc="080A0017">
      <w:start w:val="1"/>
      <w:numFmt w:val="lowerLetter"/>
      <w:lvlText w:val="%1)"/>
      <w:lvlJc w:val="left"/>
      <w:pPr>
        <w:ind w:hanging="367"/>
      </w:pPr>
      <w:rPr>
        <w:rFonts w:hint="default"/>
        <w:color w:val="3B3B3B"/>
        <w:spacing w:val="-2"/>
        <w:w w:val="127"/>
        <w:sz w:val="23"/>
        <w:szCs w:val="23"/>
      </w:rPr>
    </w:lvl>
    <w:lvl w:ilvl="1" w:tplc="AE18746A">
      <w:start w:val="1"/>
      <w:numFmt w:val="bullet"/>
      <w:lvlText w:val="•"/>
      <w:lvlJc w:val="left"/>
      <w:rPr>
        <w:rFonts w:hint="default"/>
      </w:rPr>
    </w:lvl>
    <w:lvl w:ilvl="2" w:tplc="9556870A">
      <w:start w:val="1"/>
      <w:numFmt w:val="bullet"/>
      <w:lvlText w:val="•"/>
      <w:lvlJc w:val="left"/>
      <w:rPr>
        <w:rFonts w:hint="default"/>
      </w:rPr>
    </w:lvl>
    <w:lvl w:ilvl="3" w:tplc="04881E0C">
      <w:start w:val="1"/>
      <w:numFmt w:val="bullet"/>
      <w:lvlText w:val="•"/>
      <w:lvlJc w:val="left"/>
      <w:rPr>
        <w:rFonts w:hint="default"/>
      </w:rPr>
    </w:lvl>
    <w:lvl w:ilvl="4" w:tplc="2C3C4704">
      <w:start w:val="1"/>
      <w:numFmt w:val="bullet"/>
      <w:lvlText w:val="•"/>
      <w:lvlJc w:val="left"/>
      <w:rPr>
        <w:rFonts w:hint="default"/>
      </w:rPr>
    </w:lvl>
    <w:lvl w:ilvl="5" w:tplc="D7CA0122">
      <w:start w:val="1"/>
      <w:numFmt w:val="bullet"/>
      <w:lvlText w:val="•"/>
      <w:lvlJc w:val="left"/>
      <w:rPr>
        <w:rFonts w:hint="default"/>
      </w:rPr>
    </w:lvl>
    <w:lvl w:ilvl="6" w:tplc="C7408F56">
      <w:start w:val="1"/>
      <w:numFmt w:val="bullet"/>
      <w:lvlText w:val="•"/>
      <w:lvlJc w:val="left"/>
      <w:rPr>
        <w:rFonts w:hint="default"/>
      </w:rPr>
    </w:lvl>
    <w:lvl w:ilvl="7" w:tplc="4D2873E6">
      <w:start w:val="1"/>
      <w:numFmt w:val="bullet"/>
      <w:lvlText w:val="•"/>
      <w:lvlJc w:val="left"/>
      <w:rPr>
        <w:rFonts w:hint="default"/>
      </w:rPr>
    </w:lvl>
    <w:lvl w:ilvl="8" w:tplc="B206302E">
      <w:start w:val="1"/>
      <w:numFmt w:val="bullet"/>
      <w:lvlText w:val="•"/>
      <w:lvlJc w:val="left"/>
      <w:rPr>
        <w:rFonts w:hint="default"/>
      </w:rPr>
    </w:lvl>
  </w:abstractNum>
  <w:abstractNum w:abstractNumId="6">
    <w:nsid w:val="4BDC6DB0"/>
    <w:multiLevelType w:val="hybridMultilevel"/>
    <w:tmpl w:val="7B10A596"/>
    <w:lvl w:ilvl="0" w:tplc="F6FCE0FC">
      <w:start w:val="1"/>
      <w:numFmt w:val="lowerLetter"/>
      <w:lvlText w:val="%1)"/>
      <w:lvlJc w:val="left"/>
      <w:pPr>
        <w:ind w:hanging="368"/>
      </w:pPr>
      <w:rPr>
        <w:rFonts w:ascii="Times New Roman" w:eastAsia="Times New Roman" w:hAnsi="Times New Roman" w:hint="default"/>
        <w:color w:val="2D2D2F"/>
        <w:spacing w:val="-2"/>
        <w:w w:val="128"/>
        <w:sz w:val="23"/>
        <w:szCs w:val="23"/>
      </w:rPr>
    </w:lvl>
    <w:lvl w:ilvl="1" w:tplc="A7DC3F36">
      <w:start w:val="1"/>
      <w:numFmt w:val="bullet"/>
      <w:lvlText w:val="•"/>
      <w:lvlJc w:val="left"/>
      <w:rPr>
        <w:rFonts w:hint="default"/>
      </w:rPr>
    </w:lvl>
    <w:lvl w:ilvl="2" w:tplc="60AE8A5E">
      <w:start w:val="1"/>
      <w:numFmt w:val="bullet"/>
      <w:lvlText w:val="•"/>
      <w:lvlJc w:val="left"/>
      <w:rPr>
        <w:rFonts w:hint="default"/>
      </w:rPr>
    </w:lvl>
    <w:lvl w:ilvl="3" w:tplc="B4C46B5A">
      <w:start w:val="1"/>
      <w:numFmt w:val="bullet"/>
      <w:lvlText w:val="•"/>
      <w:lvlJc w:val="left"/>
      <w:rPr>
        <w:rFonts w:hint="default"/>
      </w:rPr>
    </w:lvl>
    <w:lvl w:ilvl="4" w:tplc="F87A0774">
      <w:start w:val="1"/>
      <w:numFmt w:val="bullet"/>
      <w:lvlText w:val="•"/>
      <w:lvlJc w:val="left"/>
      <w:rPr>
        <w:rFonts w:hint="default"/>
      </w:rPr>
    </w:lvl>
    <w:lvl w:ilvl="5" w:tplc="31B8C2FE">
      <w:start w:val="1"/>
      <w:numFmt w:val="bullet"/>
      <w:lvlText w:val="•"/>
      <w:lvlJc w:val="left"/>
      <w:rPr>
        <w:rFonts w:hint="default"/>
      </w:rPr>
    </w:lvl>
    <w:lvl w:ilvl="6" w:tplc="0010AC7E">
      <w:start w:val="1"/>
      <w:numFmt w:val="bullet"/>
      <w:lvlText w:val="•"/>
      <w:lvlJc w:val="left"/>
      <w:rPr>
        <w:rFonts w:hint="default"/>
      </w:rPr>
    </w:lvl>
    <w:lvl w:ilvl="7" w:tplc="EE168992">
      <w:start w:val="1"/>
      <w:numFmt w:val="bullet"/>
      <w:lvlText w:val="•"/>
      <w:lvlJc w:val="left"/>
      <w:rPr>
        <w:rFonts w:hint="default"/>
      </w:rPr>
    </w:lvl>
    <w:lvl w:ilvl="8" w:tplc="41D606B4">
      <w:start w:val="1"/>
      <w:numFmt w:val="bullet"/>
      <w:lvlText w:val="•"/>
      <w:lvlJc w:val="left"/>
      <w:rPr>
        <w:rFonts w:hint="default"/>
      </w:rPr>
    </w:lvl>
  </w:abstractNum>
  <w:abstractNum w:abstractNumId="7">
    <w:nsid w:val="4D074911"/>
    <w:multiLevelType w:val="hybridMultilevel"/>
    <w:tmpl w:val="518E29C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4FFC32AB"/>
    <w:multiLevelType w:val="hybridMultilevel"/>
    <w:tmpl w:val="2AD0FD22"/>
    <w:lvl w:ilvl="0" w:tplc="B4E09A2C">
      <w:start w:val="7"/>
      <w:numFmt w:val="lowerLetter"/>
      <w:lvlText w:val="%1)"/>
      <w:lvlJc w:val="left"/>
      <w:pPr>
        <w:ind w:hanging="360"/>
      </w:pPr>
      <w:rPr>
        <w:rFonts w:ascii="Times New Roman" w:eastAsia="Times New Roman" w:hAnsi="Times New Roman" w:hint="default"/>
        <w:color w:val="2F2F31"/>
        <w:w w:val="88"/>
        <w:sz w:val="23"/>
        <w:szCs w:val="23"/>
      </w:rPr>
    </w:lvl>
    <w:lvl w:ilvl="1" w:tplc="291809F8">
      <w:start w:val="1"/>
      <w:numFmt w:val="bullet"/>
      <w:lvlText w:val="•"/>
      <w:lvlJc w:val="left"/>
      <w:rPr>
        <w:rFonts w:hint="default"/>
      </w:rPr>
    </w:lvl>
    <w:lvl w:ilvl="2" w:tplc="DAA69D8E">
      <w:start w:val="1"/>
      <w:numFmt w:val="bullet"/>
      <w:lvlText w:val="•"/>
      <w:lvlJc w:val="left"/>
      <w:rPr>
        <w:rFonts w:hint="default"/>
      </w:rPr>
    </w:lvl>
    <w:lvl w:ilvl="3" w:tplc="EB5CE2E4">
      <w:start w:val="1"/>
      <w:numFmt w:val="bullet"/>
      <w:lvlText w:val="•"/>
      <w:lvlJc w:val="left"/>
      <w:rPr>
        <w:rFonts w:hint="default"/>
      </w:rPr>
    </w:lvl>
    <w:lvl w:ilvl="4" w:tplc="C48841F6">
      <w:start w:val="1"/>
      <w:numFmt w:val="bullet"/>
      <w:lvlText w:val="•"/>
      <w:lvlJc w:val="left"/>
      <w:rPr>
        <w:rFonts w:hint="default"/>
      </w:rPr>
    </w:lvl>
    <w:lvl w:ilvl="5" w:tplc="CB0E58E4">
      <w:start w:val="1"/>
      <w:numFmt w:val="bullet"/>
      <w:lvlText w:val="•"/>
      <w:lvlJc w:val="left"/>
      <w:rPr>
        <w:rFonts w:hint="default"/>
      </w:rPr>
    </w:lvl>
    <w:lvl w:ilvl="6" w:tplc="7EECA9B0">
      <w:start w:val="1"/>
      <w:numFmt w:val="bullet"/>
      <w:lvlText w:val="•"/>
      <w:lvlJc w:val="left"/>
      <w:rPr>
        <w:rFonts w:hint="default"/>
      </w:rPr>
    </w:lvl>
    <w:lvl w:ilvl="7" w:tplc="5546EF6C">
      <w:start w:val="1"/>
      <w:numFmt w:val="bullet"/>
      <w:lvlText w:val="•"/>
      <w:lvlJc w:val="left"/>
      <w:rPr>
        <w:rFonts w:hint="default"/>
      </w:rPr>
    </w:lvl>
    <w:lvl w:ilvl="8" w:tplc="81008612">
      <w:start w:val="1"/>
      <w:numFmt w:val="bullet"/>
      <w:lvlText w:val="•"/>
      <w:lvlJc w:val="left"/>
      <w:rPr>
        <w:rFonts w:hint="default"/>
      </w:rPr>
    </w:lvl>
  </w:abstractNum>
  <w:abstractNum w:abstractNumId="9">
    <w:nsid w:val="57EE1D6D"/>
    <w:multiLevelType w:val="hybridMultilevel"/>
    <w:tmpl w:val="0F5A4C44"/>
    <w:lvl w:ilvl="0" w:tplc="9E581852">
      <w:start w:val="3"/>
      <w:numFmt w:val="lowerLetter"/>
      <w:lvlText w:val="%1)"/>
      <w:lvlJc w:val="left"/>
      <w:pPr>
        <w:ind w:hanging="359"/>
      </w:pPr>
      <w:rPr>
        <w:rFonts w:ascii="Times New Roman" w:eastAsia="Times New Roman" w:hAnsi="Times New Roman" w:hint="default"/>
        <w:color w:val="auto"/>
        <w:w w:val="101"/>
        <w:sz w:val="23"/>
        <w:szCs w:val="23"/>
      </w:rPr>
    </w:lvl>
    <w:lvl w:ilvl="1" w:tplc="DCF8B562">
      <w:start w:val="1"/>
      <w:numFmt w:val="bullet"/>
      <w:lvlText w:val="•"/>
      <w:lvlJc w:val="left"/>
      <w:rPr>
        <w:rFonts w:hint="default"/>
      </w:rPr>
    </w:lvl>
    <w:lvl w:ilvl="2" w:tplc="1CE2559A">
      <w:start w:val="1"/>
      <w:numFmt w:val="bullet"/>
      <w:lvlText w:val="•"/>
      <w:lvlJc w:val="left"/>
      <w:rPr>
        <w:rFonts w:hint="default"/>
      </w:rPr>
    </w:lvl>
    <w:lvl w:ilvl="3" w:tplc="77C8B746">
      <w:start w:val="1"/>
      <w:numFmt w:val="bullet"/>
      <w:lvlText w:val="•"/>
      <w:lvlJc w:val="left"/>
      <w:rPr>
        <w:rFonts w:hint="default"/>
      </w:rPr>
    </w:lvl>
    <w:lvl w:ilvl="4" w:tplc="730AD2BE">
      <w:start w:val="1"/>
      <w:numFmt w:val="bullet"/>
      <w:lvlText w:val="•"/>
      <w:lvlJc w:val="left"/>
      <w:rPr>
        <w:rFonts w:hint="default"/>
      </w:rPr>
    </w:lvl>
    <w:lvl w:ilvl="5" w:tplc="4018415E">
      <w:start w:val="1"/>
      <w:numFmt w:val="bullet"/>
      <w:lvlText w:val="•"/>
      <w:lvlJc w:val="left"/>
      <w:rPr>
        <w:rFonts w:hint="default"/>
      </w:rPr>
    </w:lvl>
    <w:lvl w:ilvl="6" w:tplc="256AD214">
      <w:start w:val="1"/>
      <w:numFmt w:val="bullet"/>
      <w:lvlText w:val="•"/>
      <w:lvlJc w:val="left"/>
      <w:rPr>
        <w:rFonts w:hint="default"/>
      </w:rPr>
    </w:lvl>
    <w:lvl w:ilvl="7" w:tplc="D3305CC4">
      <w:start w:val="1"/>
      <w:numFmt w:val="bullet"/>
      <w:lvlText w:val="•"/>
      <w:lvlJc w:val="left"/>
      <w:rPr>
        <w:rFonts w:hint="default"/>
      </w:rPr>
    </w:lvl>
    <w:lvl w:ilvl="8" w:tplc="1FF0B5EA">
      <w:start w:val="1"/>
      <w:numFmt w:val="bullet"/>
      <w:lvlText w:val="•"/>
      <w:lvlJc w:val="left"/>
      <w:rPr>
        <w:rFonts w:hint="default"/>
      </w:rPr>
    </w:lvl>
  </w:abstractNum>
  <w:abstractNum w:abstractNumId="10">
    <w:nsid w:val="595C571B"/>
    <w:multiLevelType w:val="hybridMultilevel"/>
    <w:tmpl w:val="381609E0"/>
    <w:lvl w:ilvl="0" w:tplc="2548C6FA">
      <w:start w:val="1"/>
      <w:numFmt w:val="lowerLetter"/>
      <w:lvlText w:val="%1)"/>
      <w:lvlJc w:val="left"/>
      <w:pPr>
        <w:ind w:hanging="367"/>
      </w:pPr>
      <w:rPr>
        <w:rFonts w:asciiTheme="minorHAnsi" w:eastAsiaTheme="minorHAnsi" w:hAnsiTheme="minorHAnsi" w:cstheme="minorBidi"/>
        <w:color w:val="auto"/>
        <w:spacing w:val="-2"/>
        <w:w w:val="127"/>
        <w:sz w:val="22"/>
        <w:szCs w:val="23"/>
      </w:rPr>
    </w:lvl>
    <w:lvl w:ilvl="1" w:tplc="6422EB84">
      <w:start w:val="1"/>
      <w:numFmt w:val="bullet"/>
      <w:lvlText w:val="•"/>
      <w:lvlJc w:val="left"/>
      <w:rPr>
        <w:rFonts w:hint="default"/>
      </w:rPr>
    </w:lvl>
    <w:lvl w:ilvl="2" w:tplc="D2E2B0FA">
      <w:start w:val="1"/>
      <w:numFmt w:val="bullet"/>
      <w:lvlText w:val="•"/>
      <w:lvlJc w:val="left"/>
      <w:rPr>
        <w:rFonts w:hint="default"/>
      </w:rPr>
    </w:lvl>
    <w:lvl w:ilvl="3" w:tplc="ECAE5D66">
      <w:start w:val="1"/>
      <w:numFmt w:val="bullet"/>
      <w:lvlText w:val="•"/>
      <w:lvlJc w:val="left"/>
      <w:rPr>
        <w:rFonts w:hint="default"/>
      </w:rPr>
    </w:lvl>
    <w:lvl w:ilvl="4" w:tplc="871221B8">
      <w:start w:val="1"/>
      <w:numFmt w:val="bullet"/>
      <w:lvlText w:val="•"/>
      <w:lvlJc w:val="left"/>
      <w:rPr>
        <w:rFonts w:hint="default"/>
      </w:rPr>
    </w:lvl>
    <w:lvl w:ilvl="5" w:tplc="F6BAF79E">
      <w:start w:val="1"/>
      <w:numFmt w:val="bullet"/>
      <w:lvlText w:val="•"/>
      <w:lvlJc w:val="left"/>
      <w:rPr>
        <w:rFonts w:hint="default"/>
      </w:rPr>
    </w:lvl>
    <w:lvl w:ilvl="6" w:tplc="270A33B2">
      <w:start w:val="1"/>
      <w:numFmt w:val="bullet"/>
      <w:lvlText w:val="•"/>
      <w:lvlJc w:val="left"/>
      <w:rPr>
        <w:rFonts w:hint="default"/>
      </w:rPr>
    </w:lvl>
    <w:lvl w:ilvl="7" w:tplc="922C1A08">
      <w:start w:val="1"/>
      <w:numFmt w:val="bullet"/>
      <w:lvlText w:val="•"/>
      <w:lvlJc w:val="left"/>
      <w:rPr>
        <w:rFonts w:hint="default"/>
      </w:rPr>
    </w:lvl>
    <w:lvl w:ilvl="8" w:tplc="FA32D5A4">
      <w:start w:val="1"/>
      <w:numFmt w:val="bullet"/>
      <w:lvlText w:val="•"/>
      <w:lvlJc w:val="left"/>
      <w:rPr>
        <w:rFonts w:hint="default"/>
      </w:rPr>
    </w:lvl>
  </w:abstractNum>
  <w:abstractNum w:abstractNumId="11">
    <w:nsid w:val="5CCD005A"/>
    <w:multiLevelType w:val="hybridMultilevel"/>
    <w:tmpl w:val="EBDE6C9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6E0E4E24"/>
    <w:multiLevelType w:val="hybridMultilevel"/>
    <w:tmpl w:val="4548526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6E92365B"/>
    <w:multiLevelType w:val="hybridMultilevel"/>
    <w:tmpl w:val="1AC8AC66"/>
    <w:lvl w:ilvl="0" w:tplc="4394EADC">
      <w:start w:val="4"/>
      <w:numFmt w:val="lowerLetter"/>
      <w:lvlText w:val="%1)"/>
      <w:lvlJc w:val="left"/>
      <w:pPr>
        <w:ind w:hanging="360"/>
      </w:pPr>
      <w:rPr>
        <w:rFonts w:ascii="Times New Roman" w:eastAsia="Times New Roman" w:hAnsi="Times New Roman" w:hint="default"/>
        <w:color w:val="1C1A1C"/>
        <w:w w:val="97"/>
        <w:sz w:val="23"/>
        <w:szCs w:val="23"/>
      </w:rPr>
    </w:lvl>
    <w:lvl w:ilvl="1" w:tplc="811468B0">
      <w:start w:val="1"/>
      <w:numFmt w:val="bullet"/>
      <w:lvlText w:val="•"/>
      <w:lvlJc w:val="left"/>
      <w:rPr>
        <w:rFonts w:hint="default"/>
      </w:rPr>
    </w:lvl>
    <w:lvl w:ilvl="2" w:tplc="9544B5B2">
      <w:start w:val="1"/>
      <w:numFmt w:val="bullet"/>
      <w:lvlText w:val="•"/>
      <w:lvlJc w:val="left"/>
      <w:rPr>
        <w:rFonts w:hint="default"/>
      </w:rPr>
    </w:lvl>
    <w:lvl w:ilvl="3" w:tplc="E864CCB4">
      <w:start w:val="1"/>
      <w:numFmt w:val="bullet"/>
      <w:lvlText w:val="•"/>
      <w:lvlJc w:val="left"/>
      <w:rPr>
        <w:rFonts w:hint="default"/>
      </w:rPr>
    </w:lvl>
    <w:lvl w:ilvl="4" w:tplc="D14AA51E">
      <w:start w:val="1"/>
      <w:numFmt w:val="bullet"/>
      <w:lvlText w:val="•"/>
      <w:lvlJc w:val="left"/>
      <w:rPr>
        <w:rFonts w:hint="default"/>
      </w:rPr>
    </w:lvl>
    <w:lvl w:ilvl="5" w:tplc="1D720C4C">
      <w:start w:val="1"/>
      <w:numFmt w:val="bullet"/>
      <w:lvlText w:val="•"/>
      <w:lvlJc w:val="left"/>
      <w:rPr>
        <w:rFonts w:hint="default"/>
      </w:rPr>
    </w:lvl>
    <w:lvl w:ilvl="6" w:tplc="FE92F158">
      <w:start w:val="1"/>
      <w:numFmt w:val="bullet"/>
      <w:lvlText w:val="•"/>
      <w:lvlJc w:val="left"/>
      <w:rPr>
        <w:rFonts w:hint="default"/>
      </w:rPr>
    </w:lvl>
    <w:lvl w:ilvl="7" w:tplc="52FAD2EA">
      <w:start w:val="1"/>
      <w:numFmt w:val="bullet"/>
      <w:lvlText w:val="•"/>
      <w:lvlJc w:val="left"/>
      <w:rPr>
        <w:rFonts w:hint="default"/>
      </w:rPr>
    </w:lvl>
    <w:lvl w:ilvl="8" w:tplc="EF180D82">
      <w:start w:val="1"/>
      <w:numFmt w:val="bullet"/>
      <w:lvlText w:val="•"/>
      <w:lvlJc w:val="left"/>
      <w:rPr>
        <w:rFonts w:hint="default"/>
      </w:rPr>
    </w:lvl>
  </w:abstractNum>
  <w:abstractNum w:abstractNumId="14">
    <w:nsid w:val="7A5E2941"/>
    <w:multiLevelType w:val="hybridMultilevel"/>
    <w:tmpl w:val="9C8E9FFC"/>
    <w:lvl w:ilvl="0" w:tplc="0C207EA0">
      <w:start w:val="1"/>
      <w:numFmt w:val="lowerLetter"/>
      <w:lvlText w:val="%1)"/>
      <w:lvlJc w:val="left"/>
      <w:pPr>
        <w:ind w:hanging="366"/>
      </w:pPr>
      <w:rPr>
        <w:rFonts w:ascii="Times New Roman" w:eastAsia="Times New Roman" w:hAnsi="Times New Roman" w:hint="default"/>
        <w:color w:val="auto"/>
        <w:spacing w:val="-2"/>
        <w:w w:val="127"/>
        <w:sz w:val="23"/>
        <w:szCs w:val="23"/>
      </w:rPr>
    </w:lvl>
    <w:lvl w:ilvl="1" w:tplc="5ABEA490">
      <w:start w:val="1"/>
      <w:numFmt w:val="bullet"/>
      <w:lvlText w:val="•"/>
      <w:lvlJc w:val="left"/>
      <w:rPr>
        <w:rFonts w:hint="default"/>
      </w:rPr>
    </w:lvl>
    <w:lvl w:ilvl="2" w:tplc="C070312E">
      <w:start w:val="1"/>
      <w:numFmt w:val="bullet"/>
      <w:lvlText w:val="•"/>
      <w:lvlJc w:val="left"/>
      <w:rPr>
        <w:rFonts w:hint="default"/>
      </w:rPr>
    </w:lvl>
    <w:lvl w:ilvl="3" w:tplc="32B6CED6">
      <w:start w:val="1"/>
      <w:numFmt w:val="bullet"/>
      <w:lvlText w:val="•"/>
      <w:lvlJc w:val="left"/>
      <w:rPr>
        <w:rFonts w:hint="default"/>
      </w:rPr>
    </w:lvl>
    <w:lvl w:ilvl="4" w:tplc="84066F60">
      <w:start w:val="1"/>
      <w:numFmt w:val="bullet"/>
      <w:lvlText w:val="•"/>
      <w:lvlJc w:val="left"/>
      <w:rPr>
        <w:rFonts w:hint="default"/>
      </w:rPr>
    </w:lvl>
    <w:lvl w:ilvl="5" w:tplc="20362716">
      <w:start w:val="1"/>
      <w:numFmt w:val="bullet"/>
      <w:lvlText w:val="•"/>
      <w:lvlJc w:val="left"/>
      <w:rPr>
        <w:rFonts w:hint="default"/>
      </w:rPr>
    </w:lvl>
    <w:lvl w:ilvl="6" w:tplc="D8A269EC">
      <w:start w:val="1"/>
      <w:numFmt w:val="bullet"/>
      <w:lvlText w:val="•"/>
      <w:lvlJc w:val="left"/>
      <w:rPr>
        <w:rFonts w:hint="default"/>
      </w:rPr>
    </w:lvl>
    <w:lvl w:ilvl="7" w:tplc="064ABF94">
      <w:start w:val="1"/>
      <w:numFmt w:val="bullet"/>
      <w:lvlText w:val="•"/>
      <w:lvlJc w:val="left"/>
      <w:rPr>
        <w:rFonts w:hint="default"/>
      </w:rPr>
    </w:lvl>
    <w:lvl w:ilvl="8" w:tplc="17964000">
      <w:start w:val="1"/>
      <w:numFmt w:val="bullet"/>
      <w:lvlText w:val="•"/>
      <w:lvlJc w:val="left"/>
      <w:rPr>
        <w:rFonts w:hint="default"/>
      </w:rPr>
    </w:lvl>
  </w:abstractNum>
  <w:num w:numId="1">
    <w:abstractNumId w:val="5"/>
  </w:num>
  <w:num w:numId="2">
    <w:abstractNumId w:val="4"/>
  </w:num>
  <w:num w:numId="3">
    <w:abstractNumId w:val="6"/>
  </w:num>
  <w:num w:numId="4">
    <w:abstractNumId w:val="2"/>
  </w:num>
  <w:num w:numId="5">
    <w:abstractNumId w:val="0"/>
  </w:num>
  <w:num w:numId="6">
    <w:abstractNumId w:val="9"/>
  </w:num>
  <w:num w:numId="7">
    <w:abstractNumId w:val="3"/>
  </w:num>
  <w:num w:numId="8">
    <w:abstractNumId w:val="14"/>
  </w:num>
  <w:num w:numId="9">
    <w:abstractNumId w:val="10"/>
  </w:num>
  <w:num w:numId="10">
    <w:abstractNumId w:val="8"/>
  </w:num>
  <w:num w:numId="11">
    <w:abstractNumId w:val="13"/>
  </w:num>
  <w:num w:numId="12">
    <w:abstractNumId w:val="1"/>
  </w:num>
  <w:num w:numId="13">
    <w:abstractNumId w:val="12"/>
  </w:num>
  <w:num w:numId="14">
    <w:abstractNumId w:val="11"/>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rsids>
    <w:rsidRoot w:val="00DD1E7C"/>
    <w:rsid w:val="000E4ECD"/>
    <w:rsid w:val="002F22EF"/>
    <w:rsid w:val="007D7897"/>
    <w:rsid w:val="009570AB"/>
    <w:rsid w:val="00B279DF"/>
    <w:rsid w:val="00B93DB3"/>
    <w:rsid w:val="00BF6F80"/>
    <w:rsid w:val="00CE55E6"/>
    <w:rsid w:val="00DD1E7C"/>
    <w:rsid w:val="00E4107B"/>
    <w:rsid w:val="00F02197"/>
    <w:rsid w:val="00FD7ECB"/>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2E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DD1E7C"/>
    <w:pPr>
      <w:ind w:left="720"/>
      <w:contextualSpacing/>
    </w:pPr>
  </w:style>
  <w:style w:type="paragraph" w:styleId="Textoindependiente">
    <w:name w:val="Body Text"/>
    <w:basedOn w:val="Normal"/>
    <w:link w:val="TextoindependienteCar"/>
    <w:uiPriority w:val="1"/>
    <w:unhideWhenUsed/>
    <w:qFormat/>
    <w:rsid w:val="00DD1E7C"/>
    <w:pPr>
      <w:spacing w:after="120"/>
    </w:pPr>
  </w:style>
  <w:style w:type="character" w:customStyle="1" w:styleId="TextoindependienteCar">
    <w:name w:val="Texto independiente Car"/>
    <w:basedOn w:val="Fuentedeprrafopredeter"/>
    <w:link w:val="Textoindependiente"/>
    <w:uiPriority w:val="99"/>
    <w:semiHidden/>
    <w:rsid w:val="00DD1E7C"/>
  </w:style>
  <w:style w:type="table" w:customStyle="1" w:styleId="TableNormal">
    <w:name w:val="Table Normal"/>
    <w:uiPriority w:val="2"/>
    <w:semiHidden/>
    <w:unhideWhenUsed/>
    <w:qFormat/>
    <w:rsid w:val="00CE55E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55E6"/>
    <w:pPr>
      <w:widowControl w:val="0"/>
      <w:spacing w:after="0" w:line="240" w:lineRule="auto"/>
    </w:pPr>
    <w:rPr>
      <w:lang w:val="en-US"/>
    </w:rPr>
  </w:style>
  <w:style w:type="paragraph" w:styleId="Encabezado">
    <w:name w:val="header"/>
    <w:basedOn w:val="Normal"/>
    <w:link w:val="EncabezadoCar"/>
    <w:uiPriority w:val="99"/>
    <w:unhideWhenUsed/>
    <w:rsid w:val="00CE55E6"/>
    <w:pPr>
      <w:widowControl w:val="0"/>
      <w:tabs>
        <w:tab w:val="center" w:pos="4419"/>
        <w:tab w:val="right" w:pos="8838"/>
      </w:tabs>
      <w:spacing w:after="0" w:line="240" w:lineRule="auto"/>
    </w:pPr>
    <w:rPr>
      <w:lang w:val="en-US"/>
    </w:rPr>
  </w:style>
  <w:style w:type="character" w:customStyle="1" w:styleId="EncabezadoCar">
    <w:name w:val="Encabezado Car"/>
    <w:basedOn w:val="Fuentedeprrafopredeter"/>
    <w:link w:val="Encabezado"/>
    <w:uiPriority w:val="99"/>
    <w:rsid w:val="00CE55E6"/>
    <w:rPr>
      <w:lang w:val="en-US"/>
    </w:rPr>
  </w:style>
  <w:style w:type="paragraph" w:styleId="Piedepgina">
    <w:name w:val="footer"/>
    <w:basedOn w:val="Normal"/>
    <w:link w:val="PiedepginaCar"/>
    <w:uiPriority w:val="99"/>
    <w:unhideWhenUsed/>
    <w:rsid w:val="00CE55E6"/>
    <w:pPr>
      <w:widowControl w:val="0"/>
      <w:tabs>
        <w:tab w:val="center" w:pos="4419"/>
        <w:tab w:val="right" w:pos="8838"/>
      </w:tabs>
      <w:spacing w:after="0" w:line="240" w:lineRule="auto"/>
    </w:pPr>
    <w:rPr>
      <w:lang w:val="en-US"/>
    </w:rPr>
  </w:style>
  <w:style w:type="character" w:customStyle="1" w:styleId="PiedepginaCar">
    <w:name w:val="Pie de página Car"/>
    <w:basedOn w:val="Fuentedeprrafopredeter"/>
    <w:link w:val="Piedepgina"/>
    <w:uiPriority w:val="99"/>
    <w:rsid w:val="00CE55E6"/>
    <w:rPr>
      <w:lang w:val="en-US"/>
    </w:rPr>
  </w:style>
  <w:style w:type="paragraph" w:styleId="Textodeglobo">
    <w:name w:val="Balloon Text"/>
    <w:basedOn w:val="Normal"/>
    <w:link w:val="TextodegloboCar"/>
    <w:uiPriority w:val="99"/>
    <w:semiHidden/>
    <w:unhideWhenUsed/>
    <w:rsid w:val="00CE55E6"/>
    <w:pPr>
      <w:widowControl w:val="0"/>
      <w:spacing w:after="0" w:line="240" w:lineRule="auto"/>
    </w:pPr>
    <w:rPr>
      <w:rFonts w:ascii="Tahoma" w:hAnsi="Tahoma" w:cs="Tahoma"/>
      <w:sz w:val="16"/>
      <w:szCs w:val="16"/>
      <w:lang w:val="en-US"/>
    </w:rPr>
  </w:style>
  <w:style w:type="character" w:customStyle="1" w:styleId="TextodegloboCar">
    <w:name w:val="Texto de globo Car"/>
    <w:basedOn w:val="Fuentedeprrafopredeter"/>
    <w:link w:val="Textodeglobo"/>
    <w:uiPriority w:val="99"/>
    <w:semiHidden/>
    <w:rsid w:val="00CE55E6"/>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DD1E7C"/>
    <w:pPr>
      <w:ind w:left="720"/>
      <w:contextualSpacing/>
    </w:pPr>
  </w:style>
  <w:style w:type="paragraph" w:styleId="Textoindependiente">
    <w:name w:val="Body Text"/>
    <w:basedOn w:val="Normal"/>
    <w:link w:val="TextoindependienteCar"/>
    <w:uiPriority w:val="1"/>
    <w:unhideWhenUsed/>
    <w:qFormat/>
    <w:rsid w:val="00DD1E7C"/>
    <w:pPr>
      <w:spacing w:after="120"/>
    </w:pPr>
  </w:style>
  <w:style w:type="character" w:customStyle="1" w:styleId="TextoindependienteCar">
    <w:name w:val="Texto independiente Car"/>
    <w:basedOn w:val="Fuentedeprrafopredeter"/>
    <w:link w:val="Textoindependiente"/>
    <w:uiPriority w:val="99"/>
    <w:semiHidden/>
    <w:rsid w:val="00DD1E7C"/>
  </w:style>
  <w:style w:type="table" w:customStyle="1" w:styleId="TableNormal">
    <w:name w:val="Table Normal"/>
    <w:uiPriority w:val="2"/>
    <w:semiHidden/>
    <w:unhideWhenUsed/>
    <w:qFormat/>
    <w:rsid w:val="00CE55E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55E6"/>
    <w:pPr>
      <w:widowControl w:val="0"/>
      <w:spacing w:after="0" w:line="240" w:lineRule="auto"/>
    </w:pPr>
    <w:rPr>
      <w:lang w:val="en-US"/>
    </w:rPr>
  </w:style>
  <w:style w:type="paragraph" w:styleId="Encabezado">
    <w:name w:val="header"/>
    <w:basedOn w:val="Normal"/>
    <w:link w:val="EncabezadoCar"/>
    <w:uiPriority w:val="99"/>
    <w:unhideWhenUsed/>
    <w:rsid w:val="00CE55E6"/>
    <w:pPr>
      <w:widowControl w:val="0"/>
      <w:tabs>
        <w:tab w:val="center" w:pos="4419"/>
        <w:tab w:val="right" w:pos="8838"/>
      </w:tabs>
      <w:spacing w:after="0" w:line="240" w:lineRule="auto"/>
    </w:pPr>
    <w:rPr>
      <w:lang w:val="en-US"/>
    </w:rPr>
  </w:style>
  <w:style w:type="character" w:customStyle="1" w:styleId="EncabezadoCar">
    <w:name w:val="Encabezado Car"/>
    <w:basedOn w:val="Fuentedeprrafopredeter"/>
    <w:link w:val="Encabezado"/>
    <w:uiPriority w:val="99"/>
    <w:rsid w:val="00CE55E6"/>
    <w:rPr>
      <w:lang w:val="en-US"/>
    </w:rPr>
  </w:style>
  <w:style w:type="paragraph" w:styleId="Piedepgina">
    <w:name w:val="footer"/>
    <w:basedOn w:val="Normal"/>
    <w:link w:val="PiedepginaCar"/>
    <w:uiPriority w:val="99"/>
    <w:unhideWhenUsed/>
    <w:rsid w:val="00CE55E6"/>
    <w:pPr>
      <w:widowControl w:val="0"/>
      <w:tabs>
        <w:tab w:val="center" w:pos="4419"/>
        <w:tab w:val="right" w:pos="8838"/>
      </w:tabs>
      <w:spacing w:after="0" w:line="240" w:lineRule="auto"/>
    </w:pPr>
    <w:rPr>
      <w:lang w:val="en-US"/>
    </w:rPr>
  </w:style>
  <w:style w:type="character" w:customStyle="1" w:styleId="PiedepginaCar">
    <w:name w:val="Pie de página Car"/>
    <w:basedOn w:val="Fuentedeprrafopredeter"/>
    <w:link w:val="Piedepgina"/>
    <w:uiPriority w:val="99"/>
    <w:rsid w:val="00CE55E6"/>
    <w:rPr>
      <w:lang w:val="en-US"/>
    </w:rPr>
  </w:style>
  <w:style w:type="paragraph" w:styleId="Textodeglobo">
    <w:name w:val="Balloon Text"/>
    <w:basedOn w:val="Normal"/>
    <w:link w:val="TextodegloboCar"/>
    <w:uiPriority w:val="99"/>
    <w:semiHidden/>
    <w:unhideWhenUsed/>
    <w:rsid w:val="00CE55E6"/>
    <w:pPr>
      <w:widowControl w:val="0"/>
      <w:spacing w:after="0" w:line="240" w:lineRule="auto"/>
    </w:pPr>
    <w:rPr>
      <w:rFonts w:ascii="Tahoma" w:hAnsi="Tahoma" w:cs="Tahoma"/>
      <w:sz w:val="16"/>
      <w:szCs w:val="16"/>
      <w:lang w:val="en-US"/>
    </w:rPr>
  </w:style>
  <w:style w:type="character" w:customStyle="1" w:styleId="TextodegloboCar">
    <w:name w:val="Texto de globo Car"/>
    <w:basedOn w:val="Fuentedeprrafopredeter"/>
    <w:link w:val="Textodeglobo"/>
    <w:uiPriority w:val="99"/>
    <w:semiHidden/>
    <w:rsid w:val="00CE55E6"/>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ADF15D7C562FC48BE30B1278807DD03" ma:contentTypeVersion="0" ma:contentTypeDescription="Crear nuevo documento." ma:contentTypeScope="" ma:versionID="c7d4f4ee18116111f72aac40968cc924">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648672-83CB-47F5-AE71-5A52C36A46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FDABD5-B55E-4682-BFB6-BDADD4EF5B8B}">
  <ds:schemaRefs>
    <ds:schemaRef ds:uri="http://schemas.microsoft.com/sharepoint/v3/contenttype/forms"/>
  </ds:schemaRefs>
</ds:datastoreItem>
</file>

<file path=customXml/itemProps3.xml><?xml version="1.0" encoding="utf-8"?>
<ds:datastoreItem xmlns:ds="http://schemas.openxmlformats.org/officeDocument/2006/customXml" ds:itemID="{BB79C435-415A-45F1-859D-9B2A46997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5844</Words>
  <Characters>32146</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Banco Central de Reserva</Company>
  <LinksUpToDate>false</LinksUpToDate>
  <CharactersWithSpaces>37915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 Benjamín Iglesias González</dc:creator>
  <cp:lastModifiedBy>carl</cp:lastModifiedBy>
  <cp:revision>2</cp:revision>
  <dcterms:created xsi:type="dcterms:W3CDTF">2019-01-03T22:07:00Z</dcterms:created>
  <dcterms:modified xsi:type="dcterms:W3CDTF">2019-01-03T22:07:00Z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2017-05-31T00:00:00Z</vt:filetime>
  </property>
  <property fmtid="{D5CDD505-2E9C-101B-9397-08002B2CF9AE}" pid="3" name="Created">
    <vt:filetime>2016-01-05T00:00:00Z</vt:filetime>
  </property>
  <property fmtid="{D5CDD505-2E9C-101B-9397-08002B2CF9AE}" pid="4" name="ContentTypeId">
    <vt:lpwstr>0x0101007ADF15D7C562FC48BE30B1278807DD03</vt:lpwstr>
  </property>
</Properties>
</file>