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6447" w14:textId="77777777" w:rsidR="0092768C" w:rsidRPr="0020225B" w:rsidRDefault="0092768C" w:rsidP="0092768C">
      <w:pPr>
        <w:keepNext/>
        <w:keepLines/>
        <w:tabs>
          <w:tab w:val="left" w:pos="708"/>
        </w:tabs>
        <w:ind w:left="397" w:hanging="397"/>
        <w:outlineLvl w:val="0"/>
        <w:rPr>
          <w:rFonts w:ascii="Arial Narrow" w:eastAsia="Times New Roman" w:hAnsi="Arial Narrow" w:cs="Arial"/>
          <w:b/>
          <w:sz w:val="24"/>
          <w:szCs w:val="24"/>
          <w:lang w:val="es-GT" w:eastAsia="es-ES"/>
        </w:rPr>
      </w:pPr>
      <w:r w:rsidRPr="0020225B">
        <w:rPr>
          <w:rFonts w:ascii="Arial Narrow" w:eastAsia="Times New Roman" w:hAnsi="Arial Narrow" w:cs="Arial"/>
          <w:b/>
          <w:sz w:val="24"/>
          <w:szCs w:val="24"/>
          <w:lang w:val="es-GT" w:eastAsia="es-ES"/>
        </w:rPr>
        <w:t>E</w:t>
      </w:r>
      <w:r>
        <w:rPr>
          <w:rFonts w:ascii="Arial Narrow" w:eastAsia="Times New Roman" w:hAnsi="Arial Narrow" w:cs="Arial"/>
          <w:b/>
          <w:sz w:val="24"/>
          <w:szCs w:val="24"/>
          <w:lang w:val="es-GT" w:eastAsia="es-ES"/>
        </w:rPr>
        <w:t>L</w:t>
      </w:r>
      <w:r w:rsidRPr="0020225B">
        <w:rPr>
          <w:rFonts w:ascii="Arial Narrow" w:eastAsia="Times New Roman" w:hAnsi="Arial Narrow" w:cs="Arial"/>
          <w:b/>
          <w:sz w:val="24"/>
          <w:szCs w:val="24"/>
          <w:lang w:val="es-GT" w:eastAsia="es-ES"/>
        </w:rPr>
        <w:t xml:space="preserve"> COMITÉ DE NORMAS DEL BANCO CENTRAL DE RESERVA DE EL SALVADOR, </w:t>
      </w:r>
    </w:p>
    <w:p w14:paraId="5649E064" w14:textId="77777777" w:rsidR="0092768C" w:rsidRPr="0020225B" w:rsidRDefault="0092768C" w:rsidP="0092768C">
      <w:pPr>
        <w:keepNext/>
        <w:keepLines/>
        <w:ind w:left="709" w:hanging="709"/>
        <w:jc w:val="both"/>
        <w:rPr>
          <w:rFonts w:ascii="Arial Narrow" w:hAnsi="Arial Narrow" w:cs="Arial"/>
          <w:b/>
          <w:sz w:val="24"/>
          <w:szCs w:val="24"/>
          <w:lang w:val="es-ES"/>
        </w:rPr>
      </w:pPr>
      <w:r w:rsidRPr="0020225B">
        <w:rPr>
          <w:rFonts w:ascii="Arial Narrow" w:hAnsi="Arial Narrow" w:cs="Arial"/>
          <w:b/>
          <w:sz w:val="24"/>
          <w:szCs w:val="24"/>
          <w:lang w:val="es-ES"/>
        </w:rPr>
        <w:t>CONSIDERANDO:</w:t>
      </w:r>
      <w:bookmarkStart w:id="0" w:name="_GoBack"/>
      <w:bookmarkEnd w:id="0"/>
    </w:p>
    <w:p w14:paraId="6B324C0B" w14:textId="0AB8098B" w:rsidR="0092768C" w:rsidRDefault="0092768C" w:rsidP="0092768C">
      <w:pPr>
        <w:keepNext/>
        <w:keepLines/>
        <w:numPr>
          <w:ilvl w:val="0"/>
          <w:numId w:val="3"/>
        </w:numPr>
        <w:spacing w:line="240" w:lineRule="auto"/>
        <w:ind w:left="425" w:hanging="425"/>
        <w:contextualSpacing/>
        <w:jc w:val="both"/>
        <w:rPr>
          <w:rFonts w:ascii="Arial Narrow" w:hAnsi="Arial Narrow" w:cs="Arial"/>
          <w:sz w:val="24"/>
          <w:szCs w:val="24"/>
          <w:lang w:val="es-ES"/>
        </w:rPr>
      </w:pPr>
      <w:r w:rsidRPr="00D13DB9">
        <w:rPr>
          <w:rFonts w:ascii="Arial Narrow" w:hAnsi="Arial Narrow" w:cs="Arial"/>
          <w:sz w:val="24"/>
          <w:szCs w:val="24"/>
          <w:lang w:val="es-ES"/>
        </w:rPr>
        <w:t xml:space="preserve">Que el artículo 2 de la Ley de </w:t>
      </w:r>
      <w:r w:rsidRPr="00F4158A">
        <w:rPr>
          <w:rFonts w:ascii="Arial Narrow" w:hAnsi="Arial Narrow" w:cs="Arial"/>
          <w:sz w:val="24"/>
          <w:szCs w:val="24"/>
          <w:lang w:val="es-ES"/>
        </w:rPr>
        <w:t xml:space="preserve">Supervisión </w:t>
      </w:r>
      <w:r w:rsidRPr="00D13DB9">
        <w:rPr>
          <w:rFonts w:ascii="Arial Narrow" w:hAnsi="Arial Narrow" w:cs="Arial"/>
          <w:sz w:val="24"/>
          <w:szCs w:val="24"/>
          <w:lang w:val="es-ES"/>
        </w:rPr>
        <w:t>y Regulación del Sistema Financiero establece que el Sistema de Supervisión y Regulación Financiera tiene por objeto preservar la estabilidad del sistema financiero, eficiencia y transparencia, así como la seguridad y solidez de los integrantes del sistema financiero de acuerdo a lo que establece dicha Ley,</w:t>
      </w:r>
      <w:r w:rsidR="00832044">
        <w:rPr>
          <w:rFonts w:ascii="Arial Narrow" w:hAnsi="Arial Narrow" w:cs="Arial"/>
          <w:sz w:val="24"/>
          <w:szCs w:val="24"/>
          <w:lang w:val="es-ES"/>
        </w:rPr>
        <w:t xml:space="preserve"> y otras leyes aplicables,</w:t>
      </w:r>
      <w:r w:rsidRPr="00D13DB9">
        <w:rPr>
          <w:rFonts w:ascii="Arial Narrow" w:hAnsi="Arial Narrow" w:cs="Arial"/>
          <w:sz w:val="24"/>
          <w:szCs w:val="24"/>
          <w:lang w:val="es-ES"/>
        </w:rPr>
        <w:t xml:space="preserve"> reglamentos y las normas técnicas que para tales efectos se dicten, todo en concordancia con las mejores prácticas internacionales sobre la materia. </w:t>
      </w:r>
    </w:p>
    <w:p w14:paraId="039C3B89" w14:textId="77777777" w:rsidR="0092768C" w:rsidRDefault="0092768C" w:rsidP="0092768C">
      <w:pPr>
        <w:keepNext/>
        <w:keepLines/>
        <w:spacing w:after="0" w:line="240" w:lineRule="auto"/>
        <w:ind w:left="425" w:hanging="425"/>
        <w:jc w:val="both"/>
        <w:rPr>
          <w:rFonts w:ascii="Arial Narrow" w:hAnsi="Arial Narrow" w:cs="Arial"/>
          <w:sz w:val="24"/>
          <w:szCs w:val="24"/>
          <w:lang w:val="es-ES"/>
        </w:rPr>
      </w:pPr>
    </w:p>
    <w:p w14:paraId="1BA49BDD" w14:textId="0445D4DE" w:rsidR="0092768C" w:rsidRDefault="0092768C" w:rsidP="0092768C">
      <w:pPr>
        <w:keepNext/>
        <w:keepLines/>
        <w:numPr>
          <w:ilvl w:val="0"/>
          <w:numId w:val="3"/>
        </w:numPr>
        <w:spacing w:line="240" w:lineRule="auto"/>
        <w:ind w:left="425" w:hanging="425"/>
        <w:contextualSpacing/>
        <w:jc w:val="both"/>
        <w:rPr>
          <w:rFonts w:ascii="Arial Narrow" w:hAnsi="Arial Narrow" w:cs="Arial"/>
          <w:sz w:val="24"/>
          <w:szCs w:val="24"/>
          <w:lang w:val="es-ES"/>
        </w:rPr>
      </w:pPr>
      <w:r w:rsidRPr="00D13DB9">
        <w:rPr>
          <w:rFonts w:ascii="Arial Narrow" w:hAnsi="Arial Narrow" w:cs="Arial"/>
          <w:sz w:val="24"/>
          <w:szCs w:val="24"/>
          <w:lang w:val="es-ES"/>
        </w:rPr>
        <w:t xml:space="preserve">Que el artículo 3 de la Ley de Supervisión y Regulación del Sistema Financiero estipula como competencia de la Superintendencia del Sistema Financiero: vigilar que los integrantes del sistema financiero realicen sus negocios, actos y operaciones de acuerdo a las mejores prácticas financieras, con el objeto de evitar el uso indebido de información privilegiada y manipulación del mercado. </w:t>
      </w:r>
    </w:p>
    <w:p w14:paraId="14FC1D64" w14:textId="77777777" w:rsidR="0092768C" w:rsidRDefault="0092768C" w:rsidP="0092768C">
      <w:pPr>
        <w:keepNext/>
        <w:keepLines/>
        <w:spacing w:after="0" w:line="240" w:lineRule="auto"/>
        <w:ind w:left="425" w:hanging="425"/>
        <w:jc w:val="both"/>
        <w:rPr>
          <w:rFonts w:ascii="Arial Narrow" w:hAnsi="Arial Narrow" w:cs="Arial"/>
          <w:sz w:val="24"/>
          <w:szCs w:val="24"/>
          <w:lang w:val="es-ES"/>
        </w:rPr>
      </w:pPr>
    </w:p>
    <w:p w14:paraId="27005055" w14:textId="77777777" w:rsidR="0092768C" w:rsidRDefault="0092768C" w:rsidP="0092768C">
      <w:pPr>
        <w:keepNext/>
        <w:keepLines/>
        <w:numPr>
          <w:ilvl w:val="0"/>
          <w:numId w:val="3"/>
        </w:numPr>
        <w:spacing w:line="240" w:lineRule="auto"/>
        <w:ind w:left="425" w:hanging="425"/>
        <w:contextualSpacing/>
        <w:jc w:val="both"/>
        <w:rPr>
          <w:rFonts w:ascii="Arial Narrow" w:hAnsi="Arial Narrow" w:cs="Arial"/>
          <w:sz w:val="24"/>
          <w:szCs w:val="24"/>
          <w:lang w:val="es-ES"/>
        </w:rPr>
      </w:pPr>
      <w:r w:rsidRPr="00D13DB9">
        <w:rPr>
          <w:rFonts w:ascii="Arial Narrow" w:hAnsi="Arial Narrow" w:cs="Arial"/>
          <w:sz w:val="24"/>
          <w:szCs w:val="24"/>
          <w:lang w:val="es-ES"/>
        </w:rPr>
        <w:t>Que de acuerdo al artículo 35 de la Ley de Supervisión y Regulación del Sistema Financiero, le corresponde a los integrantes del sistema financiero: la adopción y actualización de políticas sobre estándares éticos de conducta, manejo de conflictos de interés, uso de información privilegiada, prevención de conductas que puedan implicar la manipulación o abuso del mercado, así como el cumplimiento de principios, reglas o estándares en el manejo de los negocios que establezcan para alcanzar sus objetivos corporativos.</w:t>
      </w:r>
    </w:p>
    <w:p w14:paraId="52169FE6" w14:textId="77777777" w:rsidR="0092768C" w:rsidRDefault="0092768C" w:rsidP="0092768C">
      <w:pPr>
        <w:keepNext/>
        <w:keepLines/>
        <w:spacing w:after="0" w:line="240" w:lineRule="auto"/>
        <w:ind w:left="425" w:hanging="425"/>
        <w:jc w:val="both"/>
        <w:rPr>
          <w:rFonts w:ascii="Arial Narrow" w:hAnsi="Arial Narrow" w:cs="Arial"/>
          <w:sz w:val="24"/>
          <w:szCs w:val="24"/>
          <w:lang w:val="es-ES"/>
        </w:rPr>
      </w:pPr>
    </w:p>
    <w:p w14:paraId="49011E49" w14:textId="77777777" w:rsidR="0092768C" w:rsidRDefault="0092768C" w:rsidP="0092768C">
      <w:pPr>
        <w:keepNext/>
        <w:keepLines/>
        <w:numPr>
          <w:ilvl w:val="0"/>
          <w:numId w:val="3"/>
        </w:numPr>
        <w:spacing w:line="240" w:lineRule="auto"/>
        <w:ind w:left="425" w:hanging="425"/>
        <w:contextualSpacing/>
        <w:jc w:val="both"/>
        <w:rPr>
          <w:rFonts w:ascii="Arial Narrow" w:hAnsi="Arial Narrow" w:cs="Arial"/>
          <w:sz w:val="24"/>
          <w:szCs w:val="24"/>
          <w:lang w:val="es-ES"/>
        </w:rPr>
      </w:pPr>
      <w:r>
        <w:rPr>
          <w:rFonts w:ascii="Arial Narrow" w:hAnsi="Arial Narrow" w:cs="Arial"/>
          <w:sz w:val="24"/>
          <w:szCs w:val="24"/>
          <w:lang w:val="es-ES"/>
        </w:rPr>
        <w:t xml:space="preserve">Que de </w:t>
      </w:r>
      <w:r w:rsidRPr="00D13DB9">
        <w:rPr>
          <w:rFonts w:ascii="Arial Narrow" w:hAnsi="Arial Narrow" w:cs="Arial"/>
          <w:sz w:val="24"/>
          <w:szCs w:val="24"/>
          <w:lang w:val="es-ES"/>
        </w:rPr>
        <w:t>conformidad a los estándares internacionales, resulta necesario disponer de un marco adecuado para el manejo de conflictos de interés</w:t>
      </w:r>
      <w:r w:rsidRPr="00246454">
        <w:rPr>
          <w:rFonts w:ascii="Arial Narrow" w:hAnsi="Arial Narrow" w:cs="Arial"/>
          <w:sz w:val="24"/>
          <w:szCs w:val="24"/>
          <w:lang w:val="es-ES"/>
        </w:rPr>
        <w:t>,</w:t>
      </w:r>
      <w:r>
        <w:rPr>
          <w:rFonts w:ascii="Arial Narrow" w:hAnsi="Arial Narrow" w:cs="Arial"/>
          <w:sz w:val="24"/>
          <w:szCs w:val="24"/>
          <w:lang w:val="es-ES"/>
        </w:rPr>
        <w:t xml:space="preserve"> </w:t>
      </w:r>
      <w:r w:rsidRPr="00246454">
        <w:rPr>
          <w:rFonts w:ascii="Arial Narrow" w:hAnsi="Arial Narrow" w:cs="Arial"/>
          <w:sz w:val="24"/>
          <w:szCs w:val="24"/>
          <w:lang w:val="es-ES"/>
        </w:rPr>
        <w:t xml:space="preserve">uso de información </w:t>
      </w:r>
      <w:r w:rsidRPr="00D13DB9">
        <w:rPr>
          <w:rFonts w:ascii="Arial Narrow" w:hAnsi="Arial Narrow" w:cs="Arial"/>
          <w:sz w:val="24"/>
          <w:szCs w:val="24"/>
          <w:lang w:val="es-ES"/>
        </w:rPr>
        <w:t xml:space="preserve">privilegiada, manipulación del mercado, con el objeto de potenciar la protección de los clientes de servicios financieros y generar transparencia y eficacia dentro del sistema financiero.  </w:t>
      </w:r>
    </w:p>
    <w:p w14:paraId="4AF3A74B" w14:textId="77777777" w:rsidR="0092768C" w:rsidRDefault="0092768C" w:rsidP="0092768C">
      <w:pPr>
        <w:keepNext/>
        <w:keepLines/>
        <w:spacing w:after="0" w:line="240" w:lineRule="auto"/>
        <w:ind w:left="425" w:hanging="425"/>
        <w:jc w:val="both"/>
        <w:rPr>
          <w:rFonts w:ascii="Arial Narrow" w:hAnsi="Arial Narrow" w:cs="Arial"/>
          <w:sz w:val="24"/>
          <w:szCs w:val="24"/>
          <w:lang w:val="es-ES"/>
        </w:rPr>
      </w:pPr>
    </w:p>
    <w:p w14:paraId="0065BABF" w14:textId="77777777" w:rsidR="0092768C" w:rsidRDefault="0092768C" w:rsidP="0092768C">
      <w:pPr>
        <w:keepNext/>
        <w:keepLines/>
        <w:numPr>
          <w:ilvl w:val="0"/>
          <w:numId w:val="3"/>
        </w:numPr>
        <w:spacing w:line="240" w:lineRule="auto"/>
        <w:ind w:left="425" w:hanging="425"/>
        <w:contextualSpacing/>
        <w:jc w:val="both"/>
        <w:rPr>
          <w:rFonts w:ascii="Arial Narrow" w:hAnsi="Arial Narrow" w:cs="Arial"/>
          <w:sz w:val="24"/>
          <w:szCs w:val="24"/>
          <w:lang w:val="es-ES"/>
        </w:rPr>
      </w:pPr>
      <w:r w:rsidRPr="009D64E4">
        <w:rPr>
          <w:rFonts w:ascii="Arial Narrow" w:hAnsi="Arial Narrow" w:cs="Arial"/>
          <w:sz w:val="24"/>
          <w:szCs w:val="24"/>
          <w:lang w:val="es-ES"/>
        </w:rPr>
        <w:t>Que el artículo 99 de la Ley de Supervisión y Regulación del Sistema Financiero establece que el Comité de Normas podrá establecer criterios técnicos para determinar los actos y operaciones que se considere contrarias a los usos bursátiles o sanas prácticas del mercado</w:t>
      </w:r>
      <w:r>
        <w:rPr>
          <w:rFonts w:ascii="Arial Narrow" w:hAnsi="Arial Narrow" w:cs="Arial"/>
          <w:sz w:val="24"/>
          <w:szCs w:val="24"/>
          <w:lang w:val="es-ES"/>
        </w:rPr>
        <w:t xml:space="preserve">. </w:t>
      </w:r>
    </w:p>
    <w:p w14:paraId="59B9E456" w14:textId="77777777" w:rsidR="0092768C" w:rsidRPr="00D13DB9" w:rsidRDefault="0092768C" w:rsidP="0092768C">
      <w:pPr>
        <w:keepNext/>
        <w:keepLines/>
        <w:spacing w:after="0" w:line="240" w:lineRule="auto"/>
        <w:ind w:left="425" w:hanging="425"/>
        <w:jc w:val="both"/>
        <w:rPr>
          <w:rFonts w:ascii="Arial Narrow" w:hAnsi="Arial Narrow" w:cs="Arial"/>
          <w:sz w:val="24"/>
          <w:szCs w:val="24"/>
          <w:lang w:val="es-ES"/>
        </w:rPr>
      </w:pPr>
    </w:p>
    <w:p w14:paraId="4B79A4DD" w14:textId="77777777" w:rsidR="0092768C" w:rsidRDefault="0092768C" w:rsidP="0092768C">
      <w:pPr>
        <w:widowControl w:val="0"/>
        <w:spacing w:after="0"/>
        <w:jc w:val="both"/>
        <w:rPr>
          <w:rFonts w:ascii="Arial Narrow" w:eastAsia="Arial Narrow" w:hAnsi="Arial Narrow" w:cs="Arial"/>
          <w:b/>
          <w:bCs/>
          <w:spacing w:val="-1"/>
          <w:sz w:val="24"/>
          <w:szCs w:val="24"/>
          <w:lang w:val="es-ES"/>
        </w:rPr>
      </w:pPr>
      <w:r w:rsidRPr="0020225B">
        <w:rPr>
          <w:rFonts w:ascii="Arial Narrow" w:eastAsia="Arial Narrow" w:hAnsi="Arial Narrow" w:cs="Arial"/>
          <w:b/>
          <w:bCs/>
          <w:spacing w:val="-1"/>
          <w:sz w:val="24"/>
          <w:szCs w:val="24"/>
          <w:lang w:val="es-ES"/>
        </w:rPr>
        <w:t>POR TANTO,</w:t>
      </w:r>
    </w:p>
    <w:p w14:paraId="14B6908C" w14:textId="77777777" w:rsidR="0092768C" w:rsidRDefault="0092768C" w:rsidP="0092768C">
      <w:pPr>
        <w:widowControl w:val="0"/>
        <w:spacing w:after="0" w:line="240" w:lineRule="auto"/>
        <w:jc w:val="both"/>
        <w:rPr>
          <w:rFonts w:ascii="Arial Narrow" w:eastAsia="Arial Narrow" w:hAnsi="Arial Narrow" w:cs="Arial"/>
          <w:b/>
          <w:bCs/>
          <w:spacing w:val="-1"/>
          <w:sz w:val="24"/>
          <w:szCs w:val="24"/>
          <w:lang w:val="es-ES"/>
        </w:rPr>
      </w:pPr>
    </w:p>
    <w:p w14:paraId="3AD411AB" w14:textId="77777777" w:rsidR="0092768C" w:rsidRDefault="0092768C" w:rsidP="0092768C">
      <w:pPr>
        <w:widowControl w:val="0"/>
        <w:spacing w:after="0"/>
        <w:jc w:val="both"/>
        <w:rPr>
          <w:rFonts w:ascii="Arial Narrow" w:hAnsi="Arial Narrow" w:cs="Arial"/>
          <w:sz w:val="24"/>
          <w:szCs w:val="24"/>
          <w:lang w:val="es-ES"/>
        </w:rPr>
      </w:pPr>
      <w:r>
        <w:rPr>
          <w:rFonts w:ascii="Arial Narrow" w:hAnsi="Arial Narrow" w:cs="Arial"/>
          <w:sz w:val="24"/>
          <w:szCs w:val="24"/>
          <w:lang w:val="es-ES"/>
        </w:rPr>
        <w:t>e</w:t>
      </w:r>
      <w:r w:rsidRPr="0020225B">
        <w:rPr>
          <w:rFonts w:ascii="Arial Narrow" w:hAnsi="Arial Narrow" w:cs="Arial"/>
          <w:sz w:val="24"/>
          <w:szCs w:val="24"/>
          <w:lang w:val="es-ES"/>
        </w:rPr>
        <w:t xml:space="preserve">n virtud de las facultades normativas que le confiere el artículo 99 de la Ley de Supervisión y Regulación del Sistema Financiero, </w:t>
      </w:r>
    </w:p>
    <w:p w14:paraId="74B6998C" w14:textId="77777777" w:rsidR="0092768C" w:rsidRDefault="0092768C" w:rsidP="0092768C">
      <w:pPr>
        <w:widowControl w:val="0"/>
        <w:spacing w:after="0"/>
        <w:jc w:val="both"/>
        <w:rPr>
          <w:rFonts w:ascii="Arial Narrow" w:hAnsi="Arial Narrow" w:cs="Arial"/>
          <w:sz w:val="24"/>
          <w:szCs w:val="24"/>
          <w:lang w:val="es-ES"/>
        </w:rPr>
      </w:pPr>
    </w:p>
    <w:p w14:paraId="1C2D7431" w14:textId="77777777" w:rsidR="0092768C" w:rsidRDefault="0092768C" w:rsidP="0092768C">
      <w:pPr>
        <w:widowControl w:val="0"/>
        <w:spacing w:after="0"/>
        <w:jc w:val="both"/>
        <w:rPr>
          <w:rFonts w:ascii="Arial Narrow" w:hAnsi="Arial Narrow" w:cs="Arial"/>
          <w:sz w:val="24"/>
          <w:szCs w:val="24"/>
          <w:lang w:val="es-ES"/>
        </w:rPr>
      </w:pPr>
      <w:r w:rsidRPr="0020225B">
        <w:rPr>
          <w:rFonts w:ascii="Arial Narrow" w:hAnsi="Arial Narrow" w:cs="Arial"/>
          <w:b/>
          <w:sz w:val="24"/>
          <w:szCs w:val="24"/>
          <w:lang w:val="es-ES"/>
        </w:rPr>
        <w:t>ACUERDA</w:t>
      </w:r>
      <w:r>
        <w:rPr>
          <w:rFonts w:ascii="Arial Narrow" w:hAnsi="Arial Narrow" w:cs="Arial"/>
          <w:b/>
          <w:sz w:val="24"/>
          <w:szCs w:val="24"/>
          <w:lang w:val="es-ES"/>
        </w:rPr>
        <w:t>,</w:t>
      </w:r>
      <w:r w:rsidRPr="0020225B">
        <w:rPr>
          <w:rFonts w:ascii="Arial Narrow" w:hAnsi="Arial Narrow" w:cs="Arial"/>
          <w:sz w:val="24"/>
          <w:szCs w:val="24"/>
          <w:lang w:val="es-ES"/>
        </w:rPr>
        <w:t xml:space="preserve"> emitir las siguientes:</w:t>
      </w:r>
    </w:p>
    <w:p w14:paraId="16CF37AC" w14:textId="77777777" w:rsidR="0092768C" w:rsidRPr="009D64E4" w:rsidRDefault="0092768C" w:rsidP="0092768C">
      <w:pPr>
        <w:keepNext/>
        <w:keepLines/>
        <w:spacing w:line="240" w:lineRule="auto"/>
        <w:ind w:left="425" w:hanging="425"/>
        <w:contextualSpacing/>
        <w:jc w:val="center"/>
        <w:rPr>
          <w:rFonts w:ascii="Arial Narrow" w:hAnsi="Arial Narrow" w:cs="Arial"/>
          <w:b/>
          <w:sz w:val="24"/>
          <w:szCs w:val="24"/>
          <w:lang w:val="es-ES"/>
        </w:rPr>
      </w:pPr>
      <w:r w:rsidRPr="009D64E4">
        <w:rPr>
          <w:rFonts w:ascii="Arial Narrow" w:hAnsi="Arial Narrow" w:cs="Arial"/>
          <w:b/>
          <w:sz w:val="24"/>
          <w:szCs w:val="24"/>
          <w:lang w:val="es-ES"/>
        </w:rPr>
        <w:t>NORMAS TÉCNICAS DE CONDUCTA PARA LAS ENTIDADES DE LOS MERCADOS BURSÁTILES</w:t>
      </w:r>
    </w:p>
    <w:p w14:paraId="269779FB" w14:textId="77777777" w:rsidR="0092768C" w:rsidRDefault="0092768C" w:rsidP="0092768C">
      <w:pPr>
        <w:tabs>
          <w:tab w:val="left" w:pos="567"/>
        </w:tabs>
        <w:spacing w:after="0" w:line="240" w:lineRule="auto"/>
        <w:jc w:val="center"/>
        <w:rPr>
          <w:rFonts w:ascii="Arial Narrow" w:hAnsi="Arial Narrow" w:cs="Arial"/>
          <w:b/>
          <w:sz w:val="24"/>
          <w:szCs w:val="24"/>
          <w:lang w:val="es-ES"/>
        </w:rPr>
      </w:pPr>
    </w:p>
    <w:p w14:paraId="1C2F6A60"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Pr>
          <w:rFonts w:ascii="Arial Narrow" w:hAnsi="Arial Narrow" w:cs="Arial"/>
          <w:b/>
          <w:sz w:val="24"/>
          <w:szCs w:val="24"/>
          <w:lang w:val="es-ES"/>
        </w:rPr>
        <w:t xml:space="preserve"> </w:t>
      </w:r>
      <w:r w:rsidRPr="0020225B">
        <w:rPr>
          <w:rFonts w:ascii="Arial Narrow" w:hAnsi="Arial Narrow" w:cs="Arial"/>
          <w:b/>
          <w:sz w:val="24"/>
          <w:szCs w:val="24"/>
          <w:lang w:val="es-ES"/>
        </w:rPr>
        <w:t>CAPÍTULO I</w:t>
      </w:r>
    </w:p>
    <w:p w14:paraId="6210B6B2"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Pr>
          <w:rFonts w:ascii="Arial Narrow" w:hAnsi="Arial Narrow" w:cs="Arial"/>
          <w:b/>
          <w:sz w:val="24"/>
          <w:szCs w:val="24"/>
          <w:lang w:val="es-ES"/>
        </w:rPr>
        <w:lastRenderedPageBreak/>
        <w:t xml:space="preserve">  </w:t>
      </w:r>
      <w:r w:rsidRPr="0020225B">
        <w:rPr>
          <w:rFonts w:ascii="Arial Narrow" w:hAnsi="Arial Narrow" w:cs="Arial"/>
          <w:b/>
          <w:sz w:val="24"/>
          <w:szCs w:val="24"/>
          <w:lang w:val="es-ES"/>
        </w:rPr>
        <w:t>OBJETO, SUJETOS Y TÉRMINOS</w:t>
      </w:r>
    </w:p>
    <w:p w14:paraId="363DB1FE"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p>
    <w:p w14:paraId="77E22341" w14:textId="77777777" w:rsidR="0092768C" w:rsidRPr="000C5AD5" w:rsidRDefault="0092768C" w:rsidP="0092768C">
      <w:pPr>
        <w:tabs>
          <w:tab w:val="left" w:pos="567"/>
        </w:tabs>
        <w:spacing w:after="0" w:line="240" w:lineRule="auto"/>
        <w:jc w:val="both"/>
        <w:rPr>
          <w:rFonts w:ascii="Arial Narrow" w:hAnsi="Arial Narrow" w:cs="Arial"/>
          <w:b/>
          <w:sz w:val="24"/>
          <w:szCs w:val="24"/>
          <w:lang w:val="es-ES"/>
        </w:rPr>
      </w:pPr>
      <w:r w:rsidRPr="000C5AD5">
        <w:rPr>
          <w:rFonts w:ascii="Arial Narrow" w:hAnsi="Arial Narrow" w:cs="Arial"/>
          <w:b/>
          <w:sz w:val="24"/>
          <w:szCs w:val="24"/>
          <w:lang w:val="es-ES"/>
        </w:rPr>
        <w:t xml:space="preserve">Objeto </w:t>
      </w:r>
    </w:p>
    <w:p w14:paraId="396F677B" w14:textId="77777777" w:rsidR="0092768C" w:rsidRDefault="0092768C" w:rsidP="0092768C">
      <w:pPr>
        <w:widowControl w:val="0"/>
        <w:spacing w:line="240" w:lineRule="auto"/>
        <w:jc w:val="both"/>
        <w:rPr>
          <w:rFonts w:ascii="Arial Narrow" w:hAnsi="Arial Narrow"/>
          <w:lang w:val="es-ES"/>
        </w:rPr>
      </w:pPr>
      <w:r w:rsidRPr="000C5AD5">
        <w:rPr>
          <w:rFonts w:ascii="Arial Narrow" w:hAnsi="Arial Narrow" w:cs="Arial"/>
          <w:b/>
          <w:sz w:val="24"/>
          <w:szCs w:val="24"/>
          <w:lang w:val="es-ES"/>
        </w:rPr>
        <w:t>Art. 1.-</w:t>
      </w:r>
      <w:r w:rsidRPr="000C5AD5">
        <w:rPr>
          <w:rFonts w:ascii="Arial Narrow" w:hAnsi="Arial Narrow"/>
          <w:b/>
          <w:bCs/>
          <w:sz w:val="24"/>
          <w:szCs w:val="24"/>
          <w:lang w:val="es-ES"/>
        </w:rPr>
        <w:t xml:space="preserve"> </w:t>
      </w:r>
      <w:r w:rsidRPr="000C5AD5">
        <w:rPr>
          <w:rFonts w:ascii="Arial Narrow" w:hAnsi="Arial Narrow"/>
          <w:sz w:val="24"/>
          <w:szCs w:val="24"/>
          <w:lang w:val="es-ES"/>
        </w:rPr>
        <w:t>Las presentes Normas tienen por objeto regular la adopción y actualización de políticas en las entidades sujetas a estas Normas, así como los funcionarios y empleados de éstas, en lo relativo a estándares éticos de conducta, manejo de conflictos de interés, uso de información privilegiada, prevención de conductas que puedan implicar la manipulación o abuso del mercado.</w:t>
      </w:r>
    </w:p>
    <w:p w14:paraId="01E19EB2"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 xml:space="preserve">Sujetos  </w:t>
      </w:r>
    </w:p>
    <w:p w14:paraId="4791D14E" w14:textId="77777777" w:rsidR="0092768C" w:rsidRDefault="0092768C" w:rsidP="0092768C">
      <w:pPr>
        <w:tabs>
          <w:tab w:val="left" w:pos="567"/>
        </w:tabs>
        <w:spacing w:after="120" w:line="240" w:lineRule="auto"/>
        <w:jc w:val="both"/>
        <w:rPr>
          <w:rFonts w:ascii="Arial Narrow" w:hAnsi="Arial Narrow" w:cs="Times New Roman"/>
          <w:sz w:val="24"/>
          <w:szCs w:val="24"/>
          <w:lang w:val="es-ES"/>
        </w:rPr>
      </w:pPr>
      <w:r w:rsidRPr="0020225B">
        <w:rPr>
          <w:rFonts w:ascii="Arial Narrow" w:hAnsi="Arial Narrow" w:cs="Arial"/>
          <w:b/>
          <w:sz w:val="24"/>
          <w:szCs w:val="24"/>
          <w:lang w:val="es-ES"/>
        </w:rPr>
        <w:t>Art. 2.-</w:t>
      </w:r>
      <w:r w:rsidRPr="0020225B">
        <w:rPr>
          <w:rFonts w:ascii="Arial Narrow" w:hAnsi="Arial Narrow" w:cs="Arial"/>
          <w:sz w:val="24"/>
          <w:szCs w:val="24"/>
          <w:lang w:val="es-ES"/>
        </w:rPr>
        <w:t xml:space="preserve"> Las disposiciones establecidas en estas Normas</w:t>
      </w:r>
      <w:r>
        <w:rPr>
          <w:rFonts w:ascii="Arial Narrow" w:hAnsi="Arial Narrow" w:cs="Arial"/>
          <w:sz w:val="24"/>
          <w:szCs w:val="24"/>
          <w:lang w:val="es-ES"/>
        </w:rPr>
        <w:t>,</w:t>
      </w:r>
      <w:r w:rsidRPr="0020225B">
        <w:rPr>
          <w:rFonts w:ascii="Arial Narrow" w:hAnsi="Arial Narrow" w:cs="Arial"/>
          <w:sz w:val="24"/>
          <w:szCs w:val="24"/>
          <w:lang w:val="es-ES"/>
        </w:rPr>
        <w:t xml:space="preserve"> son aplica</w:t>
      </w:r>
      <w:r>
        <w:rPr>
          <w:rFonts w:ascii="Arial Narrow" w:hAnsi="Arial Narrow" w:cs="Arial"/>
          <w:sz w:val="24"/>
          <w:szCs w:val="24"/>
          <w:lang w:val="es-ES"/>
        </w:rPr>
        <w:t>bles a las siguientes entidades:</w:t>
      </w:r>
    </w:p>
    <w:p w14:paraId="4017717C"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 xml:space="preserve">Las bolsas de valores; </w:t>
      </w:r>
    </w:p>
    <w:p w14:paraId="5E696BDA"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 xml:space="preserve">Las bolsas de productos y servicios; </w:t>
      </w:r>
    </w:p>
    <w:p w14:paraId="0D5B60D1"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Las casas de corredores de bolsa;</w:t>
      </w:r>
    </w:p>
    <w:p w14:paraId="059DE482"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 xml:space="preserve">Las sociedades especializadas en el depósito y custodia de valores; </w:t>
      </w:r>
    </w:p>
    <w:p w14:paraId="1553F3A5"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 xml:space="preserve">Los agentes especializados en valuación de valores; </w:t>
      </w:r>
    </w:p>
    <w:p w14:paraId="50B6BF0E"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Los almacenes generales de depósito</w:t>
      </w:r>
      <w:r>
        <w:rPr>
          <w:rFonts w:ascii="Arial Narrow" w:hAnsi="Arial Narrow"/>
          <w:sz w:val="24"/>
          <w:szCs w:val="24"/>
          <w:lang w:val="es-ES"/>
        </w:rPr>
        <w:t>;</w:t>
      </w:r>
      <w:r w:rsidRPr="0020225B">
        <w:rPr>
          <w:rFonts w:ascii="Arial Narrow" w:hAnsi="Arial Narrow"/>
          <w:sz w:val="24"/>
          <w:szCs w:val="24"/>
          <w:lang w:val="es-ES"/>
        </w:rPr>
        <w:t xml:space="preserve"> </w:t>
      </w:r>
    </w:p>
    <w:p w14:paraId="0DCC6C2F"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Las titularizadoras; y</w:t>
      </w:r>
    </w:p>
    <w:p w14:paraId="765EF05B" w14:textId="77777777" w:rsidR="0092768C" w:rsidRPr="0020225B" w:rsidRDefault="0092768C" w:rsidP="0092768C">
      <w:pPr>
        <w:numPr>
          <w:ilvl w:val="0"/>
          <w:numId w:val="9"/>
        </w:numPr>
        <w:tabs>
          <w:tab w:val="left" w:pos="709"/>
        </w:tabs>
        <w:spacing w:after="0" w:line="240" w:lineRule="auto"/>
        <w:ind w:left="425" w:hanging="425"/>
        <w:contextualSpacing/>
        <w:jc w:val="both"/>
        <w:rPr>
          <w:rFonts w:ascii="Arial Narrow" w:hAnsi="Arial Narrow"/>
          <w:sz w:val="24"/>
          <w:szCs w:val="24"/>
          <w:lang w:val="es-ES"/>
        </w:rPr>
      </w:pPr>
      <w:r w:rsidRPr="0020225B">
        <w:rPr>
          <w:rFonts w:ascii="Arial Narrow" w:hAnsi="Arial Narrow"/>
          <w:sz w:val="24"/>
          <w:szCs w:val="24"/>
          <w:lang w:val="es-ES"/>
        </w:rPr>
        <w:t xml:space="preserve">Las gestoras de Fondos de Inversión.  </w:t>
      </w:r>
    </w:p>
    <w:p w14:paraId="3337D67C" w14:textId="77777777" w:rsidR="0092768C" w:rsidRDefault="0092768C" w:rsidP="0092768C">
      <w:pPr>
        <w:tabs>
          <w:tab w:val="left" w:pos="851"/>
        </w:tabs>
        <w:spacing w:after="0" w:line="240" w:lineRule="auto"/>
        <w:ind w:left="851"/>
        <w:contextualSpacing/>
        <w:jc w:val="both"/>
        <w:rPr>
          <w:rFonts w:ascii="Arial Narrow" w:hAnsi="Arial Narrow"/>
          <w:sz w:val="24"/>
          <w:szCs w:val="24"/>
          <w:lang w:val="es-ES"/>
        </w:rPr>
      </w:pPr>
    </w:p>
    <w:p w14:paraId="002C1D9B" w14:textId="77777777" w:rsidR="0092768C" w:rsidRDefault="0092768C" w:rsidP="0092768C">
      <w:pPr>
        <w:tabs>
          <w:tab w:val="left" w:pos="851"/>
        </w:tabs>
        <w:spacing w:after="0" w:line="240" w:lineRule="auto"/>
        <w:contextualSpacing/>
        <w:jc w:val="both"/>
        <w:rPr>
          <w:rFonts w:ascii="Arial Narrow" w:hAnsi="Arial Narrow"/>
          <w:sz w:val="24"/>
          <w:szCs w:val="24"/>
          <w:lang w:val="es-ES"/>
        </w:rPr>
      </w:pPr>
      <w:r w:rsidRPr="006B3CB4">
        <w:rPr>
          <w:rFonts w:ascii="Arial Narrow" w:hAnsi="Arial Narrow"/>
          <w:sz w:val="24"/>
          <w:szCs w:val="24"/>
          <w:lang w:val="es-ES"/>
        </w:rPr>
        <w:t xml:space="preserve">Las Clasificadoras de Riesgo se regularán de conformidad a lo establecido en las </w:t>
      </w:r>
      <w:r>
        <w:rPr>
          <w:rFonts w:ascii="Arial Narrow" w:hAnsi="Arial Narrow"/>
          <w:sz w:val="24"/>
          <w:szCs w:val="24"/>
          <w:lang w:val="es-ES"/>
        </w:rPr>
        <w:t>“</w:t>
      </w:r>
      <w:r w:rsidRPr="006B3CB4">
        <w:rPr>
          <w:rFonts w:ascii="Arial Narrow" w:hAnsi="Arial Narrow"/>
          <w:sz w:val="24"/>
          <w:szCs w:val="24"/>
          <w:lang w:val="es-ES"/>
        </w:rPr>
        <w:t xml:space="preserve">Normas Técnicas sobre </w:t>
      </w:r>
      <w:r>
        <w:rPr>
          <w:rFonts w:ascii="Arial Narrow" w:hAnsi="Arial Narrow"/>
          <w:sz w:val="24"/>
          <w:szCs w:val="24"/>
          <w:lang w:val="es-ES"/>
        </w:rPr>
        <w:t xml:space="preserve">Obligaciones de las </w:t>
      </w:r>
      <w:r w:rsidRPr="006B3CB4">
        <w:rPr>
          <w:rFonts w:ascii="Arial Narrow" w:hAnsi="Arial Narrow"/>
          <w:sz w:val="24"/>
          <w:szCs w:val="24"/>
          <w:lang w:val="es-ES"/>
        </w:rPr>
        <w:t>Sociedades Clasificadoras de Riesgo</w:t>
      </w:r>
      <w:r>
        <w:rPr>
          <w:rFonts w:ascii="Arial Narrow" w:hAnsi="Arial Narrow"/>
          <w:sz w:val="24"/>
          <w:szCs w:val="24"/>
          <w:lang w:val="es-ES"/>
        </w:rPr>
        <w:t>”</w:t>
      </w:r>
      <w:r w:rsidRPr="006B3CB4">
        <w:rPr>
          <w:rFonts w:ascii="Arial Narrow" w:hAnsi="Arial Narrow"/>
          <w:sz w:val="24"/>
          <w:szCs w:val="24"/>
          <w:lang w:val="es-ES"/>
        </w:rPr>
        <w:t xml:space="preserve"> (NRP-07). </w:t>
      </w:r>
    </w:p>
    <w:p w14:paraId="37786C85" w14:textId="77777777" w:rsidR="0092768C" w:rsidRDefault="0092768C" w:rsidP="0092768C">
      <w:pPr>
        <w:tabs>
          <w:tab w:val="left" w:pos="851"/>
        </w:tabs>
        <w:spacing w:after="0" w:line="240" w:lineRule="auto"/>
        <w:contextualSpacing/>
        <w:jc w:val="both"/>
        <w:rPr>
          <w:rFonts w:ascii="Arial Narrow" w:hAnsi="Arial Narrow"/>
          <w:sz w:val="24"/>
          <w:szCs w:val="24"/>
          <w:lang w:val="es-ES"/>
        </w:rPr>
      </w:pPr>
    </w:p>
    <w:p w14:paraId="21E8006A" w14:textId="77777777" w:rsidR="0092768C" w:rsidRPr="006B3CB4" w:rsidRDefault="0092768C" w:rsidP="0092768C">
      <w:pPr>
        <w:tabs>
          <w:tab w:val="left" w:pos="851"/>
        </w:tabs>
        <w:spacing w:after="0" w:line="240" w:lineRule="auto"/>
        <w:contextualSpacing/>
        <w:jc w:val="both"/>
        <w:rPr>
          <w:rFonts w:ascii="Arial Narrow" w:hAnsi="Arial Narrow"/>
          <w:sz w:val="24"/>
          <w:szCs w:val="24"/>
          <w:lang w:val="es-ES"/>
        </w:rPr>
      </w:pPr>
      <w:r w:rsidRPr="00403FE6">
        <w:rPr>
          <w:rFonts w:ascii="Arial Narrow" w:hAnsi="Arial Narrow"/>
          <w:sz w:val="24"/>
          <w:szCs w:val="24"/>
          <w:lang w:val="es-ES"/>
        </w:rPr>
        <w:t>En caso de los almacenes generales de depósito</w:t>
      </w:r>
      <w:r>
        <w:rPr>
          <w:rFonts w:ascii="Arial Narrow" w:hAnsi="Arial Narrow"/>
          <w:sz w:val="24"/>
          <w:szCs w:val="24"/>
          <w:lang w:val="es-ES"/>
        </w:rPr>
        <w:t>,</w:t>
      </w:r>
      <w:r w:rsidRPr="00403FE6">
        <w:rPr>
          <w:rFonts w:ascii="Arial Narrow" w:hAnsi="Arial Narrow"/>
          <w:sz w:val="24"/>
          <w:szCs w:val="24"/>
          <w:lang w:val="es-ES"/>
        </w:rPr>
        <w:t xml:space="preserve"> únicamente le será aplicable lo establecido en los Capítulos II y III de las presentes Normas</w:t>
      </w:r>
      <w:r>
        <w:rPr>
          <w:rFonts w:ascii="Arial Narrow" w:hAnsi="Arial Narrow"/>
          <w:sz w:val="24"/>
          <w:szCs w:val="24"/>
          <w:lang w:val="es-ES"/>
        </w:rPr>
        <w:t xml:space="preserve">. </w:t>
      </w:r>
    </w:p>
    <w:p w14:paraId="5C64990E" w14:textId="77777777" w:rsidR="0092768C" w:rsidRDefault="0092768C" w:rsidP="0092768C">
      <w:pPr>
        <w:tabs>
          <w:tab w:val="left" w:pos="851"/>
        </w:tabs>
        <w:spacing w:after="0" w:line="240" w:lineRule="auto"/>
        <w:contextualSpacing/>
        <w:jc w:val="both"/>
        <w:rPr>
          <w:rFonts w:ascii="Arial Narrow" w:hAnsi="Arial Narrow"/>
          <w:sz w:val="24"/>
          <w:szCs w:val="24"/>
          <w:lang w:val="es-ES"/>
        </w:rPr>
      </w:pPr>
    </w:p>
    <w:p w14:paraId="1A5090EB"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 xml:space="preserve">Términos </w:t>
      </w:r>
    </w:p>
    <w:p w14:paraId="1FD45141" w14:textId="77777777" w:rsidR="0092768C" w:rsidRPr="0020225B" w:rsidRDefault="0092768C" w:rsidP="0092768C">
      <w:pPr>
        <w:tabs>
          <w:tab w:val="left" w:pos="567"/>
        </w:tabs>
        <w:spacing w:after="120" w:line="240" w:lineRule="auto"/>
        <w:jc w:val="both"/>
        <w:rPr>
          <w:rFonts w:ascii="Arial Narrow" w:hAnsi="Arial Narrow" w:cs="Arial"/>
          <w:b/>
          <w:sz w:val="24"/>
          <w:szCs w:val="24"/>
          <w:lang w:val="es-ES"/>
        </w:rPr>
      </w:pPr>
      <w:r w:rsidRPr="0020225B">
        <w:rPr>
          <w:rFonts w:ascii="Arial Narrow" w:hAnsi="Arial Narrow" w:cs="Arial"/>
          <w:b/>
          <w:sz w:val="24"/>
          <w:szCs w:val="24"/>
          <w:lang w:val="es-ES"/>
        </w:rPr>
        <w:t xml:space="preserve">Art. 3.- </w:t>
      </w:r>
      <w:r w:rsidRPr="0020225B">
        <w:rPr>
          <w:rFonts w:ascii="Arial Narrow" w:hAnsi="Arial Narrow" w:cs="Arial"/>
          <w:sz w:val="24"/>
          <w:szCs w:val="24"/>
          <w:lang w:val="es-ES"/>
        </w:rPr>
        <w:t>Para los fines de aplicación de estas Normas, los términos que se indican a continuación tienen el significado siguiente:</w:t>
      </w:r>
      <w:r w:rsidRPr="0020225B">
        <w:rPr>
          <w:rFonts w:ascii="Arial Narrow" w:hAnsi="Arial Narrow" w:cs="Arial"/>
          <w:b/>
          <w:sz w:val="24"/>
          <w:szCs w:val="24"/>
          <w:lang w:val="es-ES"/>
        </w:rPr>
        <w:t xml:space="preserve"> </w:t>
      </w:r>
    </w:p>
    <w:p w14:paraId="2F3DE1D6" w14:textId="77777777" w:rsidR="0092768C" w:rsidRPr="003A15A4"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b/>
          <w:color w:val="000000"/>
          <w:sz w:val="24"/>
          <w:szCs w:val="24"/>
          <w:lang w:val="es-SV"/>
        </w:rPr>
        <w:t>Alta</w:t>
      </w:r>
      <w:r w:rsidRPr="0020225B">
        <w:rPr>
          <w:rFonts w:ascii="Arial Narrow" w:hAnsi="Arial Narrow" w:cs="Arial"/>
          <w:b/>
          <w:sz w:val="24"/>
          <w:szCs w:val="24"/>
          <w:lang w:val="es-ES"/>
        </w:rPr>
        <w:t xml:space="preserve"> Gerencia</w:t>
      </w:r>
      <w:r w:rsidRPr="008F1CFB">
        <w:rPr>
          <w:rFonts w:ascii="Arial Narrow" w:hAnsi="Arial Narrow" w:cs="Arial"/>
          <w:b/>
          <w:sz w:val="24"/>
          <w:szCs w:val="24"/>
          <w:lang w:val="es-ES"/>
        </w:rPr>
        <w:t>:</w:t>
      </w:r>
      <w:r w:rsidRPr="0020225B">
        <w:rPr>
          <w:rFonts w:ascii="Arial Narrow" w:hAnsi="Arial Narrow" w:cs="Arial"/>
          <w:sz w:val="24"/>
          <w:szCs w:val="24"/>
          <w:lang w:val="es-ES"/>
        </w:rPr>
        <w:t xml:space="preserve"> El Presidente Ejecutivo, Gerente General o quien haga sus veces y los </w:t>
      </w:r>
      <w:r w:rsidRPr="003A15A4">
        <w:rPr>
          <w:rFonts w:ascii="Arial Narrow" w:hAnsi="Arial Narrow" w:cs="Arial"/>
          <w:sz w:val="24"/>
          <w:szCs w:val="24"/>
          <w:lang w:val="es-ES"/>
        </w:rPr>
        <w:t xml:space="preserve">ejecutivos que le reporten al mismo; </w:t>
      </w:r>
    </w:p>
    <w:p w14:paraId="740DA38F" w14:textId="77777777" w:rsidR="0092768C" w:rsidRPr="00E22A60" w:rsidRDefault="0092768C" w:rsidP="0092768C">
      <w:pPr>
        <w:numPr>
          <w:ilvl w:val="0"/>
          <w:numId w:val="4"/>
        </w:numPr>
        <w:spacing w:line="240" w:lineRule="auto"/>
        <w:ind w:left="425" w:hanging="425"/>
        <w:contextualSpacing/>
        <w:jc w:val="both"/>
        <w:rPr>
          <w:rFonts w:ascii="Arial Narrow" w:eastAsia="Times New Roman" w:hAnsi="Arial Narrow" w:cs="Times New Roman"/>
          <w:sz w:val="24"/>
          <w:szCs w:val="24"/>
          <w:lang w:eastAsia="es-ES"/>
        </w:rPr>
      </w:pPr>
      <w:r w:rsidRPr="003A15A4">
        <w:rPr>
          <w:rFonts w:ascii="Arial Narrow" w:hAnsi="Arial Narrow" w:cs="Arial"/>
          <w:b/>
          <w:color w:val="000000"/>
          <w:sz w:val="24"/>
          <w:szCs w:val="24"/>
          <w:lang w:val="es-SV"/>
        </w:rPr>
        <w:t>Conflicto</w:t>
      </w:r>
      <w:r w:rsidRPr="003A15A4">
        <w:rPr>
          <w:rFonts w:ascii="Arial Narrow" w:hAnsi="Arial Narrow" w:cs="Arial"/>
          <w:b/>
          <w:sz w:val="24"/>
          <w:szCs w:val="24"/>
          <w:lang w:val="es-ES"/>
        </w:rPr>
        <w:t xml:space="preserve"> de interés</w:t>
      </w:r>
      <w:r w:rsidRPr="008F1CFB">
        <w:rPr>
          <w:rFonts w:ascii="Arial Narrow" w:hAnsi="Arial Narrow" w:cs="Arial"/>
          <w:sz w:val="24"/>
          <w:szCs w:val="24"/>
          <w:lang w:val="es-ES"/>
        </w:rPr>
        <w:t>:</w:t>
      </w:r>
      <w:r w:rsidRPr="003A15A4">
        <w:rPr>
          <w:rFonts w:ascii="Arial Narrow" w:hAnsi="Arial Narrow" w:cs="Arial"/>
          <w:sz w:val="24"/>
          <w:szCs w:val="24"/>
          <w:lang w:val="es-ES"/>
        </w:rPr>
        <w:t xml:space="preserve"> </w:t>
      </w:r>
      <w:r>
        <w:rPr>
          <w:rFonts w:ascii="Arial Narrow" w:hAnsi="Arial Narrow" w:cs="Arial"/>
          <w:sz w:val="24"/>
          <w:szCs w:val="24"/>
          <w:lang w:val="es-ES"/>
        </w:rPr>
        <w:t xml:space="preserve">Cualquier situación en la que se puede percibir que un beneficio o interés personal o un tercero pueda influir en el juicio o decisión profesional de un miembro de la entidad relativo al cumplimiento de sus obligaciones; </w:t>
      </w:r>
    </w:p>
    <w:p w14:paraId="4A489677" w14:textId="05E9BCC3" w:rsidR="0092768C" w:rsidRPr="005D7701" w:rsidRDefault="0092768C" w:rsidP="0092768C">
      <w:pPr>
        <w:numPr>
          <w:ilvl w:val="0"/>
          <w:numId w:val="4"/>
        </w:numPr>
        <w:spacing w:line="240" w:lineRule="auto"/>
        <w:ind w:left="425" w:hanging="425"/>
        <w:contextualSpacing/>
        <w:jc w:val="both"/>
        <w:rPr>
          <w:rFonts w:ascii="Arial Narrow" w:hAnsi="Arial Narrow"/>
          <w:b/>
          <w:color w:val="FF0000"/>
          <w:lang w:val="es-ES"/>
        </w:rPr>
      </w:pPr>
      <w:r w:rsidRPr="0029347D">
        <w:rPr>
          <w:rFonts w:ascii="Arial Narrow" w:hAnsi="Arial Narrow" w:cs="Arial"/>
          <w:b/>
          <w:sz w:val="24"/>
          <w:szCs w:val="24"/>
          <w:lang w:val="es-ES"/>
        </w:rPr>
        <w:t>Junta Directiva:</w:t>
      </w:r>
      <w:r w:rsidRPr="005D7701">
        <w:rPr>
          <w:rFonts w:ascii="Arial Narrow" w:hAnsi="Arial Narrow"/>
          <w:lang w:val="es-ES"/>
        </w:rPr>
        <w:t xml:space="preserve"> </w:t>
      </w:r>
      <w:r w:rsidRPr="00403FE6">
        <w:rPr>
          <w:rFonts w:ascii="Arial Narrow" w:hAnsi="Arial Narrow" w:cs="Arial"/>
          <w:sz w:val="24"/>
          <w:szCs w:val="24"/>
          <w:lang w:val="es-ES"/>
        </w:rPr>
        <w:t>Órgano colegiado encargado de la administración de la entidad, con funciones de supervisión y control. En caso de sociedades de responsabilidad limitada que cuente con administrador</w:t>
      </w:r>
      <w:r w:rsidR="005C38DB">
        <w:rPr>
          <w:rFonts w:ascii="Arial Narrow" w:hAnsi="Arial Narrow" w:cs="Arial"/>
          <w:sz w:val="24"/>
          <w:szCs w:val="24"/>
          <w:lang w:val="es-ES"/>
        </w:rPr>
        <w:t>es o administrador único</w:t>
      </w:r>
      <w:r w:rsidRPr="00403FE6">
        <w:rPr>
          <w:rFonts w:ascii="Arial Narrow" w:hAnsi="Arial Narrow" w:cs="Arial"/>
          <w:sz w:val="24"/>
          <w:szCs w:val="24"/>
          <w:lang w:val="es-ES"/>
        </w:rPr>
        <w:t>, le serán aplicables a éste las obligaciones que las presentes Normas establecen para la Junta Directiva;</w:t>
      </w:r>
    </w:p>
    <w:p w14:paraId="5DC13443" w14:textId="77777777" w:rsidR="0092768C" w:rsidRPr="005D7701"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5D7701">
        <w:rPr>
          <w:rFonts w:ascii="Arial Narrow" w:hAnsi="Arial Narrow" w:cs="Arial"/>
          <w:b/>
          <w:color w:val="000000"/>
          <w:sz w:val="24"/>
          <w:szCs w:val="24"/>
          <w:lang w:val="es-SV"/>
        </w:rPr>
        <w:t>Cliente</w:t>
      </w:r>
      <w:r w:rsidRPr="005D7701">
        <w:rPr>
          <w:rFonts w:ascii="Arial Narrow" w:hAnsi="Arial Narrow" w:cs="Arial"/>
          <w:b/>
          <w:sz w:val="24"/>
          <w:szCs w:val="24"/>
          <w:lang w:val="es-ES"/>
        </w:rPr>
        <w:t>:</w:t>
      </w:r>
      <w:r w:rsidRPr="005D7701">
        <w:rPr>
          <w:rFonts w:ascii="Arial Narrow" w:hAnsi="Arial Narrow" w:cs="Arial"/>
          <w:sz w:val="24"/>
          <w:szCs w:val="24"/>
          <w:lang w:val="es-ES"/>
        </w:rPr>
        <w:t xml:space="preserve"> Persona natural o jurídica que mantiene una relación contractual con la entidad para la prestación de servicios o productos financieros que esta ofrece;  </w:t>
      </w:r>
    </w:p>
    <w:p w14:paraId="57FED0CB" w14:textId="77777777" w:rsidR="0092768C" w:rsidRPr="0020225B" w:rsidRDefault="0092768C" w:rsidP="0092768C">
      <w:pPr>
        <w:widowControl w:val="0"/>
        <w:numPr>
          <w:ilvl w:val="0"/>
          <w:numId w:val="4"/>
        </w:numPr>
        <w:spacing w:line="240" w:lineRule="auto"/>
        <w:ind w:left="425" w:hanging="425"/>
        <w:contextualSpacing/>
        <w:jc w:val="both"/>
        <w:rPr>
          <w:rFonts w:ascii="Arial Narrow" w:hAnsi="Arial Narrow" w:cs="Arial"/>
          <w:sz w:val="24"/>
          <w:szCs w:val="24"/>
          <w:lang w:val="es-ES"/>
        </w:rPr>
      </w:pPr>
      <w:r w:rsidRPr="003F60FF">
        <w:rPr>
          <w:rFonts w:ascii="Arial Narrow" w:hAnsi="Arial Narrow" w:cs="Arial"/>
          <w:b/>
          <w:sz w:val="24"/>
          <w:szCs w:val="24"/>
          <w:lang w:val="es-ES"/>
        </w:rPr>
        <w:t>Código de Ética o de Conducta</w:t>
      </w:r>
      <w:r w:rsidRPr="003F60FF">
        <w:rPr>
          <w:rFonts w:ascii="Arial Narrow" w:hAnsi="Arial Narrow" w:cs="Arial"/>
          <w:sz w:val="24"/>
          <w:szCs w:val="24"/>
          <w:lang w:val="es-ES"/>
        </w:rPr>
        <w:t>:</w:t>
      </w:r>
      <w:r>
        <w:rPr>
          <w:rFonts w:ascii="Arial Narrow" w:hAnsi="Arial Narrow" w:cs="Arial"/>
          <w:sz w:val="24"/>
          <w:szCs w:val="24"/>
          <w:lang w:val="es-ES"/>
        </w:rPr>
        <w:t xml:space="preserve"> </w:t>
      </w:r>
      <w:r w:rsidRPr="00324F59">
        <w:rPr>
          <w:rFonts w:ascii="Arial Narrow" w:hAnsi="Arial Narrow" w:cs="Arial"/>
          <w:sz w:val="24"/>
          <w:szCs w:val="24"/>
          <w:lang w:val="es-ES"/>
        </w:rPr>
        <w:t xml:space="preserve">Documento que debe contener el sistema o conjunto de valores conductuales, </w:t>
      </w:r>
      <w:r w:rsidRPr="00324F59">
        <w:rPr>
          <w:rFonts w:ascii="Arial Narrow" w:hAnsi="Arial Narrow" w:cs="Arial"/>
          <w:sz w:val="24"/>
          <w:szCs w:val="24"/>
          <w:lang w:val="es-ES"/>
        </w:rPr>
        <w:lastRenderedPageBreak/>
        <w:t xml:space="preserve">políticas y mecanismos para </w:t>
      </w:r>
      <w:r>
        <w:rPr>
          <w:rFonts w:ascii="Arial Narrow" w:hAnsi="Arial Narrow" w:cs="Arial"/>
          <w:sz w:val="24"/>
          <w:szCs w:val="24"/>
          <w:lang w:val="es-ES"/>
        </w:rPr>
        <w:t xml:space="preserve">el </w:t>
      </w:r>
      <w:r w:rsidRPr="00324F59">
        <w:rPr>
          <w:rFonts w:ascii="Arial Narrow" w:hAnsi="Arial Narrow" w:cs="Arial"/>
          <w:sz w:val="24"/>
          <w:szCs w:val="24"/>
          <w:lang w:val="es-ES"/>
        </w:rPr>
        <w:t>cumplimiento que una entidad establece mediante la adopción de pautas éticas y morales aplicables a la administración de la Junta Directiva, Alta Gerencia y en general a todos los miembros de la organización</w:t>
      </w:r>
      <w:r>
        <w:rPr>
          <w:rFonts w:ascii="Arial Narrow" w:hAnsi="Arial Narrow" w:cs="Arial"/>
          <w:sz w:val="24"/>
          <w:szCs w:val="24"/>
          <w:lang w:val="es-ES"/>
        </w:rPr>
        <w:t>;</w:t>
      </w:r>
    </w:p>
    <w:p w14:paraId="659CEF82" w14:textId="422A6D68" w:rsidR="0092768C" w:rsidRPr="0020225B"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B4475C">
        <w:rPr>
          <w:rFonts w:ascii="Arial Narrow" w:hAnsi="Arial Narrow" w:cs="Arial"/>
          <w:b/>
          <w:color w:val="000000"/>
          <w:sz w:val="24"/>
          <w:szCs w:val="24"/>
          <w:lang w:val="es-SV"/>
        </w:rPr>
        <w:t>Grupo</w:t>
      </w:r>
      <w:r w:rsidRPr="0020225B">
        <w:rPr>
          <w:rFonts w:ascii="Arial Narrow" w:hAnsi="Arial Narrow" w:cs="Arial"/>
          <w:b/>
          <w:sz w:val="24"/>
          <w:szCs w:val="24"/>
          <w:lang w:val="es-ES"/>
        </w:rPr>
        <w:t xml:space="preserve"> de Interés</w:t>
      </w:r>
      <w:r w:rsidRPr="008F1CFB">
        <w:rPr>
          <w:rFonts w:ascii="Arial Narrow" w:hAnsi="Arial Narrow" w:cs="Arial"/>
          <w:b/>
          <w:sz w:val="24"/>
          <w:szCs w:val="24"/>
          <w:lang w:val="es-ES"/>
        </w:rPr>
        <w:t>:</w:t>
      </w:r>
      <w:r w:rsidRPr="0020225B">
        <w:rPr>
          <w:rFonts w:ascii="Arial Narrow" w:hAnsi="Arial Narrow" w:cs="Arial"/>
          <w:sz w:val="24"/>
          <w:szCs w:val="24"/>
          <w:lang w:val="es-ES"/>
        </w:rPr>
        <w:t xml:space="preserve"> Son personas o grupos de personas que persiguen objetivos diferentes a los fines de los propietarios y </w:t>
      </w:r>
      <w:r w:rsidR="005C38DB">
        <w:rPr>
          <w:rFonts w:ascii="Arial Narrow" w:hAnsi="Arial Narrow" w:cs="Arial"/>
          <w:sz w:val="24"/>
          <w:szCs w:val="24"/>
          <w:lang w:val="es-ES"/>
        </w:rPr>
        <w:t>administradores</w:t>
      </w:r>
      <w:r>
        <w:rPr>
          <w:rFonts w:ascii="Arial Narrow" w:hAnsi="Arial Narrow" w:cs="Arial"/>
          <w:sz w:val="24"/>
          <w:szCs w:val="24"/>
          <w:lang w:val="es-ES"/>
        </w:rPr>
        <w:t>,</w:t>
      </w:r>
      <w:r w:rsidRPr="006B3CB4">
        <w:rPr>
          <w:rFonts w:ascii="Arial Narrow" w:hAnsi="Arial Narrow" w:cs="Arial"/>
          <w:sz w:val="24"/>
          <w:szCs w:val="24"/>
          <w:lang w:val="es-ES"/>
        </w:rPr>
        <w:t xml:space="preserve"> pero son afectados o pueden ser afectados por las decisiones y actividades de la entidad. Se </w:t>
      </w:r>
      <w:r w:rsidRPr="0020225B">
        <w:rPr>
          <w:rFonts w:ascii="Arial Narrow" w:hAnsi="Arial Narrow" w:cs="Arial"/>
          <w:sz w:val="24"/>
          <w:szCs w:val="24"/>
          <w:lang w:val="es-ES"/>
        </w:rPr>
        <w:t xml:space="preserve">consideran grupos de interés los empleados de la entidad, los tenedores de valores negociables, los órganos de regulación, control y vigilancia, los competidores, proveedores, acreedores y otros grupos que tienen relaciones diversas con la entidad; </w:t>
      </w:r>
    </w:p>
    <w:p w14:paraId="509D406B" w14:textId="77777777" w:rsidR="0092768C" w:rsidRPr="0020225B"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B4475C">
        <w:rPr>
          <w:rFonts w:ascii="Arial Narrow" w:hAnsi="Arial Narrow" w:cs="Arial"/>
          <w:b/>
          <w:color w:val="000000"/>
          <w:sz w:val="24"/>
          <w:szCs w:val="24"/>
          <w:lang w:val="es-SV"/>
        </w:rPr>
        <w:t>Conglomerado</w:t>
      </w:r>
      <w:r w:rsidRPr="0020225B">
        <w:rPr>
          <w:rFonts w:ascii="Arial Narrow" w:hAnsi="Arial Narrow" w:cs="Arial"/>
          <w:b/>
          <w:sz w:val="24"/>
          <w:szCs w:val="24"/>
          <w:lang w:val="es-ES"/>
        </w:rPr>
        <w:t xml:space="preserve"> Financiero</w:t>
      </w:r>
      <w:r w:rsidRPr="008F1CFB">
        <w:rPr>
          <w:rFonts w:ascii="Arial Narrow" w:hAnsi="Arial Narrow" w:cs="Arial"/>
          <w:b/>
          <w:sz w:val="24"/>
          <w:szCs w:val="24"/>
          <w:lang w:val="es-ES"/>
        </w:rPr>
        <w:t>:</w:t>
      </w:r>
      <w:r w:rsidRPr="0020225B">
        <w:rPr>
          <w:rFonts w:ascii="Arial Narrow" w:hAnsi="Arial Narrow" w:cs="Arial"/>
          <w:sz w:val="24"/>
          <w:szCs w:val="24"/>
          <w:lang w:val="es-ES"/>
        </w:rPr>
        <w:t xml:space="preserve"> De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  </w:t>
      </w:r>
    </w:p>
    <w:p w14:paraId="3BBD1BD1" w14:textId="77777777" w:rsidR="0092768C" w:rsidRPr="0020225B"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B4475C">
        <w:rPr>
          <w:rFonts w:ascii="Arial Narrow" w:hAnsi="Arial Narrow" w:cs="Arial"/>
          <w:b/>
          <w:color w:val="000000"/>
          <w:sz w:val="24"/>
          <w:szCs w:val="24"/>
          <w:lang w:val="es-SV"/>
        </w:rPr>
        <w:t>Grupo</w:t>
      </w:r>
      <w:r w:rsidRPr="0020225B">
        <w:rPr>
          <w:rFonts w:ascii="Arial Narrow" w:hAnsi="Arial Narrow" w:cs="Arial"/>
          <w:b/>
          <w:sz w:val="24"/>
          <w:szCs w:val="24"/>
          <w:lang w:val="es-ES"/>
        </w:rPr>
        <w:t xml:space="preserve"> Empresarial</w:t>
      </w:r>
      <w:r w:rsidRPr="008F1CFB">
        <w:rPr>
          <w:rFonts w:ascii="Arial Narrow" w:hAnsi="Arial Narrow" w:cs="Arial"/>
          <w:b/>
          <w:sz w:val="24"/>
          <w:szCs w:val="24"/>
          <w:lang w:val="es-ES"/>
        </w:rPr>
        <w:t>:</w:t>
      </w:r>
      <w:r w:rsidRPr="0020225B">
        <w:rPr>
          <w:rFonts w:ascii="Arial Narrow" w:hAnsi="Arial Narrow" w:cs="Arial"/>
          <w:sz w:val="24"/>
          <w:szCs w:val="24"/>
          <w:lang w:val="es-ES"/>
        </w:rPr>
        <w:t xml:space="preserve"> De conformidad con el artículo 5 de la Ley del Mercado de Valores, es aqu</w:t>
      </w:r>
      <w:r>
        <w:rPr>
          <w:rFonts w:ascii="Arial Narrow" w:hAnsi="Arial Narrow" w:cs="Arial"/>
          <w:sz w:val="24"/>
          <w:szCs w:val="24"/>
          <w:lang w:val="es-ES"/>
        </w:rPr>
        <w:t>e</w:t>
      </w:r>
      <w:r w:rsidRPr="0020225B">
        <w:rPr>
          <w:rFonts w:ascii="Arial Narrow" w:hAnsi="Arial Narrow" w:cs="Arial"/>
          <w:sz w:val="24"/>
          <w:szCs w:val="24"/>
          <w:lang w:val="es-ES"/>
        </w:rPr>
        <w:t xml:space="preserv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 </w:t>
      </w:r>
      <w:r>
        <w:rPr>
          <w:rFonts w:ascii="Arial Narrow" w:hAnsi="Arial Narrow" w:cs="Arial"/>
          <w:sz w:val="24"/>
          <w:szCs w:val="24"/>
          <w:lang w:val="es-ES"/>
        </w:rPr>
        <w:t>e</w:t>
      </w:r>
    </w:p>
    <w:p w14:paraId="60E0FDAF" w14:textId="77777777" w:rsidR="0092768C" w:rsidRPr="0020225B" w:rsidRDefault="0092768C" w:rsidP="0092768C">
      <w:pPr>
        <w:numPr>
          <w:ilvl w:val="0"/>
          <w:numId w:val="4"/>
        </w:numPr>
        <w:spacing w:line="240" w:lineRule="auto"/>
        <w:ind w:left="425" w:hanging="425"/>
        <w:contextualSpacing/>
        <w:jc w:val="both"/>
        <w:rPr>
          <w:rFonts w:ascii="Arial Narrow" w:hAnsi="Arial Narrow" w:cs="Arial"/>
          <w:sz w:val="24"/>
          <w:szCs w:val="24"/>
          <w:lang w:val="es-ES"/>
        </w:rPr>
      </w:pPr>
      <w:r w:rsidRPr="00B4475C">
        <w:rPr>
          <w:rFonts w:ascii="Arial Narrow" w:hAnsi="Arial Narrow" w:cs="Arial"/>
          <w:b/>
          <w:color w:val="000000"/>
          <w:sz w:val="24"/>
          <w:szCs w:val="24"/>
          <w:lang w:val="es-SV"/>
        </w:rPr>
        <w:t>Superintendencia</w:t>
      </w:r>
      <w:r w:rsidRPr="008F1CFB">
        <w:rPr>
          <w:rFonts w:ascii="Arial Narrow" w:hAnsi="Arial Narrow" w:cs="Arial"/>
          <w:b/>
          <w:sz w:val="24"/>
          <w:szCs w:val="24"/>
          <w:lang w:val="es-ES"/>
        </w:rPr>
        <w:t>:</w:t>
      </w:r>
      <w:r w:rsidRPr="0020225B">
        <w:rPr>
          <w:rFonts w:ascii="Arial Narrow" w:hAnsi="Arial Narrow" w:cs="Arial"/>
          <w:sz w:val="24"/>
          <w:szCs w:val="24"/>
          <w:lang w:val="es-ES"/>
        </w:rPr>
        <w:t xml:space="preserve"> Superintendencia del Sistema Financiero. </w:t>
      </w:r>
    </w:p>
    <w:p w14:paraId="32711DD5"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p>
    <w:p w14:paraId="38924680" w14:textId="77777777" w:rsidR="0092768C"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CAPÍTULO II</w:t>
      </w:r>
    </w:p>
    <w:p w14:paraId="5EA77956" w14:textId="77777777" w:rsidR="0092768C" w:rsidRPr="006B3CB4" w:rsidRDefault="0092768C" w:rsidP="0092768C">
      <w:pPr>
        <w:tabs>
          <w:tab w:val="left" w:pos="567"/>
        </w:tabs>
        <w:spacing w:after="0" w:line="240" w:lineRule="auto"/>
        <w:jc w:val="center"/>
        <w:rPr>
          <w:rFonts w:ascii="Arial Narrow" w:hAnsi="Arial Narrow" w:cs="Arial"/>
          <w:b/>
          <w:sz w:val="24"/>
          <w:szCs w:val="24"/>
          <w:lang w:val="es-ES"/>
        </w:rPr>
      </w:pPr>
      <w:r w:rsidRPr="006B3CB4">
        <w:rPr>
          <w:rFonts w:ascii="Arial Narrow" w:hAnsi="Arial Narrow" w:cs="Arial"/>
          <w:b/>
          <w:sz w:val="24"/>
          <w:szCs w:val="24"/>
          <w:lang w:val="es-ES"/>
        </w:rPr>
        <w:t>C</w:t>
      </w:r>
      <w:r>
        <w:rPr>
          <w:rFonts w:ascii="Arial Narrow" w:hAnsi="Arial Narrow" w:cs="Arial"/>
          <w:b/>
          <w:sz w:val="24"/>
          <w:szCs w:val="24"/>
          <w:lang w:val="es-ES"/>
        </w:rPr>
        <w:t>Ó</w:t>
      </w:r>
      <w:r w:rsidRPr="006B3CB4">
        <w:rPr>
          <w:rFonts w:ascii="Arial Narrow" w:hAnsi="Arial Narrow" w:cs="Arial"/>
          <w:b/>
          <w:sz w:val="24"/>
          <w:szCs w:val="24"/>
          <w:lang w:val="es-ES"/>
        </w:rPr>
        <w:t xml:space="preserve">DIGO DE </w:t>
      </w:r>
      <w:r>
        <w:rPr>
          <w:rFonts w:ascii="Arial Narrow" w:hAnsi="Arial Narrow" w:cs="Arial"/>
          <w:b/>
          <w:sz w:val="24"/>
          <w:szCs w:val="24"/>
          <w:lang w:val="es-ES"/>
        </w:rPr>
        <w:t>É</w:t>
      </w:r>
      <w:r w:rsidRPr="006B3CB4">
        <w:rPr>
          <w:rFonts w:ascii="Arial Narrow" w:hAnsi="Arial Narrow" w:cs="Arial"/>
          <w:b/>
          <w:sz w:val="24"/>
          <w:szCs w:val="24"/>
          <w:lang w:val="es-ES"/>
        </w:rPr>
        <w:t>TICA O DE CONDUCTA</w:t>
      </w:r>
    </w:p>
    <w:p w14:paraId="59E6B41A"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02983DD0"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Pr>
          <w:rFonts w:ascii="Arial Narrow" w:hAnsi="Arial Narrow" w:cs="Arial"/>
          <w:b/>
          <w:sz w:val="24"/>
          <w:szCs w:val="24"/>
          <w:lang w:val="es-ES"/>
        </w:rPr>
        <w:t>Código de Ética o de Conducta</w:t>
      </w:r>
    </w:p>
    <w:p w14:paraId="25880B69" w14:textId="77777777" w:rsidR="0092768C" w:rsidRPr="003F60FF" w:rsidRDefault="0092768C" w:rsidP="0092768C">
      <w:pPr>
        <w:tabs>
          <w:tab w:val="left" w:pos="567"/>
        </w:tabs>
        <w:spacing w:line="240" w:lineRule="auto"/>
        <w:jc w:val="both"/>
        <w:rPr>
          <w:rFonts w:ascii="Arial Narrow" w:hAnsi="Arial Narrow" w:cs="Arial"/>
          <w:sz w:val="24"/>
          <w:szCs w:val="24"/>
          <w:lang w:val="es-ES"/>
        </w:rPr>
      </w:pPr>
      <w:r>
        <w:rPr>
          <w:rFonts w:ascii="Arial Narrow" w:hAnsi="Arial Narrow" w:cs="Arial"/>
          <w:b/>
          <w:sz w:val="24"/>
          <w:szCs w:val="24"/>
          <w:lang w:val="es-ES"/>
        </w:rPr>
        <w:t xml:space="preserve">Art. 4.- </w:t>
      </w:r>
      <w:r w:rsidRPr="006B3CB4">
        <w:rPr>
          <w:rFonts w:ascii="Arial Narrow" w:hAnsi="Arial Narrow" w:cs="Arial"/>
          <w:sz w:val="24"/>
          <w:szCs w:val="24"/>
          <w:lang w:val="es-ES"/>
        </w:rPr>
        <w:t xml:space="preserve">Las entidades deberán elaborar y mantener actualizado un Código </w:t>
      </w:r>
      <w:r>
        <w:rPr>
          <w:rFonts w:ascii="Arial Narrow" w:hAnsi="Arial Narrow" w:cs="Arial"/>
          <w:sz w:val="24"/>
          <w:szCs w:val="24"/>
          <w:lang w:val="es-ES"/>
        </w:rPr>
        <w:t xml:space="preserve">de Ética o </w:t>
      </w:r>
      <w:r w:rsidRPr="006B3CB4">
        <w:rPr>
          <w:rFonts w:ascii="Arial Narrow" w:hAnsi="Arial Narrow" w:cs="Arial"/>
          <w:sz w:val="24"/>
          <w:szCs w:val="24"/>
          <w:lang w:val="es-ES"/>
        </w:rPr>
        <w:t xml:space="preserve">de Conducta aprobado por la Junta Directiva, el cual deberá contener como mínimo las políticas sobre estándares éticos de conducta, gestión y control de conflictos de interés, operaciones con partes relacionadas, confidencialidad, reserva y uso de información privilegiada, divulgación de información, así como la prevención de conductas que puedan implicar la manipulación o abuso del mercado de conformidad a lo establecido en las presentes Normas. </w:t>
      </w:r>
    </w:p>
    <w:p w14:paraId="6F2A937C" w14:textId="77777777" w:rsidR="0092768C" w:rsidRPr="00F061DB" w:rsidRDefault="0092768C" w:rsidP="0092768C">
      <w:pPr>
        <w:tabs>
          <w:tab w:val="left" w:pos="567"/>
        </w:tabs>
        <w:spacing w:after="0" w:line="240" w:lineRule="auto"/>
        <w:jc w:val="both"/>
        <w:rPr>
          <w:rFonts w:ascii="Arial Narrow" w:hAnsi="Arial Narrow" w:cs="Arial"/>
          <w:sz w:val="24"/>
          <w:szCs w:val="24"/>
          <w:lang w:val="es-ES"/>
        </w:rPr>
      </w:pPr>
      <w:r>
        <w:rPr>
          <w:rFonts w:ascii="Arial Narrow" w:hAnsi="Arial Narrow" w:cs="Arial"/>
          <w:sz w:val="24"/>
          <w:szCs w:val="24"/>
          <w:lang w:val="es-ES"/>
        </w:rPr>
        <w:t>Las entidades que formen parte del conglomerado financiero o grupo empresarial podrán compartir los Códigos de Ética o de Conducta siempre y cuando cumplan con los requerimientos establecidos en las presentes Normas.</w:t>
      </w:r>
    </w:p>
    <w:p w14:paraId="4F68F2CF"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0837C54C" w14:textId="77777777" w:rsidR="0092768C" w:rsidRPr="006B3CB4" w:rsidRDefault="0092768C" w:rsidP="0092768C">
      <w:pPr>
        <w:tabs>
          <w:tab w:val="left" w:pos="567"/>
        </w:tabs>
        <w:spacing w:after="0" w:line="240" w:lineRule="auto"/>
        <w:jc w:val="both"/>
        <w:rPr>
          <w:rFonts w:ascii="Arial Narrow" w:hAnsi="Arial Narrow" w:cs="Arial"/>
          <w:b/>
          <w:sz w:val="24"/>
          <w:szCs w:val="24"/>
          <w:lang w:val="es-ES"/>
        </w:rPr>
      </w:pPr>
      <w:r w:rsidRPr="006B3CB4">
        <w:rPr>
          <w:rFonts w:ascii="Arial Narrow" w:hAnsi="Arial Narrow" w:cs="Arial"/>
          <w:b/>
          <w:sz w:val="24"/>
          <w:szCs w:val="24"/>
          <w:lang w:val="es-ES"/>
        </w:rPr>
        <w:t>Estándares éticos de conducta</w:t>
      </w:r>
    </w:p>
    <w:p w14:paraId="5E989CC5" w14:textId="77777777" w:rsidR="0092768C" w:rsidRDefault="0092768C" w:rsidP="0092768C">
      <w:pPr>
        <w:tabs>
          <w:tab w:val="left" w:pos="567"/>
        </w:tabs>
        <w:spacing w:after="120" w:line="240" w:lineRule="auto"/>
        <w:jc w:val="both"/>
        <w:rPr>
          <w:rFonts w:ascii="Arial Narrow" w:hAnsi="Arial Narrow" w:cs="Arial"/>
          <w:b/>
          <w:sz w:val="24"/>
          <w:szCs w:val="24"/>
          <w:lang w:val="es-ES"/>
        </w:rPr>
      </w:pPr>
      <w:r w:rsidRPr="006B3CB4">
        <w:rPr>
          <w:rFonts w:ascii="Arial Narrow" w:hAnsi="Arial Narrow" w:cs="Arial"/>
          <w:b/>
          <w:sz w:val="24"/>
          <w:szCs w:val="24"/>
          <w:lang w:val="es-ES"/>
        </w:rPr>
        <w:t xml:space="preserve">Art. 5.- </w:t>
      </w:r>
      <w:r w:rsidRPr="00B73860">
        <w:rPr>
          <w:rFonts w:ascii="Arial Narrow" w:hAnsi="Arial Narrow"/>
          <w:color w:val="000000"/>
          <w:sz w:val="24"/>
          <w:szCs w:val="24"/>
          <w:lang w:val="es-ES"/>
        </w:rPr>
        <w:t>Las entidades</w:t>
      </w:r>
      <w:r>
        <w:rPr>
          <w:rFonts w:ascii="Arial Narrow" w:hAnsi="Arial Narrow"/>
          <w:color w:val="000000"/>
          <w:sz w:val="24"/>
          <w:szCs w:val="24"/>
          <w:lang w:val="es-ES"/>
        </w:rPr>
        <w:t>,</w:t>
      </w:r>
      <w:r w:rsidRPr="00B73860">
        <w:rPr>
          <w:rFonts w:ascii="Arial Narrow" w:hAnsi="Arial Narrow"/>
          <w:color w:val="000000"/>
          <w:sz w:val="24"/>
          <w:szCs w:val="24"/>
          <w:lang w:val="es-ES"/>
        </w:rPr>
        <w:t xml:space="preserve"> en el desarrollo de sus actividades</w:t>
      </w:r>
      <w:r>
        <w:rPr>
          <w:rFonts w:ascii="Arial Narrow" w:hAnsi="Arial Narrow"/>
          <w:color w:val="000000"/>
          <w:sz w:val="24"/>
          <w:szCs w:val="24"/>
          <w:lang w:val="es-ES"/>
        </w:rPr>
        <w:t>,</w:t>
      </w:r>
      <w:r w:rsidRPr="00B73860">
        <w:rPr>
          <w:rFonts w:ascii="Arial Narrow" w:hAnsi="Arial Narrow"/>
          <w:color w:val="000000"/>
          <w:sz w:val="24"/>
          <w:szCs w:val="24"/>
          <w:lang w:val="es-ES"/>
        </w:rPr>
        <w:t xml:space="preserve"> deberán observar </w:t>
      </w:r>
      <w:r>
        <w:rPr>
          <w:rFonts w:ascii="Arial Narrow" w:hAnsi="Arial Narrow"/>
          <w:color w:val="000000"/>
          <w:sz w:val="24"/>
          <w:szCs w:val="24"/>
          <w:lang w:val="es-ES"/>
        </w:rPr>
        <w:t>como mínimo lo siguiente</w:t>
      </w:r>
      <w:r w:rsidRPr="008E15A2">
        <w:rPr>
          <w:rFonts w:ascii="Arial Narrow" w:hAnsi="Arial Narrow" w:cs="Arial"/>
          <w:sz w:val="24"/>
          <w:szCs w:val="24"/>
          <w:lang w:val="es-ES"/>
        </w:rPr>
        <w:t>:</w:t>
      </w:r>
      <w:r w:rsidRPr="008E15A2">
        <w:rPr>
          <w:rFonts w:ascii="Arial Narrow" w:hAnsi="Arial Narrow" w:cs="Arial"/>
          <w:b/>
          <w:sz w:val="24"/>
          <w:szCs w:val="24"/>
          <w:lang w:val="es-ES"/>
        </w:rPr>
        <w:t xml:space="preserve"> </w:t>
      </w:r>
      <w:r w:rsidRPr="0058382E">
        <w:rPr>
          <w:rFonts w:ascii="Arial Narrow" w:hAnsi="Arial Narrow" w:cs="Arial"/>
          <w:b/>
          <w:color w:val="FF0000"/>
          <w:sz w:val="24"/>
          <w:szCs w:val="24"/>
          <w:lang w:val="es-ES"/>
        </w:rPr>
        <w:t xml:space="preserve"> </w:t>
      </w:r>
    </w:p>
    <w:p w14:paraId="1FC31932" w14:textId="3912C894" w:rsidR="0092768C" w:rsidRPr="00F13A1C"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sz w:val="24"/>
          <w:lang w:val="es-ES"/>
        </w:rPr>
      </w:pPr>
      <w:r w:rsidRPr="00F13A1C">
        <w:rPr>
          <w:rFonts w:ascii="Arial Narrow" w:hAnsi="Arial Narrow"/>
          <w:sz w:val="24"/>
          <w:lang w:val="es-ES"/>
        </w:rPr>
        <w:t>Anteponer los intereses de los clientes, inversionistas o partícipes, así como el rendimiento de los activos administrados, sobre el interés de la entidad, grupo de interés o de algún tercero, cuando exista</w:t>
      </w:r>
      <w:r w:rsidR="005C38DB">
        <w:rPr>
          <w:rFonts w:ascii="Arial Narrow" w:hAnsi="Arial Narrow"/>
          <w:sz w:val="24"/>
          <w:lang w:val="es-ES"/>
        </w:rPr>
        <w:t>n</w:t>
      </w:r>
      <w:r w:rsidRPr="00F13A1C">
        <w:rPr>
          <w:rFonts w:ascii="Arial Narrow" w:hAnsi="Arial Narrow"/>
          <w:sz w:val="24"/>
          <w:lang w:val="es-ES"/>
        </w:rPr>
        <w:t xml:space="preserve"> intereses contrapuestos entre el cliente y la entidad o un tercero. En caso que la Ley especial prevea el tratamiento de conflicto de interés, la entidad </w:t>
      </w:r>
      <w:r w:rsidRPr="00F13A1C">
        <w:rPr>
          <w:rFonts w:ascii="Arial Narrow" w:hAnsi="Arial Narrow"/>
          <w:sz w:val="24"/>
          <w:lang w:val="es-ES"/>
        </w:rPr>
        <w:lastRenderedPageBreak/>
        <w:t>deberá actuar de conformidad al marco legal establecido;</w:t>
      </w:r>
    </w:p>
    <w:p w14:paraId="1AAA4EA9" w14:textId="77777777" w:rsidR="0092768C" w:rsidRPr="00B73860"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cs="Arial"/>
          <w:sz w:val="24"/>
          <w:szCs w:val="24"/>
          <w:lang w:val="es-ES"/>
        </w:rPr>
      </w:pPr>
      <w:r w:rsidRPr="00B73860">
        <w:rPr>
          <w:rFonts w:ascii="Arial Narrow" w:hAnsi="Arial Narrow" w:cs="Arial"/>
          <w:sz w:val="24"/>
          <w:szCs w:val="24"/>
          <w:lang w:val="es-ES"/>
        </w:rPr>
        <w:t xml:space="preserve">Tratamiento igualitario a los clientes, brindando las mismas condiciones y oportunidades, evitando cualquier acto, conducta, práctica u omisión que pueda resultar perjudicial para estos; </w:t>
      </w:r>
    </w:p>
    <w:p w14:paraId="1298656A" w14:textId="2A3868B5" w:rsidR="0092768C" w:rsidRPr="00F13A1C"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cs="Arial"/>
          <w:sz w:val="24"/>
          <w:szCs w:val="24"/>
          <w:lang w:val="es-ES"/>
        </w:rPr>
      </w:pPr>
      <w:r w:rsidRPr="00B73860">
        <w:rPr>
          <w:rFonts w:ascii="Arial Narrow" w:hAnsi="Arial Narrow" w:cs="Arial"/>
          <w:sz w:val="24"/>
          <w:szCs w:val="24"/>
          <w:lang w:val="es-ES"/>
        </w:rPr>
        <w:t xml:space="preserve">Transparencia y oportunidad en la difusión de información sobre la aplicación de comisiones, gastos, recargos y cualquier otro cargo asociado a los servicios que brinde la entidad. Esta información deberá ser accesible al público y en formato que </w:t>
      </w:r>
      <w:r w:rsidRPr="00F13A1C">
        <w:rPr>
          <w:rFonts w:ascii="Arial Narrow" w:hAnsi="Arial Narrow" w:cs="Arial"/>
          <w:sz w:val="24"/>
          <w:szCs w:val="24"/>
          <w:lang w:val="es-ES"/>
        </w:rPr>
        <w:t>permita su fácil comprensión</w:t>
      </w:r>
      <w:r w:rsidR="000F04C1">
        <w:rPr>
          <w:rFonts w:ascii="Arial Narrow" w:hAnsi="Arial Narrow" w:cs="Arial"/>
          <w:sz w:val="24"/>
          <w:szCs w:val="24"/>
          <w:lang w:val="es-ES"/>
        </w:rPr>
        <w:t>;</w:t>
      </w:r>
      <w:r w:rsidRPr="00B73860">
        <w:rPr>
          <w:rFonts w:ascii="Arial Narrow" w:hAnsi="Arial Narrow" w:cs="Arial"/>
          <w:sz w:val="24"/>
          <w:szCs w:val="24"/>
          <w:lang w:val="es-ES"/>
        </w:rPr>
        <w:t xml:space="preserve"> </w:t>
      </w:r>
    </w:p>
    <w:p w14:paraId="7B7759F0" w14:textId="77777777" w:rsidR="0092768C" w:rsidRPr="00B73860"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cs="Arial"/>
          <w:sz w:val="24"/>
          <w:szCs w:val="24"/>
          <w:lang w:val="es-ES"/>
        </w:rPr>
      </w:pPr>
      <w:r w:rsidRPr="00B73860">
        <w:rPr>
          <w:rFonts w:ascii="Arial Narrow" w:hAnsi="Arial Narrow" w:cs="Arial"/>
          <w:sz w:val="24"/>
          <w:szCs w:val="24"/>
          <w:lang w:val="es-ES"/>
        </w:rPr>
        <w:t xml:space="preserve">Abstenerse de actuar bajo la </w:t>
      </w:r>
      <w:r w:rsidRPr="00F13A1C">
        <w:rPr>
          <w:rFonts w:ascii="Arial Narrow" w:hAnsi="Arial Narrow" w:cs="Arial"/>
          <w:sz w:val="24"/>
          <w:szCs w:val="24"/>
          <w:lang w:val="es-ES"/>
        </w:rPr>
        <w:t>in</w:t>
      </w:r>
      <w:r>
        <w:rPr>
          <w:rFonts w:ascii="Arial Narrow" w:hAnsi="Arial Narrow" w:cs="Arial"/>
          <w:sz w:val="24"/>
          <w:szCs w:val="24"/>
          <w:lang w:val="es-ES"/>
        </w:rPr>
        <w:t>jerencia</w:t>
      </w:r>
      <w:r w:rsidRPr="00B73860">
        <w:rPr>
          <w:rFonts w:ascii="Arial Narrow" w:hAnsi="Arial Narrow" w:cs="Arial"/>
          <w:sz w:val="24"/>
          <w:szCs w:val="24"/>
          <w:lang w:val="es-ES"/>
        </w:rPr>
        <w:t xml:space="preserve"> de alguna situación generadora de conflicto de interés o de otras circunstancias que pudieran alterar la integridad del servicio; </w:t>
      </w:r>
    </w:p>
    <w:p w14:paraId="2CC24280" w14:textId="77777777" w:rsidR="0092768C" w:rsidRPr="008F1CFB"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cs="Arial"/>
          <w:sz w:val="24"/>
          <w:szCs w:val="24"/>
          <w:lang w:val="es-ES"/>
        </w:rPr>
      </w:pPr>
      <w:r w:rsidRPr="008F1CFB">
        <w:rPr>
          <w:rFonts w:ascii="Arial Narrow" w:hAnsi="Arial Narrow" w:cs="Arial"/>
          <w:sz w:val="24"/>
          <w:szCs w:val="24"/>
          <w:lang w:val="es-ES"/>
        </w:rPr>
        <w:t>Desempeñar sus actividades con honestidad</w:t>
      </w:r>
      <w:r>
        <w:rPr>
          <w:rFonts w:ascii="Arial Narrow" w:hAnsi="Arial Narrow" w:cs="Arial"/>
          <w:sz w:val="24"/>
          <w:szCs w:val="24"/>
          <w:lang w:val="es-ES"/>
        </w:rPr>
        <w:t xml:space="preserve"> y diligencia</w:t>
      </w:r>
      <w:r w:rsidRPr="008F1CFB">
        <w:rPr>
          <w:rFonts w:ascii="Arial Narrow" w:hAnsi="Arial Narrow" w:cs="Arial"/>
          <w:sz w:val="24"/>
          <w:szCs w:val="24"/>
          <w:lang w:val="es-ES"/>
        </w:rPr>
        <w:t>,</w:t>
      </w:r>
      <w:r>
        <w:rPr>
          <w:rFonts w:ascii="Arial Narrow" w:hAnsi="Arial Narrow" w:cs="Arial"/>
          <w:sz w:val="24"/>
          <w:szCs w:val="24"/>
          <w:lang w:val="es-ES"/>
        </w:rPr>
        <w:t xml:space="preserve"> </w:t>
      </w:r>
      <w:r w:rsidRPr="008F1CFB">
        <w:rPr>
          <w:rFonts w:ascii="Arial Narrow" w:hAnsi="Arial Narrow" w:cs="Arial"/>
          <w:sz w:val="24"/>
          <w:szCs w:val="24"/>
          <w:lang w:val="es-ES"/>
        </w:rPr>
        <w:t>evitando actos que puedan deteriorar la integridad de los mercados; y</w:t>
      </w:r>
    </w:p>
    <w:p w14:paraId="337DFB26" w14:textId="77777777" w:rsidR="0092768C" w:rsidRPr="00F13A1C" w:rsidRDefault="0092768C" w:rsidP="0092768C">
      <w:pPr>
        <w:pStyle w:val="Prrafodelista"/>
        <w:widowControl w:val="0"/>
        <w:numPr>
          <w:ilvl w:val="0"/>
          <w:numId w:val="5"/>
        </w:numPr>
        <w:tabs>
          <w:tab w:val="left" w:pos="2212"/>
        </w:tabs>
        <w:spacing w:line="240" w:lineRule="auto"/>
        <w:ind w:left="425" w:hanging="425"/>
        <w:jc w:val="both"/>
        <w:rPr>
          <w:rFonts w:ascii="Arial Narrow" w:hAnsi="Arial Narrow" w:cs="Arial"/>
          <w:sz w:val="24"/>
          <w:szCs w:val="24"/>
          <w:lang w:val="es-ES"/>
        </w:rPr>
      </w:pPr>
      <w:r w:rsidRPr="00F13A1C">
        <w:rPr>
          <w:rFonts w:ascii="Arial Narrow" w:hAnsi="Arial Narrow" w:cs="Arial"/>
          <w:sz w:val="24"/>
          <w:szCs w:val="24"/>
          <w:lang w:val="es-ES"/>
        </w:rPr>
        <w:t xml:space="preserve">Abstenerse de utilizar la información confidencial o privilegiada, en beneficio propio o de terceros en perjuicio de los clientes o del mercado. </w:t>
      </w:r>
    </w:p>
    <w:p w14:paraId="0318A1B2" w14:textId="77777777" w:rsidR="0092768C" w:rsidRPr="00B73860" w:rsidRDefault="0092768C" w:rsidP="0092768C">
      <w:pPr>
        <w:tabs>
          <w:tab w:val="left" w:pos="567"/>
        </w:tabs>
        <w:spacing w:after="0" w:line="240" w:lineRule="auto"/>
        <w:contextualSpacing/>
        <w:rPr>
          <w:rFonts w:ascii="Arial Narrow" w:hAnsi="Arial Narrow" w:cs="Arial"/>
          <w:b/>
          <w:sz w:val="24"/>
          <w:szCs w:val="24"/>
          <w:lang w:val="es-ES"/>
        </w:rPr>
      </w:pPr>
    </w:p>
    <w:p w14:paraId="62FFE8AD"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CAPÍTULO III</w:t>
      </w:r>
    </w:p>
    <w:p w14:paraId="0E8E2BD7"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POL</w:t>
      </w:r>
      <w:r>
        <w:rPr>
          <w:rFonts w:ascii="Arial Narrow" w:hAnsi="Arial Narrow" w:cs="Arial"/>
          <w:b/>
          <w:sz w:val="24"/>
          <w:szCs w:val="24"/>
          <w:lang w:val="es-ES"/>
        </w:rPr>
        <w:t>Í</w:t>
      </w:r>
      <w:r w:rsidRPr="0020225B">
        <w:rPr>
          <w:rFonts w:ascii="Arial Narrow" w:hAnsi="Arial Narrow" w:cs="Arial"/>
          <w:b/>
          <w:sz w:val="24"/>
          <w:szCs w:val="24"/>
          <w:lang w:val="es-ES"/>
        </w:rPr>
        <w:t>TICA DE MANEJO DE CONFLICTOS DE INTERÉS</w:t>
      </w:r>
    </w:p>
    <w:p w14:paraId="7F348C4D"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p>
    <w:p w14:paraId="1DF764D4" w14:textId="77777777" w:rsidR="0092768C" w:rsidRPr="00B73860" w:rsidRDefault="0092768C" w:rsidP="0092768C">
      <w:pPr>
        <w:tabs>
          <w:tab w:val="left" w:pos="567"/>
        </w:tabs>
        <w:spacing w:after="0" w:line="240" w:lineRule="auto"/>
        <w:jc w:val="both"/>
        <w:rPr>
          <w:rFonts w:ascii="Arial Narrow" w:hAnsi="Arial Narrow" w:cs="Arial"/>
          <w:sz w:val="24"/>
          <w:szCs w:val="24"/>
          <w:lang w:val="es-ES"/>
        </w:rPr>
      </w:pPr>
      <w:r w:rsidRPr="00B73860">
        <w:rPr>
          <w:rFonts w:ascii="Arial Narrow" w:hAnsi="Arial Narrow" w:cs="Arial"/>
          <w:b/>
          <w:sz w:val="24"/>
          <w:szCs w:val="24"/>
          <w:lang w:val="es-ES"/>
        </w:rPr>
        <w:t>Art. 6.-</w:t>
      </w:r>
      <w:r w:rsidRPr="00B73860">
        <w:rPr>
          <w:rFonts w:ascii="Arial Narrow" w:hAnsi="Arial Narrow" w:cs="Arial"/>
          <w:sz w:val="24"/>
          <w:szCs w:val="24"/>
          <w:lang w:val="es-ES"/>
        </w:rPr>
        <w:t xml:space="preserve"> </w:t>
      </w:r>
      <w:r w:rsidRPr="00F71070">
        <w:rPr>
          <w:rFonts w:ascii="Arial Narrow" w:hAnsi="Arial Narrow"/>
          <w:bCs/>
          <w:color w:val="000000"/>
          <w:sz w:val="24"/>
          <w:szCs w:val="24"/>
        </w:rPr>
        <w:t xml:space="preserve">Las entidades deberán desarrollar en el Código de Ética o de Conducta los procedimientos, prácticas y controles para el manejo de </w:t>
      </w:r>
      <w:r w:rsidRPr="001A67C8">
        <w:rPr>
          <w:rFonts w:ascii="Arial Narrow" w:hAnsi="Arial Narrow"/>
          <w:bCs/>
          <w:color w:val="000000"/>
          <w:sz w:val="24"/>
          <w:szCs w:val="24"/>
        </w:rPr>
        <w:t>potenciales</w:t>
      </w:r>
      <w:r w:rsidRPr="00F71070">
        <w:rPr>
          <w:rFonts w:ascii="Arial Narrow" w:hAnsi="Arial Narrow"/>
          <w:bCs/>
          <w:color w:val="000000"/>
          <w:sz w:val="24"/>
          <w:szCs w:val="24"/>
        </w:rPr>
        <w:t xml:space="preserve"> conflictos de interés, con el propósito de </w:t>
      </w:r>
      <w:r w:rsidRPr="001A67C8">
        <w:rPr>
          <w:rFonts w:ascii="Arial Narrow" w:hAnsi="Arial Narrow"/>
          <w:bCs/>
          <w:color w:val="000000"/>
          <w:sz w:val="24"/>
          <w:szCs w:val="24"/>
        </w:rPr>
        <w:t>evitar</w:t>
      </w:r>
      <w:r>
        <w:rPr>
          <w:rFonts w:ascii="Arial Narrow" w:hAnsi="Arial Narrow"/>
          <w:bCs/>
          <w:color w:val="000000"/>
          <w:sz w:val="24"/>
          <w:szCs w:val="24"/>
        </w:rPr>
        <w:t xml:space="preserve"> </w:t>
      </w:r>
      <w:r w:rsidRPr="001A67C8">
        <w:rPr>
          <w:rFonts w:ascii="Arial Narrow" w:hAnsi="Arial Narrow"/>
          <w:bCs/>
          <w:color w:val="000000"/>
          <w:sz w:val="24"/>
          <w:szCs w:val="24"/>
        </w:rPr>
        <w:t>el</w:t>
      </w:r>
      <w:r w:rsidRPr="00F71070">
        <w:rPr>
          <w:rFonts w:ascii="Arial Narrow" w:hAnsi="Arial Narrow"/>
          <w:bCs/>
          <w:color w:val="000000"/>
          <w:sz w:val="24"/>
          <w:szCs w:val="24"/>
        </w:rPr>
        <w:t xml:space="preserve"> desarrollar la prestación de sus servicios bajo </w:t>
      </w:r>
      <w:r w:rsidRPr="00F13A1C">
        <w:rPr>
          <w:rFonts w:ascii="Arial Narrow" w:hAnsi="Arial Narrow"/>
          <w:bCs/>
          <w:color w:val="000000"/>
          <w:sz w:val="24"/>
          <w:szCs w:val="24"/>
        </w:rPr>
        <w:t>la injerencia</w:t>
      </w:r>
      <w:r w:rsidRPr="00F71070">
        <w:rPr>
          <w:rFonts w:ascii="Arial Narrow" w:hAnsi="Arial Narrow"/>
          <w:bCs/>
          <w:color w:val="000000"/>
          <w:sz w:val="24"/>
          <w:szCs w:val="24"/>
        </w:rPr>
        <w:t xml:space="preserve"> de alguna situación generadora de conflicto de interés o de otras circunstancias que alteren la integridad de sus servicios.</w:t>
      </w:r>
      <w:r w:rsidRPr="00B73860">
        <w:rPr>
          <w:rFonts w:ascii="Arial Narrow" w:hAnsi="Arial Narrow" w:cs="Arial"/>
          <w:sz w:val="24"/>
          <w:szCs w:val="24"/>
          <w:lang w:val="es-ES"/>
        </w:rPr>
        <w:t xml:space="preserve"> </w:t>
      </w:r>
    </w:p>
    <w:p w14:paraId="36E3E06C" w14:textId="77777777" w:rsidR="0092768C" w:rsidRPr="00103979" w:rsidRDefault="0092768C" w:rsidP="0092768C">
      <w:pPr>
        <w:tabs>
          <w:tab w:val="left" w:pos="567"/>
        </w:tabs>
        <w:spacing w:after="0" w:line="240" w:lineRule="auto"/>
        <w:jc w:val="both"/>
        <w:rPr>
          <w:rFonts w:ascii="Arial Narrow" w:hAnsi="Arial Narrow" w:cs="Arial"/>
          <w:sz w:val="24"/>
          <w:szCs w:val="24"/>
          <w:lang w:val="es-ES"/>
        </w:rPr>
      </w:pPr>
    </w:p>
    <w:p w14:paraId="5F256D0B" w14:textId="77777777" w:rsidR="0092768C" w:rsidRPr="00B73860" w:rsidRDefault="0092768C" w:rsidP="0092768C">
      <w:pPr>
        <w:tabs>
          <w:tab w:val="left" w:pos="709"/>
        </w:tabs>
        <w:spacing w:after="0" w:line="240" w:lineRule="auto"/>
        <w:contextualSpacing/>
        <w:jc w:val="both"/>
        <w:rPr>
          <w:rFonts w:ascii="Arial Narrow" w:hAnsi="Arial Narrow" w:cs="Arial"/>
          <w:b/>
          <w:sz w:val="24"/>
          <w:szCs w:val="24"/>
          <w:lang w:val="es-ES"/>
        </w:rPr>
      </w:pPr>
      <w:r w:rsidRPr="00B73860">
        <w:rPr>
          <w:rFonts w:ascii="Arial Narrow" w:hAnsi="Arial Narrow" w:cs="Arial"/>
          <w:b/>
          <w:sz w:val="24"/>
          <w:szCs w:val="24"/>
          <w:lang w:val="es-ES"/>
        </w:rPr>
        <w:t>Políticas de gestión de conflicto</w:t>
      </w:r>
      <w:r>
        <w:rPr>
          <w:rFonts w:ascii="Arial Narrow" w:hAnsi="Arial Narrow" w:cs="Arial"/>
          <w:b/>
          <w:sz w:val="24"/>
          <w:szCs w:val="24"/>
          <w:lang w:val="es-ES"/>
        </w:rPr>
        <w:t>s</w:t>
      </w:r>
      <w:r w:rsidRPr="00B73860">
        <w:rPr>
          <w:rFonts w:ascii="Arial Narrow" w:hAnsi="Arial Narrow" w:cs="Arial"/>
          <w:b/>
          <w:sz w:val="24"/>
          <w:szCs w:val="24"/>
          <w:lang w:val="es-ES"/>
        </w:rPr>
        <w:t xml:space="preserve"> de interés  </w:t>
      </w:r>
    </w:p>
    <w:p w14:paraId="39D528B8" w14:textId="77777777" w:rsidR="0092768C" w:rsidRPr="00B73860" w:rsidRDefault="0092768C" w:rsidP="0092768C">
      <w:pPr>
        <w:tabs>
          <w:tab w:val="left" w:pos="567"/>
        </w:tabs>
        <w:spacing w:after="0" w:line="240" w:lineRule="auto"/>
        <w:jc w:val="both"/>
        <w:rPr>
          <w:rFonts w:ascii="Arial Narrow" w:hAnsi="Arial Narrow" w:cs="Arial"/>
          <w:b/>
          <w:sz w:val="24"/>
          <w:szCs w:val="24"/>
          <w:lang w:val="es-ES"/>
        </w:rPr>
      </w:pPr>
      <w:r w:rsidRPr="00B73860">
        <w:rPr>
          <w:rFonts w:ascii="Arial Narrow" w:hAnsi="Arial Narrow" w:cs="Arial"/>
          <w:b/>
          <w:sz w:val="24"/>
          <w:szCs w:val="24"/>
          <w:lang w:val="es-ES"/>
        </w:rPr>
        <w:t>Art. 7.-</w:t>
      </w:r>
      <w:r w:rsidRPr="00B73860">
        <w:rPr>
          <w:rFonts w:ascii="Arial Narrow" w:hAnsi="Arial Narrow"/>
          <w:bCs/>
          <w:color w:val="000000"/>
          <w:sz w:val="24"/>
          <w:szCs w:val="24"/>
        </w:rPr>
        <w:t xml:space="preserve"> La política de gestión de conflictos de interés deberá estipular los mecanismos que permitan prevenir, identificar, gestionar, mitigar, informar y registrar los conflictos de interés que puedan surgir entre los miembros de la Junta Directiva, Alta Gerencia, representantes, directores y demás empleados de la entidad y grupos de interés.</w:t>
      </w:r>
    </w:p>
    <w:p w14:paraId="4187FFFF" w14:textId="77777777" w:rsidR="0092768C" w:rsidRDefault="0092768C" w:rsidP="0092768C">
      <w:pPr>
        <w:tabs>
          <w:tab w:val="left" w:pos="567"/>
        </w:tabs>
        <w:spacing w:after="0"/>
        <w:jc w:val="both"/>
        <w:rPr>
          <w:rFonts w:ascii="Arial Narrow" w:hAnsi="Arial Narrow" w:cs="Arial"/>
          <w:sz w:val="24"/>
          <w:szCs w:val="24"/>
          <w:lang w:val="es-ES"/>
        </w:rPr>
      </w:pPr>
    </w:p>
    <w:p w14:paraId="71481133" w14:textId="77777777" w:rsidR="005716D4" w:rsidRPr="00B73860" w:rsidRDefault="005716D4" w:rsidP="0092768C">
      <w:pPr>
        <w:tabs>
          <w:tab w:val="left" w:pos="567"/>
        </w:tabs>
        <w:spacing w:after="0"/>
        <w:jc w:val="both"/>
        <w:rPr>
          <w:rFonts w:ascii="Arial Narrow" w:hAnsi="Arial Narrow" w:cs="Arial"/>
          <w:sz w:val="24"/>
          <w:szCs w:val="24"/>
          <w:lang w:val="es-ES"/>
        </w:rPr>
      </w:pPr>
    </w:p>
    <w:p w14:paraId="1974BBB8" w14:textId="77777777" w:rsidR="0092768C" w:rsidRPr="00F13A1C" w:rsidRDefault="0092768C" w:rsidP="0092768C">
      <w:pPr>
        <w:tabs>
          <w:tab w:val="left" w:pos="567"/>
        </w:tabs>
        <w:spacing w:after="120" w:line="240" w:lineRule="auto"/>
        <w:jc w:val="both"/>
        <w:rPr>
          <w:rFonts w:ascii="Arial Narrow" w:hAnsi="Arial Narrow" w:cs="Arial"/>
          <w:sz w:val="24"/>
          <w:szCs w:val="24"/>
        </w:rPr>
      </w:pPr>
      <w:r w:rsidRPr="00F13A1C">
        <w:rPr>
          <w:rFonts w:ascii="Arial Narrow" w:hAnsi="Arial Narrow" w:cs="Arial"/>
          <w:sz w:val="24"/>
          <w:szCs w:val="24"/>
          <w:lang w:val="es-ES"/>
        </w:rPr>
        <w:t xml:space="preserve">Dichas </w:t>
      </w:r>
      <w:r w:rsidRPr="00F13A1C">
        <w:rPr>
          <w:rFonts w:ascii="Arial Narrow" w:hAnsi="Arial Narrow" w:cs="Arial"/>
          <w:sz w:val="24"/>
          <w:szCs w:val="24"/>
        </w:rPr>
        <w:t xml:space="preserve">políticas deberán establecer: </w:t>
      </w:r>
    </w:p>
    <w:p w14:paraId="2E5252C5" w14:textId="77777777" w:rsidR="0092768C" w:rsidRPr="00F13A1C" w:rsidRDefault="0092768C" w:rsidP="0092768C">
      <w:pPr>
        <w:numPr>
          <w:ilvl w:val="0"/>
          <w:numId w:val="23"/>
        </w:numPr>
        <w:tabs>
          <w:tab w:val="left" w:pos="709"/>
        </w:tabs>
        <w:spacing w:after="120" w:line="240" w:lineRule="auto"/>
        <w:ind w:left="425" w:hanging="425"/>
        <w:contextualSpacing/>
        <w:jc w:val="both"/>
        <w:rPr>
          <w:rFonts w:ascii="Arial Narrow" w:hAnsi="Arial Narrow" w:cs="Arial"/>
          <w:sz w:val="24"/>
          <w:szCs w:val="24"/>
          <w:lang w:val="es-ES"/>
        </w:rPr>
      </w:pPr>
      <w:r w:rsidRPr="00F13A1C">
        <w:rPr>
          <w:rFonts w:ascii="Arial Narrow" w:hAnsi="Arial Narrow" w:cs="Arial"/>
          <w:sz w:val="24"/>
          <w:szCs w:val="24"/>
          <w:lang w:val="es-ES"/>
        </w:rPr>
        <w:t xml:space="preserve">Ámbito de aplicación; </w:t>
      </w:r>
    </w:p>
    <w:p w14:paraId="273E09A3" w14:textId="77777777" w:rsidR="0092768C" w:rsidRPr="00F13A1C" w:rsidRDefault="0092768C" w:rsidP="0092768C">
      <w:pPr>
        <w:numPr>
          <w:ilvl w:val="0"/>
          <w:numId w:val="23"/>
        </w:numPr>
        <w:tabs>
          <w:tab w:val="left" w:pos="709"/>
        </w:tabs>
        <w:spacing w:after="120" w:line="240" w:lineRule="auto"/>
        <w:ind w:left="425" w:hanging="425"/>
        <w:contextualSpacing/>
        <w:jc w:val="both"/>
        <w:rPr>
          <w:rFonts w:ascii="Arial Narrow" w:hAnsi="Arial Narrow" w:cs="Arial"/>
          <w:sz w:val="24"/>
          <w:szCs w:val="24"/>
          <w:lang w:val="es-ES"/>
        </w:rPr>
      </w:pPr>
      <w:r w:rsidRPr="00F13A1C">
        <w:rPr>
          <w:rFonts w:ascii="Arial Narrow" w:hAnsi="Arial Narrow" w:cs="Arial"/>
          <w:sz w:val="24"/>
          <w:szCs w:val="24"/>
          <w:lang w:val="es-ES"/>
        </w:rPr>
        <w:t>Identificación de los posibles conflictos de interés en los que puedan incurrir las personas comprendidas en el ámbito de aplicación, derivadas de sus funciones; y</w:t>
      </w:r>
    </w:p>
    <w:p w14:paraId="1204834A" w14:textId="77777777" w:rsidR="0092768C" w:rsidRPr="00F13A1C" w:rsidRDefault="0092768C" w:rsidP="0092768C">
      <w:pPr>
        <w:numPr>
          <w:ilvl w:val="0"/>
          <w:numId w:val="23"/>
        </w:numPr>
        <w:tabs>
          <w:tab w:val="left" w:pos="709"/>
        </w:tabs>
        <w:spacing w:after="120" w:line="240" w:lineRule="auto"/>
        <w:ind w:left="425" w:hanging="425"/>
        <w:contextualSpacing/>
        <w:jc w:val="both"/>
        <w:rPr>
          <w:rFonts w:ascii="Arial Narrow" w:hAnsi="Arial Narrow" w:cs="Arial"/>
          <w:sz w:val="24"/>
          <w:szCs w:val="24"/>
          <w:lang w:val="es-ES"/>
        </w:rPr>
      </w:pPr>
      <w:r w:rsidRPr="00F13A1C">
        <w:rPr>
          <w:rFonts w:ascii="Arial Narrow" w:hAnsi="Arial Narrow" w:cs="Arial"/>
          <w:sz w:val="24"/>
          <w:szCs w:val="24"/>
          <w:lang w:val="es-ES"/>
        </w:rPr>
        <w:t xml:space="preserve">Los mecanismos de control y manejo de los conflictos de interés. </w:t>
      </w:r>
    </w:p>
    <w:p w14:paraId="522D75E3" w14:textId="77777777" w:rsidR="0092768C" w:rsidRPr="00F13A1C" w:rsidRDefault="0092768C" w:rsidP="0092768C">
      <w:pPr>
        <w:tabs>
          <w:tab w:val="left" w:pos="709"/>
        </w:tabs>
        <w:spacing w:line="240" w:lineRule="auto"/>
        <w:ind w:left="720"/>
        <w:contextualSpacing/>
        <w:jc w:val="both"/>
        <w:rPr>
          <w:rFonts w:ascii="Arial Narrow" w:hAnsi="Arial Narrow" w:cs="Arial"/>
          <w:sz w:val="24"/>
          <w:szCs w:val="24"/>
          <w:lang w:val="es-ES"/>
        </w:rPr>
      </w:pPr>
    </w:p>
    <w:p w14:paraId="351074A9" w14:textId="77777777" w:rsidR="0092768C" w:rsidRDefault="0092768C" w:rsidP="0092768C">
      <w:pPr>
        <w:autoSpaceDE w:val="0"/>
        <w:autoSpaceDN w:val="0"/>
        <w:adjustRightInd w:val="0"/>
        <w:spacing w:after="0" w:line="240" w:lineRule="auto"/>
        <w:jc w:val="both"/>
        <w:rPr>
          <w:rFonts w:ascii="Arial Narrow" w:hAnsi="Arial Narrow" w:cs="Arial"/>
          <w:sz w:val="24"/>
          <w:szCs w:val="24"/>
          <w:lang w:val="es-ES"/>
        </w:rPr>
      </w:pPr>
      <w:r w:rsidRPr="00F13A1C">
        <w:rPr>
          <w:rFonts w:ascii="Arial Narrow" w:hAnsi="Arial Narrow" w:cs="Arial"/>
          <w:sz w:val="24"/>
          <w:szCs w:val="24"/>
          <w:lang w:val="es-ES"/>
        </w:rPr>
        <w:t xml:space="preserve">Las entidades deberán generar un registro de todas las ocurrencias de los conflictos de interés, de conformidad a lo establecido en artículo 13 de las presentes Normas. </w:t>
      </w:r>
    </w:p>
    <w:p w14:paraId="53584026" w14:textId="77777777" w:rsidR="0092768C" w:rsidRPr="00F13A1C" w:rsidRDefault="0092768C" w:rsidP="0092768C">
      <w:pPr>
        <w:autoSpaceDE w:val="0"/>
        <w:autoSpaceDN w:val="0"/>
        <w:adjustRightInd w:val="0"/>
        <w:spacing w:after="0" w:line="240" w:lineRule="auto"/>
        <w:jc w:val="both"/>
        <w:rPr>
          <w:rFonts w:ascii="Arial Narrow" w:hAnsi="Arial Narrow" w:cs="Arial"/>
          <w:sz w:val="24"/>
          <w:szCs w:val="24"/>
          <w:lang w:val="es-ES"/>
        </w:rPr>
      </w:pPr>
    </w:p>
    <w:p w14:paraId="7BA1D9F4" w14:textId="77777777" w:rsidR="0092768C" w:rsidRPr="00103979" w:rsidRDefault="0092768C" w:rsidP="0092768C">
      <w:pPr>
        <w:tabs>
          <w:tab w:val="left" w:pos="567"/>
        </w:tabs>
        <w:spacing w:after="0" w:line="240" w:lineRule="auto"/>
        <w:jc w:val="both"/>
        <w:rPr>
          <w:rFonts w:ascii="Arial Narrow" w:hAnsi="Arial Narrow" w:cs="Arial"/>
          <w:b/>
          <w:sz w:val="24"/>
          <w:szCs w:val="24"/>
          <w:lang w:val="es-ES"/>
        </w:rPr>
      </w:pPr>
      <w:r w:rsidRPr="00103979">
        <w:rPr>
          <w:rFonts w:ascii="Arial Narrow" w:hAnsi="Arial Narrow" w:cs="Arial"/>
          <w:b/>
          <w:sz w:val="24"/>
          <w:szCs w:val="24"/>
          <w:lang w:val="es-ES"/>
        </w:rPr>
        <w:t>Identificación de conflictos de interés</w:t>
      </w:r>
    </w:p>
    <w:p w14:paraId="0B3351EA" w14:textId="77777777" w:rsidR="0092768C" w:rsidRPr="00103979" w:rsidRDefault="0092768C" w:rsidP="0092768C">
      <w:pPr>
        <w:tabs>
          <w:tab w:val="left" w:pos="567"/>
        </w:tabs>
        <w:spacing w:after="120" w:line="240" w:lineRule="auto"/>
        <w:jc w:val="both"/>
        <w:rPr>
          <w:rFonts w:ascii="Arial Narrow" w:hAnsi="Arial Narrow" w:cs="Arial"/>
          <w:sz w:val="24"/>
          <w:szCs w:val="24"/>
          <w:lang w:val="es-ES"/>
        </w:rPr>
      </w:pPr>
      <w:r w:rsidRPr="00103979">
        <w:rPr>
          <w:rFonts w:ascii="Arial Narrow" w:hAnsi="Arial Narrow" w:cs="Arial"/>
          <w:b/>
          <w:sz w:val="24"/>
          <w:szCs w:val="24"/>
          <w:lang w:val="es-ES"/>
        </w:rPr>
        <w:lastRenderedPageBreak/>
        <w:t xml:space="preserve">Art. 8.- </w:t>
      </w:r>
      <w:r w:rsidRPr="00103979">
        <w:rPr>
          <w:rFonts w:ascii="Arial Narrow" w:hAnsi="Arial Narrow" w:cs="Arial"/>
          <w:sz w:val="24"/>
          <w:szCs w:val="24"/>
          <w:lang w:val="es-ES"/>
        </w:rPr>
        <w:t>La entidad deberá identificar los conflictos de interés</w:t>
      </w:r>
      <w:r w:rsidRPr="00103979">
        <w:rPr>
          <w:rFonts w:ascii="Arial Narrow" w:hAnsi="Arial Narrow" w:cs="Arial"/>
          <w:b/>
          <w:sz w:val="24"/>
          <w:szCs w:val="24"/>
          <w:lang w:val="es-ES"/>
        </w:rPr>
        <w:t xml:space="preserve"> </w:t>
      </w:r>
      <w:r w:rsidRPr="00103979">
        <w:rPr>
          <w:rFonts w:ascii="Arial Narrow" w:hAnsi="Arial Narrow" w:cs="Arial"/>
          <w:sz w:val="24"/>
          <w:szCs w:val="24"/>
          <w:lang w:val="es-ES"/>
        </w:rPr>
        <w:t>que puedan existir</w:t>
      </w:r>
      <w:r w:rsidRPr="00103979">
        <w:rPr>
          <w:rFonts w:ascii="Arial Narrow" w:hAnsi="Arial Narrow" w:cs="Arial"/>
          <w:b/>
          <w:sz w:val="24"/>
          <w:szCs w:val="24"/>
          <w:lang w:val="es-ES"/>
        </w:rPr>
        <w:t xml:space="preserve"> </w:t>
      </w:r>
      <w:r w:rsidRPr="00103979">
        <w:rPr>
          <w:rFonts w:ascii="Arial Narrow" w:hAnsi="Arial Narrow" w:cs="Arial"/>
          <w:sz w:val="24"/>
          <w:szCs w:val="24"/>
          <w:lang w:val="es-ES"/>
        </w:rPr>
        <w:t xml:space="preserve">en cada operación, producto y línea de negocio, tomando en consideración las relaciones de incentivos, de segregación de funciones e independencia, identificando como mínimo las situaciones siguientes: </w:t>
      </w:r>
    </w:p>
    <w:p w14:paraId="4ADA439E" w14:textId="77777777" w:rsidR="0092768C" w:rsidRPr="00103979" w:rsidRDefault="0092768C" w:rsidP="0092768C">
      <w:pPr>
        <w:numPr>
          <w:ilvl w:val="0"/>
          <w:numId w:val="10"/>
        </w:numPr>
        <w:tabs>
          <w:tab w:val="left" w:pos="709"/>
        </w:tabs>
        <w:spacing w:after="0"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t xml:space="preserve">Existencia de un interés en el resultado del servicio proporcionado al cliente o de una transacción realizada en nombre del cliente, que difiera del interés de </w:t>
      </w:r>
      <w:r>
        <w:rPr>
          <w:rFonts w:ascii="Arial Narrow" w:hAnsi="Arial Narrow" w:cs="Arial"/>
          <w:sz w:val="24"/>
          <w:szCs w:val="24"/>
          <w:lang w:val="es-ES"/>
        </w:rPr>
        <w:t xml:space="preserve">éste </w:t>
      </w:r>
      <w:r w:rsidRPr="00103979">
        <w:rPr>
          <w:rFonts w:ascii="Arial Narrow" w:hAnsi="Arial Narrow" w:cs="Arial"/>
          <w:sz w:val="24"/>
          <w:szCs w:val="24"/>
          <w:lang w:val="es-ES"/>
        </w:rPr>
        <w:t xml:space="preserve">por ese resultado; </w:t>
      </w:r>
    </w:p>
    <w:p w14:paraId="3260D46C" w14:textId="77777777" w:rsidR="0092768C" w:rsidRPr="00103979" w:rsidRDefault="0092768C" w:rsidP="0092768C">
      <w:pPr>
        <w:numPr>
          <w:ilvl w:val="0"/>
          <w:numId w:val="10"/>
        </w:numPr>
        <w:tabs>
          <w:tab w:val="left" w:pos="709"/>
        </w:tabs>
        <w:spacing w:after="0"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t xml:space="preserve">Posibilidad de obtener un beneficio de carácter financiero, económico, o de evitar una pérdida a la entidad, en perjuicio de los intereses de los clientes; </w:t>
      </w:r>
    </w:p>
    <w:p w14:paraId="47C20CC6" w14:textId="77777777" w:rsidR="0092768C" w:rsidRPr="00103979" w:rsidRDefault="0092768C" w:rsidP="0092768C">
      <w:pPr>
        <w:numPr>
          <w:ilvl w:val="0"/>
          <w:numId w:val="10"/>
        </w:numPr>
        <w:tabs>
          <w:tab w:val="left" w:pos="709"/>
        </w:tabs>
        <w:spacing w:after="0"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t xml:space="preserve">Posibilidad de tener incentivos financieros, económicos o de cualquier otro tipo, para favorecer los intereses de la entidad o de terceros, frente a los intereses de los clientes; </w:t>
      </w:r>
    </w:p>
    <w:p w14:paraId="7A70E417" w14:textId="77777777" w:rsidR="0092768C" w:rsidRPr="00B73860" w:rsidRDefault="0092768C" w:rsidP="0092768C">
      <w:pPr>
        <w:numPr>
          <w:ilvl w:val="0"/>
          <w:numId w:val="10"/>
        </w:numPr>
        <w:tabs>
          <w:tab w:val="left" w:pos="709"/>
        </w:tabs>
        <w:spacing w:after="0" w:line="240" w:lineRule="auto"/>
        <w:ind w:left="425" w:hanging="425"/>
        <w:contextualSpacing/>
        <w:jc w:val="both"/>
        <w:rPr>
          <w:rFonts w:ascii="Arial Narrow" w:hAnsi="Arial Narrow" w:cs="Arial"/>
          <w:sz w:val="24"/>
          <w:szCs w:val="24"/>
          <w:lang w:val="es-ES"/>
        </w:rPr>
      </w:pPr>
      <w:r w:rsidRPr="00B73860">
        <w:rPr>
          <w:rFonts w:ascii="Arial Narrow" w:hAnsi="Arial Narrow" w:cs="Arial"/>
          <w:sz w:val="24"/>
          <w:szCs w:val="24"/>
          <w:lang w:val="es-ES"/>
        </w:rPr>
        <w:t xml:space="preserve">Posibilidad de recibir de un tercero algún incentivo relativo al servicio prestado, distinto a la comisión habitual por dicho servicio; y </w:t>
      </w:r>
    </w:p>
    <w:p w14:paraId="57EB303A" w14:textId="77777777" w:rsidR="0092768C" w:rsidRPr="00A60B6F" w:rsidRDefault="0092768C" w:rsidP="0092768C">
      <w:pPr>
        <w:numPr>
          <w:ilvl w:val="0"/>
          <w:numId w:val="10"/>
        </w:numPr>
        <w:tabs>
          <w:tab w:val="left" w:pos="709"/>
        </w:tabs>
        <w:spacing w:after="0" w:line="240" w:lineRule="auto"/>
        <w:ind w:left="425" w:hanging="425"/>
        <w:contextualSpacing/>
        <w:jc w:val="both"/>
        <w:rPr>
          <w:rFonts w:ascii="Arial Narrow" w:hAnsi="Arial Narrow" w:cs="Arial"/>
          <w:b/>
          <w:sz w:val="24"/>
          <w:szCs w:val="24"/>
          <w:lang w:val="es-ES"/>
        </w:rPr>
      </w:pPr>
      <w:r w:rsidRPr="00A60B6F">
        <w:rPr>
          <w:rFonts w:ascii="Arial Narrow" w:hAnsi="Arial Narrow" w:cs="Arial"/>
          <w:sz w:val="24"/>
          <w:szCs w:val="24"/>
          <w:lang w:val="es-ES"/>
        </w:rPr>
        <w:t xml:space="preserve">Otras situaciones que califique </w:t>
      </w:r>
      <w:r>
        <w:rPr>
          <w:rFonts w:ascii="Arial Narrow" w:hAnsi="Arial Narrow" w:cs="Arial"/>
          <w:sz w:val="24"/>
          <w:szCs w:val="24"/>
          <w:lang w:val="es-ES"/>
        </w:rPr>
        <w:t xml:space="preserve">la entidad. </w:t>
      </w:r>
    </w:p>
    <w:p w14:paraId="74A6143B"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2263229B" w14:textId="77777777" w:rsidR="0092768C" w:rsidRPr="00103979" w:rsidRDefault="0092768C" w:rsidP="0092768C">
      <w:pPr>
        <w:tabs>
          <w:tab w:val="left" w:pos="567"/>
        </w:tabs>
        <w:spacing w:after="0" w:line="240" w:lineRule="auto"/>
        <w:jc w:val="both"/>
        <w:rPr>
          <w:rFonts w:ascii="Arial Narrow" w:hAnsi="Arial Narrow" w:cs="Arial"/>
          <w:b/>
          <w:sz w:val="24"/>
          <w:szCs w:val="24"/>
          <w:lang w:val="es-ES"/>
        </w:rPr>
      </w:pPr>
      <w:r w:rsidRPr="00103979">
        <w:rPr>
          <w:rFonts w:ascii="Arial Narrow" w:hAnsi="Arial Narrow" w:cs="Arial"/>
          <w:b/>
          <w:sz w:val="24"/>
          <w:szCs w:val="24"/>
          <w:lang w:val="es-ES"/>
        </w:rPr>
        <w:t xml:space="preserve">Gestión de los conflictos de interés </w:t>
      </w:r>
    </w:p>
    <w:p w14:paraId="503361DC" w14:textId="77777777" w:rsidR="0092768C" w:rsidRPr="00103979" w:rsidRDefault="0092768C" w:rsidP="0092768C">
      <w:pPr>
        <w:pStyle w:val="Textocomentario"/>
        <w:spacing w:after="120"/>
        <w:jc w:val="both"/>
      </w:pPr>
      <w:r w:rsidRPr="00103979">
        <w:rPr>
          <w:rFonts w:ascii="Arial Narrow" w:hAnsi="Arial Narrow" w:cs="Arial"/>
          <w:b/>
          <w:sz w:val="24"/>
          <w:szCs w:val="24"/>
          <w:lang w:val="es-ES"/>
        </w:rPr>
        <w:t xml:space="preserve">Art. 9.- </w:t>
      </w:r>
      <w:r w:rsidRPr="00103979">
        <w:rPr>
          <w:rFonts w:ascii="Arial Narrow" w:hAnsi="Arial Narrow"/>
          <w:sz w:val="24"/>
          <w:szCs w:val="24"/>
          <w:lang w:val="es-ES"/>
        </w:rPr>
        <w:t>Las entidades deberán contar con un proceso continuo documentado para el control y el manejo de los conflictos de interés. Para el cumplimiento de lo anterior, deberá establecer como mínimo los mecanismos siguientes:</w:t>
      </w:r>
    </w:p>
    <w:p w14:paraId="5E3E0EAF" w14:textId="77777777" w:rsidR="0092768C" w:rsidRPr="00103979" w:rsidRDefault="0092768C" w:rsidP="0092768C">
      <w:pPr>
        <w:pStyle w:val="Prrafodelista"/>
        <w:numPr>
          <w:ilvl w:val="0"/>
          <w:numId w:val="16"/>
        </w:numPr>
        <w:tabs>
          <w:tab w:val="left" w:pos="851"/>
        </w:tabs>
        <w:spacing w:after="0" w:line="240" w:lineRule="auto"/>
        <w:ind w:left="425" w:hanging="425"/>
        <w:jc w:val="both"/>
        <w:rPr>
          <w:rFonts w:ascii="Arial Narrow" w:hAnsi="Arial Narrow" w:cs="Arial"/>
          <w:sz w:val="24"/>
          <w:szCs w:val="24"/>
          <w:lang w:val="es-ES"/>
        </w:rPr>
      </w:pPr>
      <w:r w:rsidRPr="00103979">
        <w:rPr>
          <w:rFonts w:ascii="Arial Narrow" w:hAnsi="Arial Narrow" w:cs="Arial"/>
          <w:sz w:val="24"/>
          <w:szCs w:val="24"/>
          <w:lang w:val="es-ES"/>
        </w:rPr>
        <w:t>La obligación de informar los conflictos de inter</w:t>
      </w:r>
      <w:r>
        <w:rPr>
          <w:rFonts w:ascii="Arial Narrow" w:hAnsi="Arial Narrow" w:cs="Arial"/>
          <w:sz w:val="24"/>
          <w:szCs w:val="24"/>
          <w:lang w:val="es-ES"/>
        </w:rPr>
        <w:t>é</w:t>
      </w:r>
      <w:r w:rsidRPr="00103979">
        <w:rPr>
          <w:rFonts w:ascii="Arial Narrow" w:hAnsi="Arial Narrow" w:cs="Arial"/>
          <w:sz w:val="24"/>
          <w:szCs w:val="24"/>
          <w:lang w:val="es-ES"/>
        </w:rPr>
        <w:t>s que en forma real o potencial se presente</w:t>
      </w:r>
      <w:r>
        <w:rPr>
          <w:rFonts w:ascii="Arial Narrow" w:hAnsi="Arial Narrow" w:cs="Arial"/>
          <w:sz w:val="24"/>
          <w:szCs w:val="24"/>
          <w:lang w:val="es-ES"/>
        </w:rPr>
        <w:t>n</w:t>
      </w:r>
      <w:r w:rsidRPr="00103979">
        <w:rPr>
          <w:rFonts w:ascii="Arial Narrow" w:hAnsi="Arial Narrow" w:cs="Arial"/>
          <w:sz w:val="24"/>
          <w:szCs w:val="24"/>
          <w:lang w:val="es-ES"/>
        </w:rPr>
        <w:t xml:space="preserve">, a efecto que una autoridad designada por la entidad, defina la gestión del conflicto; </w:t>
      </w:r>
    </w:p>
    <w:p w14:paraId="0DC640A5" w14:textId="77777777" w:rsidR="0092768C" w:rsidRPr="00103979" w:rsidRDefault="0092768C" w:rsidP="0092768C">
      <w:pPr>
        <w:pStyle w:val="Prrafodelista"/>
        <w:numPr>
          <w:ilvl w:val="0"/>
          <w:numId w:val="16"/>
        </w:numPr>
        <w:tabs>
          <w:tab w:val="left" w:pos="851"/>
        </w:tabs>
        <w:spacing w:after="0" w:line="240" w:lineRule="auto"/>
        <w:ind w:left="425" w:hanging="425"/>
        <w:jc w:val="both"/>
        <w:rPr>
          <w:rFonts w:ascii="Arial Narrow" w:hAnsi="Arial Narrow" w:cs="Arial"/>
          <w:sz w:val="24"/>
          <w:szCs w:val="24"/>
          <w:lang w:val="es-ES"/>
        </w:rPr>
      </w:pPr>
      <w:r w:rsidRPr="00103979">
        <w:rPr>
          <w:rFonts w:ascii="Arial Narrow" w:hAnsi="Arial Narrow" w:cs="Arial"/>
          <w:sz w:val="24"/>
          <w:szCs w:val="24"/>
          <w:lang w:val="es-ES"/>
        </w:rPr>
        <w:t xml:space="preserve">Las condiciones y procedimientos para que los funcionarios y empleados de la entidades realicen operaciones de carácter personal con personas naturales o jurídicas que se encuentren relacionadas o vinculadas a la entidad para la cual prestan sus servicios, cuando se encuentren fuera del ámbito de las actividades que habitualmente corresponden a </w:t>
      </w:r>
      <w:r>
        <w:rPr>
          <w:rFonts w:ascii="Arial Narrow" w:hAnsi="Arial Narrow" w:cs="Arial"/>
          <w:sz w:val="24"/>
          <w:szCs w:val="24"/>
          <w:lang w:val="es-ES"/>
        </w:rPr>
        <w:t>e</w:t>
      </w:r>
      <w:r w:rsidRPr="00103979">
        <w:rPr>
          <w:rFonts w:ascii="Arial Narrow" w:hAnsi="Arial Narrow" w:cs="Arial"/>
          <w:sz w:val="24"/>
          <w:szCs w:val="24"/>
          <w:lang w:val="es-ES"/>
        </w:rPr>
        <w:t>stas;</w:t>
      </w:r>
      <w:r w:rsidRPr="00103979">
        <w:rPr>
          <w:rFonts w:ascii="Arial Narrow" w:hAnsi="Arial Narrow" w:cs="Arial"/>
          <w:b/>
          <w:sz w:val="24"/>
          <w:szCs w:val="24"/>
          <w:lang w:val="es-ES"/>
        </w:rPr>
        <w:t xml:space="preserve"> </w:t>
      </w:r>
      <w:r w:rsidRPr="00103979">
        <w:rPr>
          <w:rFonts w:ascii="Arial Narrow" w:hAnsi="Arial Narrow" w:cs="Arial"/>
          <w:sz w:val="24"/>
          <w:szCs w:val="24"/>
          <w:lang w:val="es-ES"/>
        </w:rPr>
        <w:t xml:space="preserve">y </w:t>
      </w:r>
    </w:p>
    <w:p w14:paraId="09AAB118" w14:textId="77777777" w:rsidR="0092768C" w:rsidRDefault="0092768C" w:rsidP="0092768C">
      <w:pPr>
        <w:pStyle w:val="Prrafodelista"/>
        <w:numPr>
          <w:ilvl w:val="0"/>
          <w:numId w:val="16"/>
        </w:numPr>
        <w:tabs>
          <w:tab w:val="left" w:pos="851"/>
        </w:tabs>
        <w:spacing w:after="0" w:line="240" w:lineRule="auto"/>
        <w:ind w:left="425" w:hanging="425"/>
        <w:jc w:val="both"/>
        <w:rPr>
          <w:rFonts w:ascii="Arial Narrow" w:hAnsi="Arial Narrow" w:cs="Arial"/>
          <w:sz w:val="24"/>
          <w:szCs w:val="24"/>
          <w:lang w:val="es-ES"/>
        </w:rPr>
      </w:pPr>
      <w:r w:rsidRPr="00103979">
        <w:rPr>
          <w:rFonts w:ascii="Arial Narrow" w:hAnsi="Arial Narrow"/>
          <w:sz w:val="24"/>
          <w:szCs w:val="24"/>
          <w:lang w:val="es-ES"/>
        </w:rPr>
        <w:t>Mecanismos</w:t>
      </w:r>
      <w:r w:rsidRPr="00103979">
        <w:rPr>
          <w:rFonts w:ascii="Arial Narrow" w:hAnsi="Arial Narrow" w:cs="Arial"/>
          <w:sz w:val="24"/>
          <w:szCs w:val="24"/>
          <w:lang w:val="es-ES"/>
        </w:rPr>
        <w:t xml:space="preserve"> de resolución de conflictos de interés, estipulando la forma en que la entidad actuará cuando se haya generado un conflicto de interés, identificando los elementos para la mitigación del mismo.   </w:t>
      </w:r>
    </w:p>
    <w:p w14:paraId="74588D34" w14:textId="77777777" w:rsidR="0092768C" w:rsidRDefault="0092768C" w:rsidP="0092768C">
      <w:pPr>
        <w:tabs>
          <w:tab w:val="left" w:pos="851"/>
        </w:tabs>
        <w:spacing w:after="0" w:line="240" w:lineRule="auto"/>
        <w:jc w:val="both"/>
        <w:rPr>
          <w:rFonts w:ascii="Arial Narrow" w:hAnsi="Arial Narrow" w:cs="Arial"/>
          <w:sz w:val="24"/>
          <w:szCs w:val="24"/>
          <w:lang w:val="es-ES"/>
        </w:rPr>
      </w:pPr>
    </w:p>
    <w:p w14:paraId="181A82B4" w14:textId="62BD02F6" w:rsidR="00354B7E" w:rsidRDefault="00354B7E" w:rsidP="0092768C">
      <w:pPr>
        <w:tabs>
          <w:tab w:val="left" w:pos="851"/>
        </w:tabs>
        <w:spacing w:after="0" w:line="240" w:lineRule="auto"/>
        <w:jc w:val="both"/>
        <w:rPr>
          <w:rFonts w:ascii="Arial Narrow" w:hAnsi="Arial Narrow" w:cs="Arial"/>
          <w:sz w:val="24"/>
          <w:szCs w:val="24"/>
          <w:lang w:val="es-ES"/>
        </w:rPr>
      </w:pPr>
    </w:p>
    <w:p w14:paraId="35AA5649" w14:textId="77777777" w:rsidR="00354B7E" w:rsidRDefault="00354B7E" w:rsidP="0092768C">
      <w:pPr>
        <w:tabs>
          <w:tab w:val="left" w:pos="851"/>
        </w:tabs>
        <w:spacing w:after="0" w:line="240" w:lineRule="auto"/>
        <w:jc w:val="both"/>
        <w:rPr>
          <w:rFonts w:ascii="Arial Narrow" w:hAnsi="Arial Narrow" w:cs="Arial"/>
          <w:sz w:val="24"/>
          <w:szCs w:val="24"/>
          <w:lang w:val="es-ES"/>
        </w:rPr>
      </w:pPr>
    </w:p>
    <w:p w14:paraId="4748933D" w14:textId="77777777" w:rsidR="00354B7E" w:rsidRPr="00381656" w:rsidRDefault="00354B7E" w:rsidP="0092768C">
      <w:pPr>
        <w:tabs>
          <w:tab w:val="left" w:pos="851"/>
        </w:tabs>
        <w:spacing w:after="0" w:line="240" w:lineRule="auto"/>
        <w:jc w:val="both"/>
        <w:rPr>
          <w:rFonts w:ascii="Arial Narrow" w:hAnsi="Arial Narrow" w:cs="Arial"/>
          <w:sz w:val="24"/>
          <w:szCs w:val="24"/>
          <w:lang w:val="es-ES"/>
        </w:rPr>
      </w:pPr>
    </w:p>
    <w:p w14:paraId="042DF988" w14:textId="77777777" w:rsidR="0092768C" w:rsidRPr="00324F59" w:rsidRDefault="0092768C" w:rsidP="0092768C">
      <w:pPr>
        <w:tabs>
          <w:tab w:val="left" w:pos="567"/>
        </w:tabs>
        <w:spacing w:after="0" w:line="240" w:lineRule="auto"/>
        <w:jc w:val="both"/>
        <w:rPr>
          <w:rFonts w:ascii="Arial Narrow" w:hAnsi="Arial Narrow" w:cs="Arial"/>
          <w:b/>
          <w:sz w:val="24"/>
          <w:szCs w:val="24"/>
          <w:lang w:val="es-ES"/>
        </w:rPr>
      </w:pPr>
      <w:r w:rsidRPr="00324F59">
        <w:rPr>
          <w:rFonts w:ascii="Arial Narrow" w:hAnsi="Arial Narrow" w:cs="Arial"/>
          <w:b/>
          <w:sz w:val="24"/>
          <w:szCs w:val="24"/>
          <w:lang w:val="es-ES"/>
        </w:rPr>
        <w:t xml:space="preserve">Criterios para la resolución de conflictos de interés </w:t>
      </w:r>
    </w:p>
    <w:p w14:paraId="72CA90C6" w14:textId="77777777" w:rsidR="0092768C" w:rsidRPr="00E158AB" w:rsidRDefault="0092768C" w:rsidP="0092768C">
      <w:pPr>
        <w:tabs>
          <w:tab w:val="left" w:pos="567"/>
        </w:tabs>
        <w:spacing w:after="120" w:line="240" w:lineRule="auto"/>
        <w:jc w:val="both"/>
        <w:rPr>
          <w:rFonts w:ascii="Arial Narrow" w:hAnsi="Arial Narrow"/>
          <w:sz w:val="24"/>
          <w:szCs w:val="24"/>
          <w:lang w:val="es-ES"/>
        </w:rPr>
      </w:pPr>
      <w:r w:rsidRPr="00324F59">
        <w:rPr>
          <w:rFonts w:ascii="Arial Narrow" w:hAnsi="Arial Narrow" w:cs="Arial"/>
          <w:b/>
          <w:sz w:val="24"/>
          <w:szCs w:val="24"/>
          <w:lang w:val="es-ES"/>
        </w:rPr>
        <w:t xml:space="preserve">Art. 10.- </w:t>
      </w:r>
      <w:r w:rsidRPr="00324F59">
        <w:rPr>
          <w:rFonts w:ascii="Arial Narrow" w:hAnsi="Arial Narrow" w:cs="Arial"/>
          <w:sz w:val="24"/>
          <w:szCs w:val="24"/>
          <w:lang w:val="es-ES"/>
        </w:rPr>
        <w:t xml:space="preserve">En </w:t>
      </w:r>
      <w:r w:rsidRPr="00E158AB">
        <w:rPr>
          <w:rFonts w:ascii="Arial Narrow" w:hAnsi="Arial Narrow" w:cs="Arial"/>
          <w:sz w:val="24"/>
          <w:szCs w:val="24"/>
          <w:lang w:val="es-ES"/>
        </w:rPr>
        <w:t>los casos en que no se haya podido prevenir el conflicto de interés conforme a las medidas establecidas</w:t>
      </w:r>
      <w:r w:rsidRPr="00E158AB">
        <w:rPr>
          <w:rFonts w:ascii="Arial Narrow" w:hAnsi="Arial Narrow"/>
          <w:sz w:val="24"/>
          <w:szCs w:val="24"/>
          <w:lang w:val="es-ES"/>
        </w:rPr>
        <w:t xml:space="preserve"> en el presente Capítulo, la entidad deberá resolver, teniendo en cuenta lo siguiente: </w:t>
      </w:r>
    </w:p>
    <w:p w14:paraId="6020E8E0" w14:textId="77777777" w:rsidR="0092768C" w:rsidRPr="00E158AB" w:rsidRDefault="0092768C" w:rsidP="0092768C">
      <w:pPr>
        <w:numPr>
          <w:ilvl w:val="0"/>
          <w:numId w:val="25"/>
        </w:numPr>
        <w:tabs>
          <w:tab w:val="left" w:pos="709"/>
        </w:tabs>
        <w:spacing w:after="0" w:line="240" w:lineRule="auto"/>
        <w:ind w:left="425" w:hanging="425"/>
        <w:contextualSpacing/>
        <w:jc w:val="both"/>
        <w:rPr>
          <w:rFonts w:ascii="Arial Narrow" w:hAnsi="Arial Narrow" w:cs="Arial"/>
          <w:sz w:val="24"/>
          <w:szCs w:val="24"/>
          <w:lang w:val="es-ES"/>
        </w:rPr>
      </w:pPr>
      <w:r w:rsidRPr="005D5852">
        <w:rPr>
          <w:rFonts w:ascii="Arial Narrow" w:hAnsi="Arial Narrow" w:cs="Arial"/>
          <w:sz w:val="24"/>
          <w:szCs w:val="24"/>
          <w:lang w:val="es-ES"/>
        </w:rPr>
        <w:t>En caso de conflicto entre la entidad y un cliente, partícipe o un fondo de tercero administrado, se deberá salvaguardar el interés de estos últimos; y</w:t>
      </w:r>
    </w:p>
    <w:p w14:paraId="6992B768" w14:textId="77777777" w:rsidR="0092768C" w:rsidRPr="005D5852" w:rsidRDefault="0092768C" w:rsidP="0092768C">
      <w:pPr>
        <w:numPr>
          <w:ilvl w:val="0"/>
          <w:numId w:val="25"/>
        </w:numPr>
        <w:tabs>
          <w:tab w:val="left" w:pos="709"/>
        </w:tabs>
        <w:spacing w:after="0" w:line="240" w:lineRule="auto"/>
        <w:ind w:left="425" w:hanging="425"/>
        <w:contextualSpacing/>
        <w:jc w:val="both"/>
        <w:rPr>
          <w:rFonts w:ascii="Arial Narrow" w:hAnsi="Arial Narrow" w:cs="Arial"/>
          <w:sz w:val="24"/>
          <w:szCs w:val="24"/>
          <w:lang w:val="es-ES"/>
        </w:rPr>
      </w:pPr>
      <w:r w:rsidRPr="005D5852">
        <w:rPr>
          <w:rFonts w:ascii="Arial Narrow" w:hAnsi="Arial Narrow" w:cs="Arial"/>
          <w:sz w:val="24"/>
          <w:szCs w:val="24"/>
          <w:lang w:val="es-ES"/>
        </w:rPr>
        <w:t>En caso de conflictos entre clientes: Se evitará favorecer, desfavorecer o excluir a alguno de ellos</w:t>
      </w:r>
      <w:r>
        <w:rPr>
          <w:rFonts w:ascii="Arial Narrow" w:hAnsi="Arial Narrow" w:cs="Arial"/>
          <w:sz w:val="24"/>
          <w:szCs w:val="24"/>
          <w:lang w:val="es-ES"/>
        </w:rPr>
        <w:t>.</w:t>
      </w:r>
    </w:p>
    <w:p w14:paraId="3C930F69" w14:textId="77777777" w:rsidR="0092768C" w:rsidRDefault="0092768C" w:rsidP="0092768C">
      <w:pPr>
        <w:tabs>
          <w:tab w:val="left" w:pos="567"/>
        </w:tabs>
        <w:spacing w:after="0" w:line="240" w:lineRule="auto"/>
        <w:rPr>
          <w:rFonts w:ascii="Arial Narrow" w:hAnsi="Arial Narrow" w:cs="Arial"/>
          <w:sz w:val="24"/>
          <w:szCs w:val="24"/>
          <w:lang w:val="es-ES"/>
        </w:rPr>
      </w:pPr>
    </w:p>
    <w:p w14:paraId="70C307EF" w14:textId="77777777" w:rsidR="0092768C" w:rsidRPr="0020225B" w:rsidRDefault="0092768C" w:rsidP="0092768C">
      <w:pPr>
        <w:tabs>
          <w:tab w:val="left" w:pos="567"/>
        </w:tabs>
        <w:spacing w:after="0" w:line="240" w:lineRule="auto"/>
        <w:rPr>
          <w:rFonts w:ascii="Arial Narrow" w:hAnsi="Arial Narrow" w:cs="Arial"/>
          <w:b/>
          <w:sz w:val="24"/>
          <w:szCs w:val="24"/>
          <w:lang w:val="es-ES"/>
        </w:rPr>
      </w:pPr>
      <w:r w:rsidRPr="00E158AB">
        <w:rPr>
          <w:rFonts w:ascii="Arial Narrow" w:hAnsi="Arial Narrow" w:cs="Arial"/>
          <w:b/>
          <w:sz w:val="24"/>
          <w:szCs w:val="24"/>
          <w:lang w:val="es-ES"/>
        </w:rPr>
        <w:t>Administración de fondos de terceros</w:t>
      </w:r>
    </w:p>
    <w:p w14:paraId="05143F08" w14:textId="77777777" w:rsidR="0092768C" w:rsidRDefault="0092768C" w:rsidP="0092768C">
      <w:pPr>
        <w:autoSpaceDE w:val="0"/>
        <w:autoSpaceDN w:val="0"/>
        <w:adjustRightInd w:val="0"/>
        <w:spacing w:after="120" w:line="240" w:lineRule="auto"/>
        <w:jc w:val="both"/>
        <w:rPr>
          <w:rFonts w:ascii="Arial Narrow" w:hAnsi="Arial Narrow" w:cs="Arial"/>
          <w:sz w:val="24"/>
          <w:szCs w:val="24"/>
          <w:lang w:val="es-ES"/>
        </w:rPr>
      </w:pPr>
      <w:r>
        <w:rPr>
          <w:rFonts w:ascii="Arial Narrow" w:hAnsi="Arial Narrow" w:cs="Arial"/>
          <w:b/>
          <w:sz w:val="24"/>
          <w:szCs w:val="24"/>
          <w:lang w:val="es-ES"/>
        </w:rPr>
        <w:lastRenderedPageBreak/>
        <w:t>Art. 11</w:t>
      </w:r>
      <w:r w:rsidRPr="0020225B">
        <w:rPr>
          <w:rFonts w:ascii="Arial Narrow" w:hAnsi="Arial Narrow" w:cs="Arial"/>
          <w:b/>
          <w:sz w:val="24"/>
          <w:szCs w:val="24"/>
          <w:lang w:val="es-ES"/>
        </w:rPr>
        <w:t>.-</w:t>
      </w:r>
      <w:r w:rsidRPr="0020225B">
        <w:rPr>
          <w:rFonts w:ascii="Arial Narrow" w:hAnsi="Arial Narrow" w:cs="Arial"/>
          <w:sz w:val="24"/>
          <w:szCs w:val="24"/>
          <w:lang w:val="es-ES"/>
        </w:rPr>
        <w:t xml:space="preserve"> En el caso de las entidades que </w:t>
      </w:r>
      <w:r>
        <w:rPr>
          <w:rFonts w:ascii="Arial Narrow" w:hAnsi="Arial Narrow" w:cs="Arial"/>
          <w:sz w:val="24"/>
          <w:szCs w:val="24"/>
          <w:lang w:val="es-ES"/>
        </w:rPr>
        <w:t xml:space="preserve">administran fondos de terceros, </w:t>
      </w:r>
      <w:r w:rsidRPr="0020225B">
        <w:rPr>
          <w:rFonts w:ascii="Arial Narrow" w:hAnsi="Arial Narrow" w:cs="Arial"/>
          <w:sz w:val="24"/>
          <w:szCs w:val="24"/>
          <w:lang w:val="es-ES"/>
        </w:rPr>
        <w:t>se deberá considerar dentro de sus políticas de manejo de conflictos de interés</w:t>
      </w:r>
      <w:r>
        <w:rPr>
          <w:rFonts w:ascii="Arial Narrow" w:hAnsi="Arial Narrow" w:cs="Arial"/>
          <w:sz w:val="24"/>
          <w:szCs w:val="24"/>
          <w:lang w:val="es-ES"/>
        </w:rPr>
        <w:t>, como mínimo</w:t>
      </w:r>
      <w:r w:rsidRPr="0020225B">
        <w:rPr>
          <w:rFonts w:ascii="Arial Narrow" w:hAnsi="Arial Narrow" w:cs="Arial"/>
          <w:sz w:val="24"/>
          <w:szCs w:val="24"/>
          <w:lang w:val="es-ES"/>
        </w:rPr>
        <w:t xml:space="preserve"> los aspectos siguientes: </w:t>
      </w:r>
    </w:p>
    <w:p w14:paraId="74C2DC43" w14:textId="2E07C3CB" w:rsidR="0092768C" w:rsidRDefault="0092768C" w:rsidP="0092768C">
      <w:pPr>
        <w:numPr>
          <w:ilvl w:val="0"/>
          <w:numId w:val="8"/>
        </w:numPr>
        <w:autoSpaceDE w:val="0"/>
        <w:autoSpaceDN w:val="0"/>
        <w:adjustRightInd w:val="0"/>
        <w:spacing w:line="240" w:lineRule="auto"/>
        <w:ind w:left="426" w:hanging="426"/>
        <w:contextualSpacing/>
        <w:jc w:val="both"/>
        <w:rPr>
          <w:rFonts w:ascii="Arial Narrow" w:hAnsi="Arial Narrow" w:cs="Arial"/>
          <w:sz w:val="24"/>
          <w:szCs w:val="24"/>
          <w:lang w:val="es-ES"/>
        </w:rPr>
      </w:pPr>
      <w:r w:rsidRPr="00655150">
        <w:rPr>
          <w:rFonts w:ascii="Arial Narrow" w:hAnsi="Arial Narrow"/>
          <w:color w:val="000000"/>
          <w:sz w:val="24"/>
          <w:szCs w:val="24"/>
          <w:lang w:val="es-ES"/>
        </w:rPr>
        <w:t xml:space="preserve">Establecer las condiciones para la realización de operaciones por cuenta propia o a título personal de los miembros de la Junta Directiva, Alta Gerencia, Comité de Inversiones, Comité </w:t>
      </w:r>
      <w:r w:rsidRPr="00A46A7A">
        <w:rPr>
          <w:rFonts w:ascii="Arial Narrow" w:hAnsi="Arial Narrow"/>
          <w:color w:val="000000"/>
          <w:sz w:val="24"/>
          <w:szCs w:val="24"/>
          <w:lang w:val="es-ES"/>
        </w:rPr>
        <w:t xml:space="preserve">de Vigilancia, representantes, </w:t>
      </w:r>
      <w:r w:rsidRPr="00A46A7A">
        <w:rPr>
          <w:rFonts w:ascii="Arial Narrow" w:hAnsi="Arial Narrow"/>
          <w:sz w:val="24"/>
          <w:szCs w:val="24"/>
          <w:lang w:val="es-ES"/>
        </w:rPr>
        <w:t>comités de riesgos</w:t>
      </w:r>
      <w:r w:rsidRPr="00A46A7A">
        <w:rPr>
          <w:rFonts w:ascii="Arial Narrow" w:hAnsi="Arial Narrow"/>
          <w:color w:val="000000"/>
          <w:sz w:val="24"/>
          <w:szCs w:val="24"/>
          <w:lang w:val="es-ES"/>
        </w:rPr>
        <w:t>, personas relacionadas y empleados de la entidad sobre los activos financieros</w:t>
      </w:r>
      <w:r w:rsidRPr="00655150">
        <w:rPr>
          <w:rFonts w:ascii="Arial Narrow" w:hAnsi="Arial Narrow"/>
          <w:color w:val="000000"/>
          <w:sz w:val="24"/>
          <w:szCs w:val="24"/>
          <w:lang w:val="es-ES"/>
        </w:rPr>
        <w:t xml:space="preserve"> en los que pueda invertir el fondo administrado, de acuerdo a su política de inversión, así como en la suscripción y rescate de cuotas de participación de los fondos administrados por la entidad. En cuanto a las medidas relativas a la negociación de valores por cuenta propia, estas deben incluir mecanismos de autorización previa de cualq</w:t>
      </w:r>
      <w:r>
        <w:rPr>
          <w:rFonts w:ascii="Arial Narrow" w:hAnsi="Arial Narrow"/>
          <w:color w:val="000000"/>
          <w:sz w:val="24"/>
          <w:szCs w:val="24"/>
          <w:lang w:val="es-ES"/>
        </w:rPr>
        <w:t>uier operación</w:t>
      </w:r>
      <w:r w:rsidRPr="00655150">
        <w:rPr>
          <w:rFonts w:ascii="Arial Narrow" w:hAnsi="Arial Narrow"/>
          <w:color w:val="000000"/>
          <w:sz w:val="24"/>
          <w:szCs w:val="24"/>
          <w:lang w:val="es-ES"/>
        </w:rPr>
        <w:t xml:space="preserve">, así como la fijación de límites para realizar la </w:t>
      </w:r>
      <w:r>
        <w:rPr>
          <w:rFonts w:ascii="Arial Narrow" w:hAnsi="Arial Narrow"/>
          <w:color w:val="000000"/>
          <w:sz w:val="24"/>
          <w:szCs w:val="24"/>
          <w:lang w:val="es-ES"/>
        </w:rPr>
        <w:t>operación</w:t>
      </w:r>
      <w:r>
        <w:rPr>
          <w:rFonts w:ascii="Arial Narrow" w:hAnsi="Arial Narrow" w:cs="Arial"/>
          <w:sz w:val="24"/>
          <w:szCs w:val="24"/>
          <w:lang w:val="es-ES"/>
        </w:rPr>
        <w:t xml:space="preserve">; y </w:t>
      </w:r>
    </w:p>
    <w:p w14:paraId="7288E5AE" w14:textId="77777777" w:rsidR="0092768C" w:rsidRDefault="0092768C" w:rsidP="0092768C">
      <w:pPr>
        <w:numPr>
          <w:ilvl w:val="0"/>
          <w:numId w:val="8"/>
        </w:numPr>
        <w:autoSpaceDE w:val="0"/>
        <w:autoSpaceDN w:val="0"/>
        <w:adjustRightInd w:val="0"/>
        <w:spacing w:line="240" w:lineRule="auto"/>
        <w:ind w:left="426" w:hanging="426"/>
        <w:contextualSpacing/>
        <w:jc w:val="both"/>
        <w:rPr>
          <w:rFonts w:ascii="Arial Narrow" w:hAnsi="Arial Narrow" w:cs="Arial"/>
          <w:sz w:val="24"/>
          <w:szCs w:val="24"/>
          <w:lang w:val="es-ES"/>
        </w:rPr>
      </w:pPr>
      <w:r w:rsidRPr="00776AB6">
        <w:rPr>
          <w:rFonts w:ascii="Arial Narrow" w:hAnsi="Arial Narrow" w:cs="Arial"/>
          <w:sz w:val="24"/>
          <w:szCs w:val="24"/>
          <w:lang w:val="es-ES"/>
        </w:rPr>
        <w:t xml:space="preserve">Establecer las condiciones para la realización de transacciones u operaciones realizadas con los recursos de los fondos administrados </w:t>
      </w:r>
      <w:r>
        <w:rPr>
          <w:rFonts w:ascii="Arial Narrow" w:hAnsi="Arial Narrow" w:cs="Arial"/>
          <w:sz w:val="24"/>
          <w:szCs w:val="24"/>
          <w:lang w:val="es-ES"/>
        </w:rPr>
        <w:t xml:space="preserve">de terceros </w:t>
      </w:r>
      <w:r w:rsidRPr="00776AB6">
        <w:rPr>
          <w:rFonts w:ascii="Arial Narrow" w:hAnsi="Arial Narrow" w:cs="Arial"/>
          <w:sz w:val="24"/>
          <w:szCs w:val="24"/>
          <w:lang w:val="es-ES"/>
        </w:rPr>
        <w:t xml:space="preserve">con sociedades miembros de su conglomerado financiero, grupo empresarial o personas </w:t>
      </w:r>
      <w:r w:rsidRPr="00324F59">
        <w:rPr>
          <w:rFonts w:ascii="Arial Narrow" w:hAnsi="Arial Narrow" w:cs="Arial"/>
          <w:sz w:val="24"/>
          <w:szCs w:val="24"/>
          <w:lang w:val="es-ES"/>
        </w:rPr>
        <w:t xml:space="preserve">relacionadas a la entidad y los mecanismos de asignación de </w:t>
      </w:r>
      <w:r>
        <w:rPr>
          <w:rFonts w:ascii="Arial Narrow" w:hAnsi="Arial Narrow" w:cs="Arial"/>
          <w:sz w:val="24"/>
          <w:szCs w:val="24"/>
          <w:lang w:val="es-ES"/>
        </w:rPr>
        <w:t xml:space="preserve">recursos </w:t>
      </w:r>
      <w:r w:rsidRPr="00324F59">
        <w:rPr>
          <w:rFonts w:ascii="Arial Narrow" w:hAnsi="Arial Narrow" w:cs="Arial"/>
          <w:sz w:val="24"/>
          <w:szCs w:val="24"/>
          <w:lang w:val="es-ES"/>
        </w:rPr>
        <w:t>cuando se administren distintos fondos</w:t>
      </w:r>
      <w:r>
        <w:rPr>
          <w:rFonts w:ascii="Arial Narrow" w:hAnsi="Arial Narrow" w:cs="Arial"/>
          <w:sz w:val="24"/>
          <w:szCs w:val="24"/>
          <w:lang w:val="es-ES"/>
        </w:rPr>
        <w:t xml:space="preserve"> administrados por la entidad.</w:t>
      </w:r>
    </w:p>
    <w:p w14:paraId="08E0416B" w14:textId="77777777" w:rsidR="0092768C" w:rsidRDefault="0092768C" w:rsidP="0092768C">
      <w:pPr>
        <w:autoSpaceDE w:val="0"/>
        <w:autoSpaceDN w:val="0"/>
        <w:adjustRightInd w:val="0"/>
        <w:spacing w:line="240" w:lineRule="auto"/>
        <w:ind w:left="426"/>
        <w:contextualSpacing/>
        <w:jc w:val="both"/>
        <w:rPr>
          <w:rFonts w:ascii="Arial Narrow" w:hAnsi="Arial Narrow" w:cs="Arial"/>
          <w:sz w:val="24"/>
          <w:szCs w:val="24"/>
          <w:lang w:val="es-ES"/>
        </w:rPr>
      </w:pPr>
    </w:p>
    <w:p w14:paraId="1E3A6D6E" w14:textId="77777777" w:rsidR="0092768C" w:rsidRPr="0020225B" w:rsidRDefault="0092768C" w:rsidP="0092768C">
      <w:pPr>
        <w:tabs>
          <w:tab w:val="left" w:pos="567"/>
        </w:tabs>
        <w:spacing w:after="0" w:line="240" w:lineRule="auto"/>
        <w:rPr>
          <w:rFonts w:ascii="Arial Narrow" w:hAnsi="Arial Narrow" w:cs="Arial"/>
          <w:b/>
          <w:sz w:val="24"/>
          <w:szCs w:val="24"/>
          <w:lang w:val="es-ES"/>
        </w:rPr>
      </w:pPr>
      <w:r w:rsidRPr="0020225B">
        <w:rPr>
          <w:rFonts w:ascii="Arial Narrow" w:hAnsi="Arial Narrow" w:cs="Arial"/>
          <w:b/>
          <w:sz w:val="24"/>
          <w:szCs w:val="24"/>
          <w:lang w:val="es-ES"/>
        </w:rPr>
        <w:t>Registro de los Conflictos de Interés</w:t>
      </w:r>
    </w:p>
    <w:p w14:paraId="4284DA58" w14:textId="77777777" w:rsidR="0092768C" w:rsidRDefault="0092768C" w:rsidP="0092768C">
      <w:pPr>
        <w:widowControl w:val="0"/>
        <w:spacing w:after="0" w:line="240" w:lineRule="auto"/>
        <w:jc w:val="both"/>
        <w:rPr>
          <w:rFonts w:ascii="Arial Narrow" w:hAnsi="Arial Narrow" w:cs="Arial"/>
          <w:b/>
          <w:sz w:val="24"/>
          <w:szCs w:val="24"/>
          <w:lang w:val="es-ES"/>
        </w:rPr>
      </w:pPr>
      <w:r>
        <w:rPr>
          <w:rFonts w:ascii="Arial Narrow" w:hAnsi="Arial Narrow" w:cs="Arial"/>
          <w:b/>
          <w:sz w:val="24"/>
          <w:szCs w:val="24"/>
          <w:lang w:val="es-ES"/>
        </w:rPr>
        <w:t>Art. 12</w:t>
      </w:r>
      <w:r w:rsidRPr="0020225B">
        <w:rPr>
          <w:rFonts w:ascii="Arial Narrow" w:hAnsi="Arial Narrow" w:cs="Arial"/>
          <w:b/>
          <w:sz w:val="24"/>
          <w:szCs w:val="24"/>
          <w:lang w:val="es-ES"/>
        </w:rPr>
        <w:t xml:space="preserve">.- </w:t>
      </w:r>
      <w:r w:rsidRPr="005D5852">
        <w:rPr>
          <w:rFonts w:ascii="Arial Narrow" w:hAnsi="Arial Narrow"/>
          <w:color w:val="000000"/>
          <w:sz w:val="24"/>
          <w:szCs w:val="24"/>
          <w:lang w:val="es-ES"/>
        </w:rPr>
        <w:t xml:space="preserve">La </w:t>
      </w:r>
      <w:r w:rsidRPr="00F13A1C">
        <w:rPr>
          <w:rFonts w:ascii="Arial Narrow" w:hAnsi="Arial Narrow"/>
          <w:sz w:val="24"/>
          <w:szCs w:val="24"/>
          <w:lang w:val="es-ES"/>
        </w:rPr>
        <w:t>entidad llevará un registro actualizado,</w:t>
      </w:r>
      <w:r w:rsidRPr="00F13A1C">
        <w:rPr>
          <w:rFonts w:ascii="Arial Narrow" w:hAnsi="Arial Narrow"/>
          <w:b/>
          <w:sz w:val="24"/>
          <w:szCs w:val="24"/>
          <w:lang w:val="es-ES"/>
        </w:rPr>
        <w:t xml:space="preserve"> </w:t>
      </w:r>
      <w:r w:rsidRPr="00F13A1C">
        <w:rPr>
          <w:rFonts w:ascii="Arial Narrow" w:hAnsi="Arial Narrow"/>
          <w:sz w:val="24"/>
          <w:szCs w:val="24"/>
          <w:lang w:val="es-ES"/>
        </w:rPr>
        <w:t xml:space="preserve">el cual podrá ser centralizado o descentralizado, de los conflictos de interés que se presenten en la entidad. En el registro </w:t>
      </w:r>
      <w:r w:rsidRPr="005D5852">
        <w:rPr>
          <w:rFonts w:ascii="Arial Narrow" w:hAnsi="Arial Narrow"/>
          <w:color w:val="000000"/>
          <w:sz w:val="24"/>
          <w:szCs w:val="24"/>
          <w:lang w:val="es-ES"/>
        </w:rPr>
        <w:t>quedará constancia de manera clara y numerada correlativamente la información siguiente</w:t>
      </w:r>
      <w:r w:rsidRPr="00C56ECA">
        <w:rPr>
          <w:rFonts w:ascii="Arial Narrow" w:hAnsi="Arial Narrow"/>
          <w:color w:val="000000"/>
          <w:lang w:val="es-ES"/>
        </w:rPr>
        <w:t>:</w:t>
      </w:r>
    </w:p>
    <w:p w14:paraId="7DB94372"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La i</w:t>
      </w:r>
      <w:r>
        <w:rPr>
          <w:rFonts w:ascii="Arial Narrow" w:hAnsi="Arial Narrow" w:cs="Arial"/>
          <w:sz w:val="24"/>
          <w:szCs w:val="24"/>
          <w:lang w:val="es-ES"/>
        </w:rPr>
        <w:t>dentidad de las personas</w:t>
      </w:r>
      <w:r w:rsidRPr="0020225B">
        <w:rPr>
          <w:rFonts w:ascii="Arial Narrow" w:hAnsi="Arial Narrow" w:cs="Arial"/>
          <w:sz w:val="24"/>
          <w:szCs w:val="24"/>
          <w:lang w:val="es-ES"/>
        </w:rPr>
        <w:t xml:space="preserve"> que han estado expuestas al conflicto de interés; </w:t>
      </w:r>
    </w:p>
    <w:p w14:paraId="475D78AE"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El departamento o áreas implicadas en el conflicto de interés; </w:t>
      </w:r>
    </w:p>
    <w:p w14:paraId="67EB863F"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Fecha en la que se originó el conflicto; </w:t>
      </w:r>
    </w:p>
    <w:p w14:paraId="518A1353" w14:textId="77777777" w:rsidR="0092768C"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Motivo de la aparición del conflicto y descripción detallada de la situación; </w:t>
      </w:r>
    </w:p>
    <w:p w14:paraId="39143B55"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9D64E4">
        <w:rPr>
          <w:rFonts w:ascii="Arial Narrow" w:hAnsi="Arial Narrow" w:cs="Arial"/>
          <w:sz w:val="24"/>
          <w:szCs w:val="24"/>
          <w:lang w:val="es-ES"/>
        </w:rPr>
        <w:t>Documentos que prueben el conflicto</w:t>
      </w:r>
      <w:r w:rsidRPr="00F71070">
        <w:rPr>
          <w:rFonts w:ascii="Arial Narrow" w:hAnsi="Arial Narrow" w:cs="Arial"/>
          <w:sz w:val="24"/>
          <w:szCs w:val="24"/>
          <w:lang w:val="es-ES"/>
        </w:rPr>
        <w:t xml:space="preserve">; </w:t>
      </w:r>
    </w:p>
    <w:p w14:paraId="58350019"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Instrumentos o servicios financieros a los que hace referencia el conflicto; </w:t>
      </w:r>
    </w:p>
    <w:p w14:paraId="04519F38"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Descripción del proceso de gestión, minimización o, en su caso, subsanación de la situación; </w:t>
      </w:r>
    </w:p>
    <w:p w14:paraId="4A55DC8B"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Fecha de subsanación de conflictos de interés; </w:t>
      </w:r>
      <w:r>
        <w:rPr>
          <w:rFonts w:ascii="Arial Narrow" w:hAnsi="Arial Narrow" w:cs="Arial"/>
          <w:sz w:val="24"/>
          <w:szCs w:val="24"/>
          <w:lang w:val="es-ES"/>
        </w:rPr>
        <w:t>e</w:t>
      </w:r>
      <w:r w:rsidRPr="0020225B">
        <w:rPr>
          <w:rFonts w:ascii="Arial Narrow" w:hAnsi="Arial Narrow" w:cs="Arial"/>
          <w:sz w:val="24"/>
          <w:szCs w:val="24"/>
          <w:lang w:val="es-ES"/>
        </w:rPr>
        <w:t xml:space="preserve"> </w:t>
      </w:r>
    </w:p>
    <w:p w14:paraId="5AFA98FC" w14:textId="77777777" w:rsidR="0092768C" w:rsidRPr="0020225B" w:rsidRDefault="0092768C" w:rsidP="0092768C">
      <w:pPr>
        <w:numPr>
          <w:ilvl w:val="0"/>
          <w:numId w:val="13"/>
        </w:numPr>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 xml:space="preserve">Estimación de los daños o perjuicios ocasionados a los clientes, cuando </w:t>
      </w:r>
      <w:r>
        <w:rPr>
          <w:rFonts w:ascii="Arial Narrow" w:hAnsi="Arial Narrow" w:cs="Arial"/>
          <w:sz w:val="24"/>
          <w:szCs w:val="24"/>
          <w:lang w:val="es-ES"/>
        </w:rPr>
        <w:t>e</w:t>
      </w:r>
      <w:r w:rsidRPr="0020225B">
        <w:rPr>
          <w:rFonts w:ascii="Arial Narrow" w:hAnsi="Arial Narrow" w:cs="Arial"/>
          <w:sz w:val="24"/>
          <w:szCs w:val="24"/>
          <w:lang w:val="es-ES"/>
        </w:rPr>
        <w:t xml:space="preserve">sto fuere aplicable. </w:t>
      </w:r>
    </w:p>
    <w:p w14:paraId="5ACBE93E"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p>
    <w:p w14:paraId="5BBFC65D"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CAPÍTULO IV</w:t>
      </w:r>
    </w:p>
    <w:p w14:paraId="6729CBA1"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POL</w:t>
      </w:r>
      <w:r>
        <w:rPr>
          <w:rFonts w:ascii="Arial Narrow" w:hAnsi="Arial Narrow" w:cs="Arial"/>
          <w:b/>
          <w:sz w:val="24"/>
          <w:szCs w:val="24"/>
          <w:lang w:val="es-ES"/>
        </w:rPr>
        <w:t>Í</w:t>
      </w:r>
      <w:r w:rsidRPr="0020225B">
        <w:rPr>
          <w:rFonts w:ascii="Arial Narrow" w:hAnsi="Arial Narrow" w:cs="Arial"/>
          <w:b/>
          <w:sz w:val="24"/>
          <w:szCs w:val="24"/>
          <w:lang w:val="es-ES"/>
        </w:rPr>
        <w:t>TICAS DE PREVENCIÓN DEL USO DE INFORMACIÓN PRIVILEGIADA</w:t>
      </w:r>
    </w:p>
    <w:p w14:paraId="4975C444" w14:textId="77777777" w:rsidR="0092768C" w:rsidRDefault="0092768C" w:rsidP="0092768C">
      <w:pPr>
        <w:tabs>
          <w:tab w:val="left" w:pos="567"/>
        </w:tabs>
        <w:spacing w:after="0" w:line="240" w:lineRule="auto"/>
        <w:rPr>
          <w:rFonts w:ascii="Arial Narrow" w:hAnsi="Arial Narrow" w:cs="Arial"/>
          <w:b/>
          <w:sz w:val="24"/>
          <w:szCs w:val="24"/>
          <w:lang w:val="es-ES"/>
        </w:rPr>
      </w:pPr>
    </w:p>
    <w:p w14:paraId="45F74A4E" w14:textId="77777777" w:rsidR="0092768C" w:rsidRPr="0020225B" w:rsidRDefault="0092768C" w:rsidP="0092768C">
      <w:pPr>
        <w:tabs>
          <w:tab w:val="left" w:pos="567"/>
        </w:tabs>
        <w:spacing w:after="0" w:line="240" w:lineRule="auto"/>
        <w:rPr>
          <w:rFonts w:ascii="Arial Narrow" w:hAnsi="Arial Narrow" w:cs="Arial"/>
          <w:b/>
          <w:sz w:val="24"/>
          <w:szCs w:val="24"/>
          <w:lang w:val="es-ES"/>
        </w:rPr>
      </w:pPr>
    </w:p>
    <w:p w14:paraId="3AEA77DD"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Información privilegiada</w:t>
      </w:r>
    </w:p>
    <w:p w14:paraId="500537D8" w14:textId="77777777" w:rsidR="0092768C" w:rsidRPr="0020225B" w:rsidRDefault="0092768C" w:rsidP="0092768C">
      <w:pPr>
        <w:tabs>
          <w:tab w:val="left" w:pos="567"/>
        </w:tabs>
        <w:spacing w:after="0" w:line="240" w:lineRule="auto"/>
        <w:jc w:val="both"/>
        <w:rPr>
          <w:rFonts w:ascii="Arial Narrow" w:hAnsi="Arial Narrow" w:cs="Arial"/>
          <w:sz w:val="24"/>
          <w:szCs w:val="24"/>
          <w:lang w:val="es-ES"/>
        </w:rPr>
      </w:pPr>
      <w:r>
        <w:rPr>
          <w:rFonts w:ascii="Arial Narrow" w:hAnsi="Arial Narrow" w:cs="Arial"/>
          <w:b/>
          <w:sz w:val="24"/>
          <w:szCs w:val="24"/>
          <w:lang w:val="es-ES"/>
        </w:rPr>
        <w:t>Art. 13</w:t>
      </w:r>
      <w:r w:rsidRPr="0020225B">
        <w:rPr>
          <w:rFonts w:ascii="Arial Narrow" w:hAnsi="Arial Narrow" w:cs="Arial"/>
          <w:b/>
          <w:sz w:val="24"/>
          <w:szCs w:val="24"/>
          <w:lang w:val="es-ES"/>
        </w:rPr>
        <w:t xml:space="preserve">.- </w:t>
      </w:r>
      <w:r w:rsidRPr="0020225B">
        <w:rPr>
          <w:rFonts w:ascii="Arial Narrow" w:hAnsi="Arial Narrow" w:cs="Arial"/>
          <w:sz w:val="24"/>
          <w:szCs w:val="24"/>
          <w:lang w:val="es-ES"/>
        </w:rPr>
        <w:t xml:space="preserve">Se entiende por información privilegiada cualquier información concreta referida a la entidad, a sus negocios, fondos que administre o a los valores que </w:t>
      </w:r>
      <w:r>
        <w:rPr>
          <w:rFonts w:ascii="Arial Narrow" w:hAnsi="Arial Narrow" w:cs="Arial"/>
          <w:sz w:val="24"/>
          <w:szCs w:val="24"/>
          <w:lang w:val="es-ES"/>
        </w:rPr>
        <w:t>e</w:t>
      </w:r>
      <w:r w:rsidRPr="0020225B">
        <w:rPr>
          <w:rFonts w:ascii="Arial Narrow" w:hAnsi="Arial Narrow" w:cs="Arial"/>
          <w:sz w:val="24"/>
          <w:szCs w:val="24"/>
          <w:lang w:val="es-ES"/>
        </w:rPr>
        <w:t xml:space="preserve">sta emita, que no haya sido divulgada al mercado, y cuyo conocimiento, por su </w:t>
      </w:r>
      <w:r w:rsidRPr="0020225B">
        <w:rPr>
          <w:rFonts w:ascii="Arial Narrow" w:hAnsi="Arial Narrow" w:cs="Arial"/>
          <w:sz w:val="24"/>
          <w:szCs w:val="24"/>
          <w:lang w:val="es-ES"/>
        </w:rPr>
        <w:lastRenderedPageBreak/>
        <w:t xml:space="preserve">naturaleza, sea capaz de influir en los negocios o resultados de la entidad, en el comportamiento de los fondos administrados, así como en el precio o cotización de los valores emitidos o cuotas de participación de los </w:t>
      </w:r>
      <w:r>
        <w:rPr>
          <w:rFonts w:ascii="Arial Narrow" w:hAnsi="Arial Narrow" w:cs="Arial"/>
          <w:sz w:val="24"/>
          <w:szCs w:val="24"/>
          <w:lang w:val="es-ES"/>
        </w:rPr>
        <w:t>F</w:t>
      </w:r>
      <w:r w:rsidRPr="0020225B">
        <w:rPr>
          <w:rFonts w:ascii="Arial Narrow" w:hAnsi="Arial Narrow" w:cs="Arial"/>
          <w:sz w:val="24"/>
          <w:szCs w:val="24"/>
          <w:lang w:val="es-ES"/>
        </w:rPr>
        <w:t xml:space="preserve">ondos de </w:t>
      </w:r>
      <w:r>
        <w:rPr>
          <w:rFonts w:ascii="Arial Narrow" w:hAnsi="Arial Narrow" w:cs="Arial"/>
          <w:sz w:val="24"/>
          <w:szCs w:val="24"/>
          <w:lang w:val="es-ES"/>
        </w:rPr>
        <w:t>I</w:t>
      </w:r>
      <w:r w:rsidRPr="0020225B">
        <w:rPr>
          <w:rFonts w:ascii="Arial Narrow" w:hAnsi="Arial Narrow" w:cs="Arial"/>
          <w:sz w:val="24"/>
          <w:szCs w:val="24"/>
          <w:lang w:val="es-ES"/>
        </w:rPr>
        <w:t xml:space="preserve">nversión administrados por la entidad. </w:t>
      </w:r>
    </w:p>
    <w:p w14:paraId="733C3C26" w14:textId="77777777" w:rsidR="0092768C" w:rsidRPr="0020225B" w:rsidRDefault="0092768C" w:rsidP="0092768C">
      <w:pPr>
        <w:tabs>
          <w:tab w:val="left" w:pos="567"/>
        </w:tabs>
        <w:spacing w:after="0" w:line="240" w:lineRule="auto"/>
        <w:jc w:val="both"/>
        <w:rPr>
          <w:rFonts w:ascii="Arial Narrow" w:hAnsi="Arial Narrow" w:cs="Arial"/>
          <w:sz w:val="24"/>
          <w:szCs w:val="24"/>
          <w:lang w:val="es-ES"/>
        </w:rPr>
      </w:pPr>
    </w:p>
    <w:p w14:paraId="68DC601C" w14:textId="77777777" w:rsidR="0092768C" w:rsidRPr="0020225B" w:rsidRDefault="0092768C" w:rsidP="0092768C">
      <w:pPr>
        <w:tabs>
          <w:tab w:val="left" w:pos="567"/>
        </w:tabs>
        <w:spacing w:after="0" w:line="240" w:lineRule="auto"/>
        <w:jc w:val="both"/>
        <w:rPr>
          <w:rFonts w:ascii="Arial Narrow" w:hAnsi="Arial Narrow" w:cs="Arial"/>
          <w:sz w:val="24"/>
          <w:szCs w:val="24"/>
          <w:lang w:val="es-ES"/>
        </w:rPr>
      </w:pPr>
      <w:r w:rsidRPr="003F41BF">
        <w:rPr>
          <w:rFonts w:ascii="Arial Narrow" w:hAnsi="Arial Narrow" w:cs="Arial"/>
          <w:sz w:val="24"/>
          <w:szCs w:val="24"/>
          <w:lang w:val="es-ES"/>
        </w:rPr>
        <w:t xml:space="preserve">No obstante lo anterior, para que la información pueda ser calificada como concreta no es necesario que todos los detalles de una operación estén definidos, pero sí que se trate de información precisa de la que se puede concluir razonablemente un posible impacto en los precios o cotizaciones de los valores. </w:t>
      </w:r>
    </w:p>
    <w:p w14:paraId="695FF7FF"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21B9EC12"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 xml:space="preserve">Políticas de prevención del uso de información privilegiada </w:t>
      </w:r>
    </w:p>
    <w:p w14:paraId="74A240BC" w14:textId="77777777" w:rsidR="0092768C" w:rsidRPr="0020225B" w:rsidRDefault="0092768C" w:rsidP="0092768C">
      <w:pPr>
        <w:tabs>
          <w:tab w:val="left" w:pos="567"/>
        </w:tabs>
        <w:spacing w:after="0" w:line="240" w:lineRule="auto"/>
        <w:jc w:val="both"/>
        <w:rPr>
          <w:rFonts w:ascii="Arial Narrow" w:hAnsi="Arial Narrow" w:cs="Arial"/>
          <w:sz w:val="24"/>
          <w:szCs w:val="24"/>
          <w:lang w:val="es-ES"/>
        </w:rPr>
      </w:pPr>
      <w:r w:rsidRPr="00E158AB">
        <w:rPr>
          <w:rFonts w:ascii="Arial Narrow" w:hAnsi="Arial Narrow" w:cs="Arial"/>
          <w:b/>
          <w:sz w:val="24"/>
          <w:szCs w:val="24"/>
          <w:lang w:val="es-ES"/>
        </w:rPr>
        <w:t>Art. 1</w:t>
      </w:r>
      <w:r>
        <w:rPr>
          <w:rFonts w:ascii="Arial Narrow" w:hAnsi="Arial Narrow" w:cs="Arial"/>
          <w:b/>
          <w:sz w:val="24"/>
          <w:szCs w:val="24"/>
          <w:lang w:val="es-ES"/>
        </w:rPr>
        <w:t>4</w:t>
      </w:r>
      <w:r w:rsidRPr="00324F59">
        <w:rPr>
          <w:rFonts w:ascii="Arial Narrow" w:hAnsi="Arial Narrow" w:cs="Arial"/>
          <w:b/>
          <w:sz w:val="24"/>
          <w:szCs w:val="24"/>
          <w:lang w:val="es-ES"/>
        </w:rPr>
        <w:t>.-</w:t>
      </w:r>
      <w:r w:rsidRPr="00324F59">
        <w:rPr>
          <w:rFonts w:ascii="Arial Narrow" w:hAnsi="Arial Narrow" w:cs="Arial"/>
          <w:sz w:val="24"/>
          <w:szCs w:val="24"/>
          <w:lang w:val="es-ES"/>
        </w:rPr>
        <w:t xml:space="preserve"> Las entidades deberán desarrollar en el Código de Ética o de Conducta las políticas para la prevención de uso de información privilegiada, la</w:t>
      </w:r>
      <w:r>
        <w:rPr>
          <w:rFonts w:ascii="Arial Narrow" w:hAnsi="Arial Narrow" w:cs="Arial"/>
          <w:sz w:val="24"/>
          <w:szCs w:val="24"/>
          <w:lang w:val="es-ES"/>
        </w:rPr>
        <w:t>s</w:t>
      </w:r>
      <w:r w:rsidRPr="00324F59">
        <w:rPr>
          <w:rFonts w:ascii="Arial Narrow" w:hAnsi="Arial Narrow" w:cs="Arial"/>
          <w:sz w:val="24"/>
          <w:szCs w:val="24"/>
          <w:lang w:val="es-ES"/>
        </w:rPr>
        <w:t xml:space="preserve"> cuales deberán establecer los procedimientos </w:t>
      </w:r>
      <w:r>
        <w:rPr>
          <w:rFonts w:ascii="Arial Narrow" w:hAnsi="Arial Narrow" w:cs="Arial"/>
          <w:sz w:val="24"/>
          <w:szCs w:val="24"/>
          <w:lang w:val="es-ES"/>
        </w:rPr>
        <w:t>que permitan el flujo controlado de información calificada como privilegiada hacia</w:t>
      </w:r>
      <w:r w:rsidRPr="0020225B">
        <w:rPr>
          <w:rFonts w:ascii="Arial Narrow" w:hAnsi="Arial Narrow" w:cs="Arial"/>
          <w:sz w:val="24"/>
          <w:szCs w:val="24"/>
          <w:lang w:val="es-ES"/>
        </w:rPr>
        <w:t xml:space="preserve"> cualquier otra persona o área de la entidad, grupo de interés o terceros. </w:t>
      </w:r>
    </w:p>
    <w:p w14:paraId="0F9A501B" w14:textId="77777777" w:rsidR="0092768C" w:rsidRPr="0020225B" w:rsidRDefault="0092768C" w:rsidP="0092768C">
      <w:pPr>
        <w:tabs>
          <w:tab w:val="left" w:pos="567"/>
        </w:tabs>
        <w:spacing w:after="0" w:line="240" w:lineRule="auto"/>
        <w:jc w:val="both"/>
        <w:rPr>
          <w:rFonts w:ascii="Arial Narrow" w:hAnsi="Arial Narrow" w:cs="Arial"/>
          <w:sz w:val="24"/>
          <w:szCs w:val="24"/>
          <w:lang w:val="es-ES"/>
        </w:rPr>
      </w:pPr>
    </w:p>
    <w:p w14:paraId="2DFFCD30" w14:textId="77777777" w:rsidR="0092768C" w:rsidRDefault="0092768C" w:rsidP="0092768C">
      <w:pPr>
        <w:tabs>
          <w:tab w:val="left" w:pos="709"/>
        </w:tabs>
        <w:spacing w:after="120" w:line="240" w:lineRule="auto"/>
        <w:jc w:val="both"/>
        <w:rPr>
          <w:rFonts w:ascii="Arial Narrow" w:hAnsi="Arial Narrow" w:cs="Arial"/>
          <w:sz w:val="24"/>
          <w:szCs w:val="24"/>
          <w:lang w:val="es-ES"/>
        </w:rPr>
      </w:pPr>
      <w:r w:rsidRPr="00B859AB">
        <w:rPr>
          <w:rFonts w:ascii="Arial Narrow" w:hAnsi="Arial Narrow" w:cs="Arial"/>
          <w:sz w:val="24"/>
          <w:szCs w:val="24"/>
          <w:lang w:val="es-ES"/>
        </w:rPr>
        <w:t xml:space="preserve">Las políticas de prevención del uso de información privilegiada deberán contener, como mínimo, lo siguiente: </w:t>
      </w:r>
    </w:p>
    <w:p w14:paraId="496F78D0" w14:textId="1EE127E9" w:rsidR="0092768C" w:rsidRPr="0020225B" w:rsidRDefault="0092768C" w:rsidP="0092768C">
      <w:pPr>
        <w:numPr>
          <w:ilvl w:val="0"/>
          <w:numId w:val="1"/>
        </w:numPr>
        <w:tabs>
          <w:tab w:val="left" w:pos="567"/>
        </w:tabs>
        <w:spacing w:line="240" w:lineRule="auto"/>
        <w:ind w:left="425" w:hanging="425"/>
        <w:contextualSpacing/>
        <w:jc w:val="both"/>
        <w:rPr>
          <w:rFonts w:ascii="Arial Narrow" w:hAnsi="Arial Narrow"/>
          <w:sz w:val="24"/>
          <w:szCs w:val="24"/>
          <w:lang w:val="es-ES"/>
        </w:rPr>
      </w:pPr>
      <w:r w:rsidRPr="0020225B">
        <w:rPr>
          <w:rFonts w:ascii="Arial Narrow" w:hAnsi="Arial Narrow" w:cs="Arial"/>
          <w:sz w:val="24"/>
          <w:szCs w:val="24"/>
          <w:lang w:val="es-ES"/>
        </w:rPr>
        <w:t>Identificación de la información privilegiada que genere la entidad o a la que pueda tener</w:t>
      </w:r>
      <w:r w:rsidR="0029347D">
        <w:rPr>
          <w:rFonts w:ascii="Arial Narrow" w:hAnsi="Arial Narrow" w:cs="Arial"/>
          <w:sz w:val="24"/>
          <w:szCs w:val="24"/>
          <w:lang w:val="es-ES"/>
        </w:rPr>
        <w:t xml:space="preserve"> </w:t>
      </w:r>
      <w:r>
        <w:rPr>
          <w:rFonts w:ascii="Arial Narrow" w:hAnsi="Arial Narrow" w:cs="Arial"/>
          <w:sz w:val="24"/>
          <w:szCs w:val="24"/>
          <w:lang w:val="es-ES"/>
        </w:rPr>
        <w:t xml:space="preserve"> acceso </w:t>
      </w:r>
      <w:r w:rsidR="0029347D" w:rsidRPr="00FF2721">
        <w:rPr>
          <w:rFonts w:ascii="Arial Narrow" w:hAnsi="Arial Narrow" w:cs="Arial"/>
          <w:color w:val="000000" w:themeColor="text1"/>
          <w:sz w:val="24"/>
          <w:szCs w:val="24"/>
          <w:lang w:val="es-ES"/>
        </w:rPr>
        <w:t>l</w:t>
      </w:r>
      <w:r w:rsidR="00FF2721" w:rsidRPr="00FF2721">
        <w:rPr>
          <w:rFonts w:ascii="Arial Narrow" w:hAnsi="Arial Narrow" w:cs="Arial"/>
          <w:color w:val="000000" w:themeColor="text1"/>
          <w:sz w:val="24"/>
          <w:szCs w:val="24"/>
          <w:lang w:val="es-ES"/>
        </w:rPr>
        <w:t>os empleados o funcionarios</w:t>
      </w:r>
      <w:r w:rsidR="00FF2721" w:rsidRPr="00FF2721">
        <w:rPr>
          <w:rFonts w:ascii="Arial Narrow" w:hAnsi="Arial Narrow" w:cs="Arial"/>
          <w:b/>
          <w:color w:val="000000" w:themeColor="text1"/>
          <w:sz w:val="24"/>
          <w:szCs w:val="24"/>
          <w:lang w:val="es-ES"/>
        </w:rPr>
        <w:t xml:space="preserve"> </w:t>
      </w:r>
      <w:r>
        <w:rPr>
          <w:rFonts w:ascii="Arial Narrow" w:hAnsi="Arial Narrow" w:cs="Arial"/>
          <w:sz w:val="24"/>
          <w:szCs w:val="24"/>
          <w:lang w:val="es-ES"/>
        </w:rPr>
        <w:t>en relación a</w:t>
      </w:r>
      <w:r w:rsidR="00FF2721">
        <w:rPr>
          <w:rFonts w:ascii="Arial Narrow" w:hAnsi="Arial Narrow" w:cs="Arial"/>
          <w:sz w:val="24"/>
          <w:szCs w:val="24"/>
          <w:lang w:val="es-ES"/>
        </w:rPr>
        <w:t xml:space="preserve"> </w:t>
      </w:r>
      <w:r>
        <w:rPr>
          <w:rFonts w:ascii="Arial Narrow" w:hAnsi="Arial Narrow" w:cs="Arial"/>
          <w:sz w:val="24"/>
          <w:szCs w:val="24"/>
          <w:lang w:val="es-ES"/>
        </w:rPr>
        <w:t>l</w:t>
      </w:r>
      <w:r w:rsidR="00FF2721">
        <w:rPr>
          <w:rFonts w:ascii="Arial Narrow" w:hAnsi="Arial Narrow" w:cs="Arial"/>
          <w:sz w:val="24"/>
          <w:szCs w:val="24"/>
          <w:lang w:val="es-ES"/>
        </w:rPr>
        <w:t>a</w:t>
      </w:r>
      <w:r>
        <w:rPr>
          <w:rFonts w:ascii="Arial Narrow" w:hAnsi="Arial Narrow" w:cs="Arial"/>
          <w:sz w:val="24"/>
          <w:szCs w:val="24"/>
          <w:lang w:val="es-ES"/>
        </w:rPr>
        <w:t xml:space="preserve"> </w:t>
      </w:r>
      <w:r w:rsidR="00FF2721">
        <w:rPr>
          <w:rFonts w:ascii="Arial Narrow" w:hAnsi="Arial Narrow" w:cs="Arial"/>
          <w:sz w:val="24"/>
          <w:szCs w:val="24"/>
          <w:lang w:val="es-ES"/>
        </w:rPr>
        <w:t>entidad</w:t>
      </w:r>
      <w:r>
        <w:rPr>
          <w:rFonts w:ascii="Arial Narrow" w:hAnsi="Arial Narrow" w:cs="Arial"/>
          <w:sz w:val="24"/>
          <w:szCs w:val="24"/>
          <w:lang w:val="es-ES"/>
        </w:rPr>
        <w:t xml:space="preserve">; </w:t>
      </w:r>
    </w:p>
    <w:p w14:paraId="547A9D40" w14:textId="77777777" w:rsidR="0092768C" w:rsidRPr="0020225B" w:rsidRDefault="0092768C" w:rsidP="0092768C">
      <w:pPr>
        <w:numPr>
          <w:ilvl w:val="0"/>
          <w:numId w:val="1"/>
        </w:numPr>
        <w:tabs>
          <w:tab w:val="left" w:pos="567"/>
        </w:tabs>
        <w:spacing w:line="240" w:lineRule="auto"/>
        <w:ind w:left="425" w:hanging="425"/>
        <w:contextualSpacing/>
        <w:jc w:val="both"/>
        <w:rPr>
          <w:rFonts w:ascii="Arial Narrow" w:hAnsi="Arial Narrow" w:cs="Arial"/>
          <w:sz w:val="24"/>
          <w:szCs w:val="24"/>
          <w:lang w:val="es-ES"/>
        </w:rPr>
      </w:pPr>
      <w:r>
        <w:rPr>
          <w:rFonts w:ascii="Arial Narrow" w:hAnsi="Arial Narrow" w:cs="Arial"/>
          <w:sz w:val="24"/>
          <w:szCs w:val="24"/>
          <w:lang w:val="es-ES"/>
        </w:rPr>
        <w:t>M</w:t>
      </w:r>
      <w:r w:rsidRPr="0020225B">
        <w:rPr>
          <w:rFonts w:ascii="Arial Narrow" w:hAnsi="Arial Narrow" w:cs="Arial"/>
          <w:sz w:val="24"/>
          <w:szCs w:val="24"/>
          <w:lang w:val="es-ES"/>
        </w:rPr>
        <w:t>edidas de seguridad para la custodia, generación de la información, archivo, acceso, reproducción y distribución</w:t>
      </w:r>
      <w:r>
        <w:rPr>
          <w:rFonts w:ascii="Arial Narrow" w:hAnsi="Arial Narrow" w:cs="Arial"/>
          <w:sz w:val="24"/>
          <w:szCs w:val="24"/>
          <w:lang w:val="es-ES"/>
        </w:rPr>
        <w:t xml:space="preserve"> de la información</w:t>
      </w:r>
      <w:r w:rsidRPr="0020225B">
        <w:rPr>
          <w:rFonts w:ascii="Arial Narrow" w:hAnsi="Arial Narrow" w:cs="Arial"/>
          <w:sz w:val="24"/>
          <w:szCs w:val="24"/>
          <w:lang w:val="es-ES"/>
        </w:rPr>
        <w:t>;</w:t>
      </w:r>
      <w:r>
        <w:rPr>
          <w:rFonts w:ascii="Arial Narrow" w:hAnsi="Arial Narrow" w:cs="Arial"/>
          <w:sz w:val="24"/>
          <w:szCs w:val="24"/>
          <w:lang w:val="es-ES"/>
        </w:rPr>
        <w:t xml:space="preserve"> </w:t>
      </w:r>
    </w:p>
    <w:p w14:paraId="7EEF8A58" w14:textId="77777777" w:rsidR="0092768C" w:rsidRPr="0020225B" w:rsidRDefault="0092768C" w:rsidP="0092768C">
      <w:pPr>
        <w:numPr>
          <w:ilvl w:val="0"/>
          <w:numId w:val="1"/>
        </w:numPr>
        <w:tabs>
          <w:tab w:val="left" w:pos="567"/>
        </w:tabs>
        <w:spacing w:line="240" w:lineRule="auto"/>
        <w:ind w:left="425" w:hanging="425"/>
        <w:contextualSpacing/>
        <w:jc w:val="both"/>
        <w:rPr>
          <w:rFonts w:ascii="Arial Narrow" w:hAnsi="Arial Narrow" w:cs="Arial"/>
          <w:sz w:val="24"/>
          <w:szCs w:val="24"/>
          <w:lang w:val="es-ES"/>
        </w:rPr>
      </w:pPr>
      <w:r>
        <w:rPr>
          <w:rFonts w:ascii="Arial Narrow" w:hAnsi="Arial Narrow" w:cs="Arial"/>
          <w:sz w:val="24"/>
          <w:szCs w:val="24"/>
          <w:lang w:val="es-ES"/>
        </w:rPr>
        <w:t>M</w:t>
      </w:r>
      <w:r w:rsidRPr="0020225B">
        <w:rPr>
          <w:rFonts w:ascii="Arial Narrow" w:hAnsi="Arial Narrow" w:cs="Arial"/>
          <w:sz w:val="24"/>
          <w:szCs w:val="24"/>
          <w:lang w:val="es-ES"/>
        </w:rPr>
        <w:t>ecanismos para que la información privilegiada se comunique únicamente a las personas a las que les sea imprescindible su conocimiento, previa advertencia de que se trata de información de esa naturaleza, y de la prohibición de su uso o comunicación a terceros;</w:t>
      </w:r>
    </w:p>
    <w:p w14:paraId="469B59F7" w14:textId="77777777" w:rsidR="0092768C" w:rsidRDefault="0092768C" w:rsidP="0092768C">
      <w:pPr>
        <w:numPr>
          <w:ilvl w:val="0"/>
          <w:numId w:val="1"/>
        </w:numPr>
        <w:tabs>
          <w:tab w:val="left" w:pos="567"/>
        </w:tabs>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Criterios a seguir durante las fases de estudios o negociación de una oferta pública de adquisición</w:t>
      </w:r>
      <w:r>
        <w:rPr>
          <w:rFonts w:ascii="Arial Narrow" w:hAnsi="Arial Narrow" w:cs="Arial"/>
          <w:sz w:val="24"/>
          <w:szCs w:val="24"/>
          <w:lang w:val="es-ES"/>
        </w:rPr>
        <w:t>; y</w:t>
      </w:r>
    </w:p>
    <w:p w14:paraId="50D72648" w14:textId="77777777" w:rsidR="0092768C" w:rsidRPr="00324F59" w:rsidRDefault="0092768C" w:rsidP="0092768C">
      <w:pPr>
        <w:numPr>
          <w:ilvl w:val="0"/>
          <w:numId w:val="1"/>
        </w:numPr>
        <w:tabs>
          <w:tab w:val="left" w:pos="567"/>
        </w:tabs>
        <w:spacing w:line="240" w:lineRule="auto"/>
        <w:ind w:left="425" w:hanging="425"/>
        <w:contextualSpacing/>
        <w:jc w:val="both"/>
        <w:rPr>
          <w:rFonts w:ascii="Arial Narrow" w:hAnsi="Arial Narrow" w:cs="Arial"/>
          <w:sz w:val="24"/>
          <w:szCs w:val="24"/>
          <w:lang w:val="es-ES"/>
        </w:rPr>
      </w:pPr>
      <w:r w:rsidRPr="00EE669F">
        <w:rPr>
          <w:rFonts w:ascii="Arial Narrow" w:hAnsi="Arial Narrow" w:cs="Arial"/>
          <w:sz w:val="24"/>
          <w:szCs w:val="24"/>
          <w:lang w:val="es-ES"/>
        </w:rPr>
        <w:t>Medidas</w:t>
      </w:r>
      <w:r w:rsidRPr="00324F59">
        <w:rPr>
          <w:rFonts w:ascii="Arial Narrow" w:hAnsi="Arial Narrow" w:cs="Arial"/>
          <w:sz w:val="24"/>
          <w:szCs w:val="24"/>
          <w:lang w:val="es-ES"/>
        </w:rPr>
        <w:t xml:space="preserve"> preventivas y prohibiciones adoptadas por la entidad respecto del uso indebido de la</w:t>
      </w:r>
      <w:r>
        <w:rPr>
          <w:rFonts w:ascii="Arial Narrow" w:hAnsi="Arial Narrow" w:cs="Arial"/>
          <w:sz w:val="24"/>
          <w:szCs w:val="24"/>
          <w:lang w:val="es-ES"/>
        </w:rPr>
        <w:t xml:space="preserve"> </w:t>
      </w:r>
      <w:r w:rsidRPr="00324F59">
        <w:rPr>
          <w:rFonts w:ascii="Arial Narrow" w:hAnsi="Arial Narrow" w:cs="Arial"/>
          <w:sz w:val="24"/>
          <w:szCs w:val="24"/>
          <w:lang w:val="es-ES"/>
        </w:rPr>
        <w:t>información privilegiada.</w:t>
      </w:r>
    </w:p>
    <w:p w14:paraId="68E471EB" w14:textId="77777777" w:rsidR="0092768C" w:rsidRDefault="0092768C" w:rsidP="0092768C">
      <w:pPr>
        <w:tabs>
          <w:tab w:val="left" w:pos="567"/>
        </w:tabs>
        <w:spacing w:after="0" w:line="240" w:lineRule="auto"/>
        <w:jc w:val="both"/>
        <w:rPr>
          <w:rFonts w:ascii="Arial Narrow" w:hAnsi="Arial Narrow" w:cs="Arial"/>
          <w:sz w:val="24"/>
          <w:szCs w:val="24"/>
          <w:lang w:val="es-ES"/>
        </w:rPr>
      </w:pPr>
    </w:p>
    <w:p w14:paraId="1EF33571" w14:textId="77777777" w:rsidR="0092768C" w:rsidRPr="00324F59" w:rsidRDefault="0092768C" w:rsidP="0092768C">
      <w:pPr>
        <w:tabs>
          <w:tab w:val="left" w:pos="709"/>
        </w:tabs>
        <w:spacing w:after="0" w:line="240" w:lineRule="auto"/>
        <w:contextualSpacing/>
        <w:jc w:val="both"/>
        <w:rPr>
          <w:rFonts w:ascii="Arial Narrow" w:hAnsi="Arial Narrow" w:cs="Arial"/>
          <w:sz w:val="24"/>
          <w:szCs w:val="24"/>
          <w:lang w:val="es-ES"/>
        </w:rPr>
      </w:pPr>
      <w:r w:rsidRPr="00324F59">
        <w:rPr>
          <w:rFonts w:ascii="Arial Narrow" w:hAnsi="Arial Narrow" w:cs="Arial"/>
          <w:sz w:val="24"/>
          <w:szCs w:val="24"/>
          <w:lang w:val="es-ES"/>
        </w:rPr>
        <w:t>Asimismo, en dichas políticas deberán incluir ejemplos de posible información o eventos que pu</w:t>
      </w:r>
      <w:r>
        <w:rPr>
          <w:rFonts w:ascii="Arial Narrow" w:hAnsi="Arial Narrow" w:cs="Arial"/>
          <w:sz w:val="24"/>
          <w:szCs w:val="24"/>
          <w:lang w:val="es-ES"/>
        </w:rPr>
        <w:t>e</w:t>
      </w:r>
      <w:r w:rsidRPr="00324F59">
        <w:rPr>
          <w:rFonts w:ascii="Arial Narrow" w:hAnsi="Arial Narrow" w:cs="Arial"/>
          <w:sz w:val="24"/>
          <w:szCs w:val="24"/>
          <w:lang w:val="es-ES"/>
        </w:rPr>
        <w:t>de</w:t>
      </w:r>
      <w:r>
        <w:rPr>
          <w:rFonts w:ascii="Arial Narrow" w:hAnsi="Arial Narrow" w:cs="Arial"/>
          <w:sz w:val="24"/>
          <w:szCs w:val="24"/>
          <w:lang w:val="es-ES"/>
        </w:rPr>
        <w:t>n</w:t>
      </w:r>
      <w:r w:rsidRPr="00324F59">
        <w:rPr>
          <w:rFonts w:ascii="Arial Narrow" w:hAnsi="Arial Narrow" w:cs="Arial"/>
          <w:sz w:val="24"/>
          <w:szCs w:val="24"/>
          <w:lang w:val="es-ES"/>
        </w:rPr>
        <w:t xml:space="preserve"> ser cal</w:t>
      </w:r>
      <w:r>
        <w:rPr>
          <w:rFonts w:ascii="Arial Narrow" w:hAnsi="Arial Narrow" w:cs="Arial"/>
          <w:sz w:val="24"/>
          <w:szCs w:val="24"/>
          <w:lang w:val="es-ES"/>
        </w:rPr>
        <w:t>i</w:t>
      </w:r>
      <w:r w:rsidRPr="00324F59">
        <w:rPr>
          <w:rFonts w:ascii="Arial Narrow" w:hAnsi="Arial Narrow" w:cs="Arial"/>
          <w:sz w:val="24"/>
          <w:szCs w:val="24"/>
          <w:lang w:val="es-ES"/>
        </w:rPr>
        <w:t xml:space="preserve">ficados como información privilegiada. </w:t>
      </w:r>
    </w:p>
    <w:p w14:paraId="7355E732" w14:textId="77777777" w:rsidR="0092768C" w:rsidRDefault="0092768C" w:rsidP="0092768C">
      <w:pPr>
        <w:tabs>
          <w:tab w:val="left" w:pos="567"/>
        </w:tabs>
        <w:spacing w:after="0" w:line="240" w:lineRule="auto"/>
        <w:jc w:val="both"/>
        <w:rPr>
          <w:rFonts w:ascii="Arial Narrow" w:hAnsi="Arial Narrow" w:cs="Arial"/>
          <w:sz w:val="24"/>
          <w:szCs w:val="24"/>
          <w:lang w:val="es-ES"/>
        </w:rPr>
      </w:pPr>
    </w:p>
    <w:p w14:paraId="41935D61" w14:textId="77777777" w:rsidR="0092768C" w:rsidRDefault="0092768C" w:rsidP="0092768C">
      <w:pPr>
        <w:tabs>
          <w:tab w:val="left" w:pos="567"/>
        </w:tabs>
        <w:spacing w:after="0" w:line="240" w:lineRule="auto"/>
        <w:jc w:val="both"/>
        <w:rPr>
          <w:rFonts w:ascii="Arial Narrow" w:hAnsi="Arial Narrow" w:cs="Arial"/>
          <w:sz w:val="24"/>
          <w:szCs w:val="24"/>
          <w:lang w:val="es-ES"/>
        </w:rPr>
      </w:pPr>
      <w:r w:rsidRPr="0020225B">
        <w:rPr>
          <w:rFonts w:ascii="Arial Narrow" w:hAnsi="Arial Narrow" w:cs="Arial"/>
          <w:sz w:val="24"/>
          <w:szCs w:val="24"/>
          <w:lang w:val="es-ES"/>
        </w:rPr>
        <w:t>En caso de entidades miembros de un conglomerado financiero o grupo empresarial, los procedimientos anteriores deberán contemplar medidas de seguridad para que la información referida no sea difundida a otras entidades miembros del conglomerado financiero o grupo empresarial.</w:t>
      </w:r>
    </w:p>
    <w:p w14:paraId="56B4A9AB" w14:textId="77777777" w:rsidR="00847F49" w:rsidRDefault="00847F49" w:rsidP="0092768C">
      <w:pPr>
        <w:tabs>
          <w:tab w:val="left" w:pos="567"/>
        </w:tabs>
        <w:spacing w:after="0" w:line="240" w:lineRule="auto"/>
        <w:jc w:val="both"/>
        <w:rPr>
          <w:rFonts w:ascii="Arial Narrow" w:hAnsi="Arial Narrow" w:cs="Arial"/>
          <w:b/>
          <w:sz w:val="24"/>
          <w:szCs w:val="24"/>
          <w:lang w:val="es-ES"/>
        </w:rPr>
      </w:pPr>
    </w:p>
    <w:p w14:paraId="4D722196"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Obligaciones</w:t>
      </w:r>
    </w:p>
    <w:p w14:paraId="2E7F5F0B" w14:textId="77777777" w:rsidR="0092768C" w:rsidRPr="00103979" w:rsidRDefault="0092768C" w:rsidP="0092768C">
      <w:pPr>
        <w:tabs>
          <w:tab w:val="left" w:pos="567"/>
        </w:tabs>
        <w:spacing w:after="120" w:line="240" w:lineRule="auto"/>
        <w:jc w:val="both"/>
        <w:rPr>
          <w:rFonts w:ascii="Arial Narrow" w:hAnsi="Arial Narrow" w:cs="Arial"/>
          <w:sz w:val="24"/>
          <w:szCs w:val="24"/>
          <w:lang w:val="es-ES"/>
        </w:rPr>
      </w:pPr>
      <w:r>
        <w:rPr>
          <w:rFonts w:ascii="Arial Narrow" w:hAnsi="Arial Narrow" w:cs="Arial"/>
          <w:b/>
          <w:sz w:val="24"/>
          <w:szCs w:val="24"/>
          <w:lang w:val="es-ES"/>
        </w:rPr>
        <w:t>Art. 15</w:t>
      </w:r>
      <w:r w:rsidRPr="0020225B">
        <w:rPr>
          <w:rFonts w:ascii="Arial Narrow" w:hAnsi="Arial Narrow" w:cs="Arial"/>
          <w:b/>
          <w:sz w:val="24"/>
          <w:szCs w:val="24"/>
          <w:lang w:val="es-ES"/>
        </w:rPr>
        <w:t xml:space="preserve">.- </w:t>
      </w:r>
      <w:r w:rsidRPr="0067464A">
        <w:rPr>
          <w:rFonts w:ascii="Arial Narrow" w:hAnsi="Arial Narrow" w:cs="Arial"/>
          <w:sz w:val="24"/>
          <w:szCs w:val="24"/>
          <w:lang w:val="es-ES"/>
        </w:rPr>
        <w:t>Toda persona o entidad que posea</w:t>
      </w:r>
      <w:r w:rsidRPr="0020225B">
        <w:rPr>
          <w:rFonts w:ascii="Arial Narrow" w:hAnsi="Arial Narrow" w:cs="Arial"/>
          <w:sz w:val="24"/>
          <w:szCs w:val="24"/>
          <w:lang w:val="es-ES"/>
        </w:rPr>
        <w:t xml:space="preserve"> información privilegiada tiene la obligación de salvaguardarla. Por tanto, deberá adoptar las medidas que sean necesarias para evitar que tal información pueda ser objeto de uso indebido de la misma, hasta que la información no haya sido </w:t>
      </w:r>
      <w:r w:rsidRPr="00103979">
        <w:rPr>
          <w:rFonts w:ascii="Arial Narrow" w:hAnsi="Arial Narrow" w:cs="Arial"/>
          <w:sz w:val="24"/>
          <w:szCs w:val="24"/>
          <w:lang w:val="es-ES"/>
        </w:rPr>
        <w:t xml:space="preserve">pública. Todo funcionario o empleado que disponga de información privilegiada deberá abstenerse de lo siguiente:  </w:t>
      </w:r>
    </w:p>
    <w:p w14:paraId="676E03E2" w14:textId="77777777" w:rsidR="0092768C" w:rsidRPr="00103979" w:rsidRDefault="0092768C" w:rsidP="0092768C">
      <w:pPr>
        <w:numPr>
          <w:ilvl w:val="0"/>
          <w:numId w:val="2"/>
        </w:numPr>
        <w:tabs>
          <w:tab w:val="left" w:pos="567"/>
        </w:tabs>
        <w:spacing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lastRenderedPageBreak/>
        <w:t xml:space="preserve">Realizar, directa o indirectamente, cualquier tipo de operación por cuenta propia sobre los valores, productos financieros u operaciones financieras basándose en información privilegiada ya sea que esta pertenezca a la propia entidad, o alguna entidad miembro del conglomerado financiero o grupo empresarial o a cualquier otra entidad del sistema financiero en la que el funcionario o empleado pueda tener algún tipo de vinculación; </w:t>
      </w:r>
    </w:p>
    <w:p w14:paraId="0297DB9C" w14:textId="77777777" w:rsidR="0092768C" w:rsidRPr="00103979" w:rsidRDefault="0092768C" w:rsidP="0092768C">
      <w:pPr>
        <w:numPr>
          <w:ilvl w:val="0"/>
          <w:numId w:val="2"/>
        </w:numPr>
        <w:tabs>
          <w:tab w:val="left" w:pos="567"/>
        </w:tabs>
        <w:spacing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t xml:space="preserve">Comunicarla a terceros, salvo en el ejercicio normal de su trabajo, profesión o cargo; </w:t>
      </w:r>
    </w:p>
    <w:p w14:paraId="16D08F5F" w14:textId="77777777" w:rsidR="0092768C" w:rsidRPr="0020225B" w:rsidRDefault="0092768C" w:rsidP="0092768C">
      <w:pPr>
        <w:numPr>
          <w:ilvl w:val="0"/>
          <w:numId w:val="2"/>
        </w:numPr>
        <w:tabs>
          <w:tab w:val="left" w:pos="567"/>
        </w:tabs>
        <w:spacing w:line="240" w:lineRule="auto"/>
        <w:ind w:left="425" w:hanging="425"/>
        <w:contextualSpacing/>
        <w:jc w:val="both"/>
        <w:rPr>
          <w:rFonts w:ascii="Arial Narrow" w:hAnsi="Arial Narrow" w:cs="Arial"/>
          <w:sz w:val="24"/>
          <w:szCs w:val="24"/>
          <w:lang w:val="es-ES"/>
        </w:rPr>
      </w:pPr>
      <w:r w:rsidRPr="00103979">
        <w:rPr>
          <w:rFonts w:ascii="Arial Narrow" w:hAnsi="Arial Narrow" w:cs="Arial"/>
          <w:sz w:val="24"/>
          <w:szCs w:val="24"/>
          <w:lang w:val="es-ES"/>
        </w:rPr>
        <w:t>Recomendar a terceros realizar cualquier tipo de operación financiera, ya sea adquirir o ceder inversiones, créditos, contratos, garantías, avales, o que haga que otros los adquieran o cedan, basándose en dicha información privilegiada</w:t>
      </w:r>
      <w:r w:rsidRPr="0020225B">
        <w:rPr>
          <w:rFonts w:ascii="Arial Narrow" w:hAnsi="Arial Narrow" w:cs="Arial"/>
          <w:sz w:val="24"/>
          <w:szCs w:val="24"/>
          <w:lang w:val="es-ES"/>
        </w:rPr>
        <w:t>; y</w:t>
      </w:r>
    </w:p>
    <w:p w14:paraId="5A18DC9F" w14:textId="77777777" w:rsidR="0092768C" w:rsidRPr="0020225B" w:rsidRDefault="0092768C" w:rsidP="0092768C">
      <w:pPr>
        <w:numPr>
          <w:ilvl w:val="0"/>
          <w:numId w:val="2"/>
        </w:numPr>
        <w:tabs>
          <w:tab w:val="left" w:pos="567"/>
        </w:tabs>
        <w:spacing w:line="240" w:lineRule="auto"/>
        <w:ind w:left="425" w:hanging="425"/>
        <w:contextualSpacing/>
        <w:jc w:val="both"/>
        <w:rPr>
          <w:rFonts w:ascii="Arial Narrow" w:hAnsi="Arial Narrow" w:cs="Arial"/>
          <w:sz w:val="24"/>
          <w:szCs w:val="24"/>
          <w:lang w:val="es-ES"/>
        </w:rPr>
      </w:pPr>
      <w:r w:rsidRPr="0020225B">
        <w:rPr>
          <w:rFonts w:ascii="Arial Narrow" w:hAnsi="Arial Narrow" w:cs="Arial"/>
          <w:sz w:val="24"/>
          <w:szCs w:val="24"/>
          <w:lang w:val="es-ES"/>
        </w:rPr>
        <w:t>Realizar inversiones con previo conocimiento de la estrategia de inversión de los fondos de terceros administrados por la propia entidad.</w:t>
      </w:r>
    </w:p>
    <w:p w14:paraId="06D49795" w14:textId="77777777" w:rsidR="0092768C" w:rsidRPr="0020225B" w:rsidRDefault="0092768C" w:rsidP="0092768C">
      <w:pPr>
        <w:tabs>
          <w:tab w:val="left" w:pos="567"/>
        </w:tabs>
        <w:spacing w:line="240" w:lineRule="auto"/>
        <w:contextualSpacing/>
        <w:jc w:val="both"/>
        <w:rPr>
          <w:rFonts w:ascii="Arial Narrow" w:hAnsi="Arial Narrow" w:cs="Arial"/>
          <w:sz w:val="24"/>
          <w:szCs w:val="24"/>
          <w:lang w:val="es-ES"/>
        </w:rPr>
      </w:pPr>
    </w:p>
    <w:p w14:paraId="24C7DE1C"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Pr>
          <w:rFonts w:ascii="Arial Narrow" w:hAnsi="Arial Narrow" w:cs="Arial"/>
          <w:b/>
          <w:sz w:val="24"/>
          <w:szCs w:val="24"/>
          <w:lang w:val="es-ES"/>
        </w:rPr>
        <w:t>Segregación de funciones</w:t>
      </w:r>
    </w:p>
    <w:p w14:paraId="22A0ADBE" w14:textId="5494D921" w:rsidR="0092768C" w:rsidRDefault="0092768C" w:rsidP="0092768C">
      <w:pPr>
        <w:tabs>
          <w:tab w:val="left" w:pos="567"/>
        </w:tabs>
        <w:spacing w:after="0" w:line="240" w:lineRule="auto"/>
        <w:jc w:val="both"/>
        <w:rPr>
          <w:rFonts w:ascii="Arial Narrow" w:hAnsi="Arial Narrow"/>
          <w:sz w:val="24"/>
          <w:szCs w:val="24"/>
          <w:lang w:val="es-ES"/>
        </w:rPr>
      </w:pPr>
      <w:r>
        <w:rPr>
          <w:rFonts w:ascii="Arial Narrow" w:hAnsi="Arial Narrow" w:cs="Arial"/>
          <w:b/>
          <w:sz w:val="24"/>
          <w:szCs w:val="24"/>
          <w:lang w:val="es-ES"/>
        </w:rPr>
        <w:t>Art. 16.</w:t>
      </w:r>
      <w:r w:rsidRPr="0020225B">
        <w:rPr>
          <w:rFonts w:ascii="Arial Narrow" w:hAnsi="Arial Narrow" w:cs="Arial"/>
          <w:b/>
          <w:sz w:val="24"/>
          <w:szCs w:val="24"/>
          <w:lang w:val="es-ES"/>
        </w:rPr>
        <w:t xml:space="preserve">- </w:t>
      </w:r>
      <w:r w:rsidRPr="00FF2721">
        <w:rPr>
          <w:rFonts w:ascii="Arial Narrow" w:hAnsi="Arial Narrow"/>
          <w:sz w:val="24"/>
          <w:szCs w:val="24"/>
          <w:lang w:val="es-ES"/>
        </w:rPr>
        <w:t xml:space="preserve">Con la finalidad de evitar </w:t>
      </w:r>
      <w:r w:rsidR="00FF2721" w:rsidRPr="00FF2721">
        <w:rPr>
          <w:rFonts w:ascii="Arial Narrow" w:hAnsi="Arial Narrow"/>
          <w:sz w:val="24"/>
          <w:szCs w:val="24"/>
          <w:lang w:val="es-ES"/>
        </w:rPr>
        <w:t xml:space="preserve">realizar </w:t>
      </w:r>
      <w:r w:rsidRPr="00FF2721">
        <w:rPr>
          <w:rFonts w:ascii="Arial Narrow" w:hAnsi="Arial Narrow"/>
          <w:sz w:val="24"/>
          <w:szCs w:val="24"/>
          <w:lang w:val="es-ES"/>
        </w:rPr>
        <w:t>actividades</w:t>
      </w:r>
      <w:r w:rsidR="00FF2721" w:rsidRPr="00FF2721">
        <w:rPr>
          <w:rFonts w:ascii="Arial Narrow" w:hAnsi="Arial Narrow"/>
          <w:sz w:val="24"/>
          <w:szCs w:val="24"/>
          <w:lang w:val="es-ES"/>
        </w:rPr>
        <w:t xml:space="preserve"> utilizando </w:t>
      </w:r>
      <w:r w:rsidRPr="00FF2721">
        <w:rPr>
          <w:rFonts w:ascii="Arial Narrow" w:hAnsi="Arial Narrow"/>
          <w:sz w:val="24"/>
          <w:szCs w:val="24"/>
          <w:lang w:val="es-ES"/>
        </w:rPr>
        <w:t>información privilegiada, las entidades podrán establecer áreas separadas dentro de la entidad</w:t>
      </w:r>
      <w:r w:rsidRPr="0020225B">
        <w:rPr>
          <w:rFonts w:ascii="Arial Narrow" w:hAnsi="Arial Narrow"/>
          <w:sz w:val="24"/>
          <w:szCs w:val="24"/>
          <w:lang w:val="es-ES"/>
        </w:rPr>
        <w:t xml:space="preserve">, en relación con el resto de las unidades operativas de </w:t>
      </w:r>
      <w:r w:rsidR="0029347D">
        <w:rPr>
          <w:rFonts w:ascii="Arial Narrow" w:hAnsi="Arial Narrow"/>
          <w:sz w:val="24"/>
          <w:szCs w:val="24"/>
          <w:lang w:val="es-ES"/>
        </w:rPr>
        <w:t>ésta</w:t>
      </w:r>
      <w:r w:rsidRPr="0020225B">
        <w:rPr>
          <w:rFonts w:ascii="Arial Narrow" w:hAnsi="Arial Narrow"/>
          <w:sz w:val="24"/>
          <w:szCs w:val="24"/>
          <w:lang w:val="es-ES"/>
        </w:rPr>
        <w:t>, considerando los departamentos en donde se desarrollan actividades de gestión de inversiones, intermediación de valore</w:t>
      </w:r>
      <w:r>
        <w:rPr>
          <w:rFonts w:ascii="Arial Narrow" w:hAnsi="Arial Narrow"/>
          <w:sz w:val="24"/>
          <w:szCs w:val="24"/>
          <w:lang w:val="es-ES"/>
        </w:rPr>
        <w:t xml:space="preserve">s, </w:t>
      </w:r>
      <w:r w:rsidRPr="0020225B">
        <w:rPr>
          <w:rFonts w:ascii="Arial Narrow" w:hAnsi="Arial Narrow"/>
          <w:sz w:val="24"/>
          <w:szCs w:val="24"/>
          <w:lang w:val="es-ES"/>
        </w:rPr>
        <w:t>análisis financiero, entre otr</w:t>
      </w:r>
      <w:r>
        <w:rPr>
          <w:rFonts w:ascii="Arial Narrow" w:hAnsi="Arial Narrow"/>
          <w:sz w:val="24"/>
          <w:szCs w:val="24"/>
          <w:lang w:val="es-ES"/>
        </w:rPr>
        <w:t>a</w:t>
      </w:r>
      <w:r w:rsidRPr="0020225B">
        <w:rPr>
          <w:rFonts w:ascii="Arial Narrow" w:hAnsi="Arial Narrow"/>
          <w:sz w:val="24"/>
          <w:szCs w:val="24"/>
          <w:lang w:val="es-ES"/>
        </w:rPr>
        <w:t xml:space="preserve">s. La separación deberá implicar condiciones de hermetismo, reserva y exclusividad durante el ejercicio de las funciones en relación con otras áreas que conforman la estructura organizacional de la entidad. </w:t>
      </w:r>
    </w:p>
    <w:p w14:paraId="09361623" w14:textId="77777777" w:rsidR="0092768C" w:rsidRDefault="0092768C" w:rsidP="0092768C">
      <w:pPr>
        <w:tabs>
          <w:tab w:val="left" w:pos="567"/>
        </w:tabs>
        <w:spacing w:after="0" w:line="240" w:lineRule="auto"/>
        <w:jc w:val="center"/>
        <w:rPr>
          <w:rFonts w:ascii="Arial Narrow" w:hAnsi="Arial Narrow" w:cs="Arial"/>
          <w:b/>
          <w:sz w:val="24"/>
          <w:szCs w:val="24"/>
          <w:lang w:val="es-ES"/>
        </w:rPr>
      </w:pPr>
    </w:p>
    <w:p w14:paraId="7AFBF475" w14:textId="77777777" w:rsidR="0092768C" w:rsidRPr="0048665F" w:rsidRDefault="0092768C" w:rsidP="0092768C">
      <w:pPr>
        <w:tabs>
          <w:tab w:val="left" w:pos="567"/>
        </w:tabs>
        <w:spacing w:after="0" w:line="240" w:lineRule="auto"/>
        <w:jc w:val="center"/>
        <w:rPr>
          <w:rFonts w:ascii="Arial Narrow" w:hAnsi="Arial Narrow" w:cs="Arial"/>
          <w:b/>
          <w:sz w:val="24"/>
          <w:szCs w:val="24"/>
          <w:lang w:val="es-ES"/>
        </w:rPr>
      </w:pPr>
      <w:r>
        <w:rPr>
          <w:rFonts w:ascii="Arial Narrow" w:hAnsi="Arial Narrow" w:cs="Arial"/>
          <w:b/>
          <w:sz w:val="24"/>
          <w:szCs w:val="24"/>
          <w:lang w:val="es-ES"/>
        </w:rPr>
        <w:t>CAPÍTULO V</w:t>
      </w:r>
    </w:p>
    <w:p w14:paraId="2EDE321A" w14:textId="77777777" w:rsidR="0092768C" w:rsidRPr="00BE56FB" w:rsidRDefault="0092768C" w:rsidP="0092768C">
      <w:pPr>
        <w:tabs>
          <w:tab w:val="left" w:pos="567"/>
        </w:tabs>
        <w:spacing w:after="0" w:line="240" w:lineRule="auto"/>
        <w:jc w:val="center"/>
        <w:rPr>
          <w:rFonts w:ascii="Arial Narrow" w:hAnsi="Arial Narrow" w:cs="Arial"/>
          <w:b/>
          <w:sz w:val="24"/>
          <w:szCs w:val="24"/>
          <w:lang w:val="es-ES"/>
        </w:rPr>
      </w:pPr>
      <w:r>
        <w:rPr>
          <w:rFonts w:ascii="Arial Narrow" w:hAnsi="Arial Narrow" w:cs="Arial"/>
          <w:b/>
          <w:sz w:val="24"/>
          <w:szCs w:val="24"/>
          <w:lang w:val="es-ES"/>
        </w:rPr>
        <w:t xml:space="preserve">POLÍTICAS DE </w:t>
      </w:r>
      <w:r w:rsidRPr="009D64E4">
        <w:rPr>
          <w:rFonts w:ascii="Arial Narrow" w:hAnsi="Arial Narrow" w:cs="Arial"/>
          <w:b/>
          <w:sz w:val="24"/>
          <w:szCs w:val="24"/>
          <w:lang w:val="es-ES"/>
        </w:rPr>
        <w:t xml:space="preserve">PREVENCIÓN DE </w:t>
      </w:r>
      <w:r w:rsidRPr="00BE56FB">
        <w:rPr>
          <w:rFonts w:ascii="Arial Narrow" w:hAnsi="Arial Narrow" w:cs="Arial"/>
          <w:b/>
          <w:sz w:val="24"/>
          <w:szCs w:val="24"/>
          <w:lang w:val="es-ES"/>
        </w:rPr>
        <w:t>MANIPULACIÓN DE MERCADO</w:t>
      </w:r>
    </w:p>
    <w:p w14:paraId="1D34E431"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1122EFFD" w14:textId="77777777" w:rsidR="0092768C" w:rsidRPr="00103979" w:rsidRDefault="0092768C" w:rsidP="0092768C">
      <w:pPr>
        <w:tabs>
          <w:tab w:val="left" w:pos="567"/>
        </w:tabs>
        <w:spacing w:after="120" w:line="240" w:lineRule="auto"/>
        <w:jc w:val="both"/>
        <w:rPr>
          <w:rFonts w:ascii="Arial Narrow" w:hAnsi="Arial Narrow" w:cs="Arial"/>
          <w:sz w:val="24"/>
          <w:szCs w:val="24"/>
        </w:rPr>
      </w:pPr>
      <w:r w:rsidRPr="00103979">
        <w:rPr>
          <w:rFonts w:ascii="Arial Narrow" w:hAnsi="Arial Narrow" w:cs="Arial"/>
          <w:b/>
          <w:sz w:val="24"/>
          <w:szCs w:val="24"/>
          <w:lang w:val="es-ES"/>
        </w:rPr>
        <w:t>Art. 17.-</w:t>
      </w:r>
      <w:r w:rsidRPr="00103979">
        <w:rPr>
          <w:rFonts w:ascii="Arial Narrow" w:hAnsi="Arial Narrow" w:cs="Arial"/>
          <w:sz w:val="24"/>
          <w:szCs w:val="24"/>
        </w:rPr>
        <w:t xml:space="preserve"> Para los efectos de las presentes Normas, se considerará manipulación de mercado de conformidad a la Ley del Mercado de Valores las actividades siguientes:  </w:t>
      </w:r>
    </w:p>
    <w:p w14:paraId="045D7BA1" w14:textId="77777777" w:rsidR="0092768C" w:rsidRPr="00103979" w:rsidRDefault="0092768C" w:rsidP="0092768C">
      <w:pPr>
        <w:numPr>
          <w:ilvl w:val="0"/>
          <w:numId w:val="19"/>
        </w:numPr>
        <w:tabs>
          <w:tab w:val="left" w:pos="426"/>
        </w:tabs>
        <w:spacing w:line="240" w:lineRule="auto"/>
        <w:ind w:left="851" w:hanging="851"/>
        <w:contextualSpacing/>
        <w:jc w:val="both"/>
        <w:rPr>
          <w:rFonts w:ascii="Arial Narrow" w:hAnsi="Arial Narrow" w:cs="Arial"/>
          <w:sz w:val="24"/>
          <w:szCs w:val="24"/>
        </w:rPr>
      </w:pPr>
      <w:r w:rsidRPr="00103979">
        <w:rPr>
          <w:rFonts w:ascii="Arial Narrow" w:hAnsi="Arial Narrow" w:cs="Arial"/>
          <w:sz w:val="24"/>
          <w:szCs w:val="24"/>
        </w:rPr>
        <w:t>Efectuar transacciones ficticias, sea que estas se lleven a cabo dentro o fuera de una bolsa;</w:t>
      </w:r>
    </w:p>
    <w:p w14:paraId="115C843E" w14:textId="33696A14" w:rsidR="0092768C" w:rsidRPr="00103979" w:rsidRDefault="0092768C" w:rsidP="0092768C">
      <w:pPr>
        <w:numPr>
          <w:ilvl w:val="0"/>
          <w:numId w:val="19"/>
        </w:numPr>
        <w:tabs>
          <w:tab w:val="left" w:pos="426"/>
        </w:tabs>
        <w:spacing w:line="240" w:lineRule="auto"/>
        <w:ind w:left="426" w:hanging="426"/>
        <w:contextualSpacing/>
        <w:jc w:val="both"/>
        <w:rPr>
          <w:rFonts w:ascii="Arial Narrow" w:hAnsi="Arial Narrow" w:cs="Arial"/>
          <w:sz w:val="24"/>
          <w:szCs w:val="24"/>
        </w:rPr>
      </w:pPr>
      <w:r w:rsidRPr="00103979">
        <w:rPr>
          <w:rFonts w:ascii="Arial Narrow" w:hAnsi="Arial Narrow" w:cs="Arial"/>
          <w:sz w:val="24"/>
          <w:szCs w:val="24"/>
        </w:rPr>
        <w:t>Efectuar transacciones o inducir a la transacción de valores re</w:t>
      </w:r>
      <w:r>
        <w:rPr>
          <w:rFonts w:ascii="Arial Narrow" w:hAnsi="Arial Narrow" w:cs="Arial"/>
          <w:sz w:val="24"/>
          <w:szCs w:val="24"/>
        </w:rPr>
        <w:t>gidos por la Ley de M</w:t>
      </w:r>
      <w:r w:rsidR="0029347D">
        <w:rPr>
          <w:rFonts w:ascii="Arial Narrow" w:hAnsi="Arial Narrow" w:cs="Arial"/>
          <w:sz w:val="24"/>
          <w:szCs w:val="24"/>
        </w:rPr>
        <w:t>ercado</w:t>
      </w:r>
      <w:r>
        <w:rPr>
          <w:rFonts w:ascii="Arial Narrow" w:hAnsi="Arial Narrow" w:cs="Arial"/>
          <w:sz w:val="24"/>
          <w:szCs w:val="24"/>
        </w:rPr>
        <w:t xml:space="preserve"> de </w:t>
      </w:r>
      <w:r w:rsidRPr="00103979">
        <w:rPr>
          <w:rFonts w:ascii="Arial Narrow" w:hAnsi="Arial Narrow" w:cs="Arial"/>
          <w:sz w:val="24"/>
          <w:szCs w:val="24"/>
        </w:rPr>
        <w:t xml:space="preserve">Valores, mediante prácticas o mecanismos engañosos, fraudulentos o deshonestos; </w:t>
      </w:r>
    </w:p>
    <w:p w14:paraId="2549ED35" w14:textId="77777777" w:rsidR="0092768C" w:rsidRPr="00103979" w:rsidRDefault="0092768C" w:rsidP="0092768C">
      <w:pPr>
        <w:numPr>
          <w:ilvl w:val="0"/>
          <w:numId w:val="19"/>
        </w:numPr>
        <w:tabs>
          <w:tab w:val="left" w:pos="426"/>
        </w:tabs>
        <w:spacing w:line="240" w:lineRule="auto"/>
        <w:ind w:left="426" w:hanging="426"/>
        <w:contextualSpacing/>
        <w:jc w:val="both"/>
        <w:rPr>
          <w:rFonts w:ascii="Arial Narrow" w:hAnsi="Arial Narrow" w:cs="Arial"/>
          <w:sz w:val="24"/>
          <w:szCs w:val="24"/>
        </w:rPr>
      </w:pPr>
      <w:r w:rsidRPr="00103979">
        <w:rPr>
          <w:rFonts w:ascii="Arial Narrow" w:hAnsi="Arial Narrow" w:cs="Arial"/>
          <w:sz w:val="24"/>
          <w:szCs w:val="24"/>
        </w:rPr>
        <w:t>Efectuar transacciones para fijar o hacer variar artificialmente los precios de cualquier valor en el mercado, así como difusión de rumores e información que pueda conducir a engaños a los inversionistas; y</w:t>
      </w:r>
    </w:p>
    <w:p w14:paraId="201DC3F3" w14:textId="77777777" w:rsidR="0092768C" w:rsidRPr="00103979" w:rsidRDefault="0092768C" w:rsidP="0092768C">
      <w:pPr>
        <w:numPr>
          <w:ilvl w:val="0"/>
          <w:numId w:val="19"/>
        </w:numPr>
        <w:tabs>
          <w:tab w:val="left" w:pos="426"/>
        </w:tabs>
        <w:spacing w:line="240" w:lineRule="auto"/>
        <w:ind w:left="426" w:hanging="426"/>
        <w:contextualSpacing/>
        <w:jc w:val="both"/>
        <w:rPr>
          <w:rFonts w:ascii="Arial Narrow" w:hAnsi="Arial Narrow" w:cs="Arial"/>
          <w:sz w:val="24"/>
          <w:szCs w:val="24"/>
        </w:rPr>
      </w:pPr>
      <w:r w:rsidRPr="00103979">
        <w:rPr>
          <w:rFonts w:ascii="Arial Narrow" w:hAnsi="Arial Narrow" w:cs="Arial"/>
          <w:sz w:val="24"/>
          <w:szCs w:val="24"/>
        </w:rPr>
        <w:t xml:space="preserve">Que las casas fraccionen innecesariamente las transacciones, sin beneficio para el cliente, y que utilicen en su provecho el conocimiento previo de las transacciones en las que intervengan. </w:t>
      </w:r>
    </w:p>
    <w:p w14:paraId="3ADDBBC4" w14:textId="77777777" w:rsidR="00F23295" w:rsidRDefault="00F23295" w:rsidP="0092768C">
      <w:pPr>
        <w:tabs>
          <w:tab w:val="left" w:pos="567"/>
        </w:tabs>
        <w:spacing w:after="0"/>
        <w:jc w:val="both"/>
        <w:rPr>
          <w:rFonts w:ascii="Arial Narrow" w:hAnsi="Arial Narrow" w:cs="Arial"/>
          <w:b/>
          <w:sz w:val="24"/>
          <w:szCs w:val="24"/>
          <w:lang w:val="es-ES"/>
        </w:rPr>
      </w:pPr>
    </w:p>
    <w:p w14:paraId="30F315DF" w14:textId="603C69B0" w:rsidR="0092768C" w:rsidRPr="00103979" w:rsidRDefault="0092768C" w:rsidP="0092768C">
      <w:pPr>
        <w:tabs>
          <w:tab w:val="left" w:pos="567"/>
        </w:tabs>
        <w:spacing w:after="0"/>
        <w:jc w:val="both"/>
        <w:rPr>
          <w:rFonts w:ascii="Arial Narrow" w:hAnsi="Arial Narrow" w:cs="Arial"/>
          <w:b/>
          <w:sz w:val="24"/>
          <w:szCs w:val="24"/>
          <w:lang w:val="es-ES"/>
        </w:rPr>
      </w:pPr>
      <w:r w:rsidRPr="00103979">
        <w:rPr>
          <w:rFonts w:ascii="Arial Narrow" w:hAnsi="Arial Narrow" w:cs="Arial"/>
          <w:b/>
          <w:sz w:val="24"/>
          <w:szCs w:val="24"/>
          <w:lang w:val="es-ES"/>
        </w:rPr>
        <w:t>Políticas de</w:t>
      </w:r>
      <w:r w:rsidR="00832044">
        <w:rPr>
          <w:rFonts w:ascii="Arial Narrow" w:hAnsi="Arial Narrow" w:cs="Arial"/>
          <w:b/>
          <w:sz w:val="24"/>
          <w:szCs w:val="24"/>
          <w:lang w:val="es-ES"/>
        </w:rPr>
        <w:t xml:space="preserve"> prevención de</w:t>
      </w:r>
      <w:r w:rsidRPr="00103979">
        <w:rPr>
          <w:rFonts w:ascii="Arial Narrow" w:hAnsi="Arial Narrow" w:cs="Arial"/>
          <w:b/>
          <w:sz w:val="24"/>
          <w:szCs w:val="24"/>
          <w:lang w:val="es-ES"/>
        </w:rPr>
        <w:t xml:space="preserve"> Manipulación de Mercado</w:t>
      </w:r>
    </w:p>
    <w:p w14:paraId="789AE89F" w14:textId="77777777" w:rsidR="0092768C" w:rsidRPr="00103979" w:rsidRDefault="0092768C" w:rsidP="0092768C">
      <w:pPr>
        <w:tabs>
          <w:tab w:val="left" w:pos="567"/>
        </w:tabs>
        <w:spacing w:after="120" w:line="240" w:lineRule="auto"/>
        <w:jc w:val="both"/>
        <w:rPr>
          <w:rFonts w:ascii="Arial Narrow" w:hAnsi="Arial Narrow" w:cs="Arial"/>
          <w:sz w:val="24"/>
          <w:szCs w:val="24"/>
          <w:lang w:val="es-ES"/>
        </w:rPr>
      </w:pPr>
      <w:r w:rsidRPr="00103979">
        <w:rPr>
          <w:rFonts w:ascii="Arial Narrow" w:hAnsi="Arial Narrow" w:cs="Arial"/>
          <w:b/>
          <w:sz w:val="24"/>
          <w:szCs w:val="24"/>
          <w:lang w:val="es-ES"/>
        </w:rPr>
        <w:t xml:space="preserve">Art. 18.- </w:t>
      </w:r>
      <w:r w:rsidRPr="00103979">
        <w:rPr>
          <w:rFonts w:ascii="Arial Narrow" w:hAnsi="Arial Narrow" w:cs="Arial"/>
          <w:sz w:val="24"/>
          <w:szCs w:val="24"/>
        </w:rPr>
        <w:t xml:space="preserve">Las entidades deberán elaborar como parte del desarrollo de sus </w:t>
      </w:r>
      <w:r w:rsidRPr="00103979">
        <w:rPr>
          <w:rFonts w:ascii="Arial Narrow" w:hAnsi="Arial Narrow" w:cs="Arial"/>
          <w:sz w:val="24"/>
          <w:szCs w:val="24"/>
          <w:lang w:val="es-ES"/>
        </w:rPr>
        <w:t xml:space="preserve">Códigos de Ética o de Conducta, políticas para la prevención de manipulación de mercado, la cual deberá contener como mínimo, los aspectos siguientes: </w:t>
      </w:r>
    </w:p>
    <w:p w14:paraId="69DB0914" w14:textId="77777777" w:rsidR="0092768C" w:rsidRPr="00103979" w:rsidRDefault="0092768C" w:rsidP="0092768C">
      <w:pPr>
        <w:numPr>
          <w:ilvl w:val="0"/>
          <w:numId w:val="20"/>
        </w:numPr>
        <w:tabs>
          <w:tab w:val="left" w:pos="426"/>
        </w:tabs>
        <w:ind w:left="426" w:hanging="426"/>
        <w:contextualSpacing/>
        <w:jc w:val="both"/>
        <w:rPr>
          <w:rFonts w:ascii="Arial Narrow" w:hAnsi="Arial Narrow" w:cs="Arial"/>
          <w:sz w:val="24"/>
          <w:szCs w:val="24"/>
        </w:rPr>
      </w:pPr>
      <w:r w:rsidRPr="00103979">
        <w:rPr>
          <w:rFonts w:ascii="Arial Narrow" w:hAnsi="Arial Narrow" w:cs="Arial"/>
          <w:sz w:val="24"/>
          <w:szCs w:val="24"/>
        </w:rPr>
        <w:t xml:space="preserve">Mecanismos para la prevención de la manipulación y abuso del mercado; </w:t>
      </w:r>
      <w:r>
        <w:rPr>
          <w:rFonts w:ascii="Arial Narrow" w:hAnsi="Arial Narrow" w:cs="Arial"/>
          <w:sz w:val="24"/>
          <w:szCs w:val="24"/>
        </w:rPr>
        <w:t xml:space="preserve">y </w:t>
      </w:r>
    </w:p>
    <w:p w14:paraId="12F84512" w14:textId="77777777" w:rsidR="0092768C" w:rsidRPr="00103979" w:rsidRDefault="0092768C" w:rsidP="0092768C">
      <w:pPr>
        <w:numPr>
          <w:ilvl w:val="0"/>
          <w:numId w:val="20"/>
        </w:numPr>
        <w:tabs>
          <w:tab w:val="left" w:pos="426"/>
        </w:tabs>
        <w:ind w:left="426" w:hanging="426"/>
        <w:contextualSpacing/>
        <w:jc w:val="both"/>
        <w:rPr>
          <w:rFonts w:ascii="Arial Narrow" w:hAnsi="Arial Narrow" w:cs="Arial"/>
          <w:sz w:val="24"/>
          <w:szCs w:val="24"/>
        </w:rPr>
      </w:pPr>
      <w:r w:rsidRPr="00103979">
        <w:rPr>
          <w:rFonts w:ascii="Arial Narrow" w:hAnsi="Arial Narrow" w:cs="Arial"/>
          <w:sz w:val="24"/>
          <w:szCs w:val="24"/>
        </w:rPr>
        <w:t>Prohibiciones relacionadas a la realización de actividades que puedan ser consideradas como manipulación de mercado de conform</w:t>
      </w:r>
      <w:r>
        <w:rPr>
          <w:rFonts w:ascii="Arial Narrow" w:hAnsi="Arial Narrow" w:cs="Arial"/>
          <w:sz w:val="24"/>
          <w:szCs w:val="24"/>
        </w:rPr>
        <w:t xml:space="preserve">idad al marco legal aplicable. </w:t>
      </w:r>
    </w:p>
    <w:p w14:paraId="597E803B" w14:textId="77777777" w:rsidR="0092768C" w:rsidRDefault="0092768C" w:rsidP="0092768C">
      <w:pPr>
        <w:tabs>
          <w:tab w:val="left" w:pos="567"/>
        </w:tabs>
        <w:spacing w:after="0" w:line="240" w:lineRule="auto"/>
        <w:jc w:val="center"/>
        <w:rPr>
          <w:rFonts w:ascii="Arial Narrow" w:hAnsi="Arial Narrow" w:cs="Arial"/>
          <w:b/>
          <w:sz w:val="24"/>
          <w:szCs w:val="24"/>
          <w:lang w:val="es-ES"/>
        </w:rPr>
      </w:pPr>
    </w:p>
    <w:p w14:paraId="650A3637"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CAPÍTULO VI</w:t>
      </w:r>
    </w:p>
    <w:p w14:paraId="53CED391"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r w:rsidRPr="0020225B">
        <w:rPr>
          <w:rFonts w:ascii="Arial Narrow" w:hAnsi="Arial Narrow" w:cs="Arial"/>
          <w:b/>
          <w:sz w:val="24"/>
          <w:szCs w:val="24"/>
          <w:lang w:val="es-ES"/>
        </w:rPr>
        <w:t>OTRAS DISPOSICIONES Y VIGENCIA</w:t>
      </w:r>
    </w:p>
    <w:p w14:paraId="4097379E" w14:textId="77777777" w:rsidR="0092768C" w:rsidRPr="0020225B" w:rsidRDefault="0092768C" w:rsidP="0092768C">
      <w:pPr>
        <w:tabs>
          <w:tab w:val="left" w:pos="567"/>
        </w:tabs>
        <w:spacing w:after="0" w:line="240" w:lineRule="auto"/>
        <w:jc w:val="center"/>
        <w:rPr>
          <w:rFonts w:ascii="Arial Narrow" w:hAnsi="Arial Narrow" w:cs="Arial"/>
          <w:b/>
          <w:sz w:val="24"/>
          <w:szCs w:val="24"/>
          <w:lang w:val="es-ES"/>
        </w:rPr>
      </w:pPr>
    </w:p>
    <w:p w14:paraId="043D8F5B" w14:textId="77777777" w:rsidR="0092768C" w:rsidRPr="00E35FE9" w:rsidRDefault="0092768C" w:rsidP="0092768C">
      <w:pPr>
        <w:tabs>
          <w:tab w:val="left" w:pos="567"/>
        </w:tabs>
        <w:spacing w:after="0" w:line="240" w:lineRule="auto"/>
        <w:rPr>
          <w:rFonts w:ascii="Arial Narrow" w:hAnsi="Arial Narrow" w:cs="Arial"/>
          <w:b/>
          <w:sz w:val="24"/>
          <w:szCs w:val="24"/>
          <w:lang w:val="es-ES"/>
        </w:rPr>
      </w:pPr>
      <w:r w:rsidRPr="00E35FE9">
        <w:rPr>
          <w:rFonts w:ascii="Arial Narrow" w:hAnsi="Arial Narrow" w:cs="Arial"/>
          <w:b/>
          <w:sz w:val="24"/>
          <w:szCs w:val="24"/>
          <w:lang w:val="es-ES"/>
        </w:rPr>
        <w:t>Medidas de Seguimiento</w:t>
      </w:r>
    </w:p>
    <w:p w14:paraId="48B13933" w14:textId="7D07FBED" w:rsidR="0092768C" w:rsidRDefault="0092768C" w:rsidP="0092768C">
      <w:pPr>
        <w:tabs>
          <w:tab w:val="left" w:pos="567"/>
        </w:tabs>
        <w:spacing w:after="0" w:line="240" w:lineRule="auto"/>
        <w:jc w:val="both"/>
        <w:rPr>
          <w:rFonts w:ascii="Arial Narrow" w:hAnsi="Arial Narrow" w:cs="Arial"/>
          <w:sz w:val="24"/>
          <w:szCs w:val="24"/>
          <w:lang w:val="es-ES"/>
        </w:rPr>
      </w:pPr>
      <w:r>
        <w:rPr>
          <w:rFonts w:ascii="Arial Narrow" w:hAnsi="Arial Narrow" w:cs="Arial"/>
          <w:b/>
          <w:sz w:val="24"/>
          <w:szCs w:val="24"/>
          <w:lang w:val="es-ES"/>
        </w:rPr>
        <w:t>Art. 19</w:t>
      </w:r>
      <w:r w:rsidRPr="00E158AB">
        <w:rPr>
          <w:rFonts w:ascii="Arial Narrow" w:hAnsi="Arial Narrow" w:cs="Arial"/>
          <w:b/>
          <w:sz w:val="24"/>
          <w:szCs w:val="24"/>
          <w:lang w:val="es-ES"/>
        </w:rPr>
        <w:t>.-</w:t>
      </w:r>
      <w:r w:rsidRPr="0020225B">
        <w:rPr>
          <w:rFonts w:ascii="Arial Narrow" w:hAnsi="Arial Narrow" w:cs="Arial"/>
          <w:sz w:val="24"/>
          <w:szCs w:val="24"/>
          <w:lang w:val="es-ES"/>
        </w:rPr>
        <w:t xml:space="preserve"> </w:t>
      </w:r>
      <w:r>
        <w:rPr>
          <w:rFonts w:ascii="Arial Narrow" w:hAnsi="Arial Narrow" w:cs="Arial"/>
          <w:sz w:val="24"/>
          <w:szCs w:val="24"/>
          <w:lang w:val="es-ES"/>
        </w:rPr>
        <w:t>Con la finalidad de dar cumplimiento a lo establecido en las presentes Normas, las entidades deberán</w:t>
      </w:r>
      <w:r w:rsidRPr="0020225B">
        <w:rPr>
          <w:rFonts w:ascii="Arial Narrow" w:hAnsi="Arial Narrow" w:cs="Arial"/>
          <w:sz w:val="24"/>
          <w:szCs w:val="24"/>
          <w:lang w:val="es-ES"/>
        </w:rPr>
        <w:t xml:space="preserve"> verificar </w:t>
      </w:r>
      <w:r>
        <w:rPr>
          <w:rFonts w:ascii="Arial Narrow" w:hAnsi="Arial Narrow" w:cs="Arial"/>
          <w:sz w:val="24"/>
          <w:szCs w:val="24"/>
          <w:lang w:val="es-ES"/>
        </w:rPr>
        <w:t>la</w:t>
      </w:r>
      <w:r w:rsidRPr="0020225B">
        <w:rPr>
          <w:rFonts w:ascii="Arial Narrow" w:hAnsi="Arial Narrow" w:cs="Arial"/>
          <w:sz w:val="24"/>
          <w:szCs w:val="24"/>
          <w:lang w:val="es-ES"/>
        </w:rPr>
        <w:t xml:space="preserve"> ejecución</w:t>
      </w:r>
      <w:r w:rsidRPr="0020225B">
        <w:rPr>
          <w:rFonts w:ascii="Arial Narrow" w:hAnsi="Arial Narrow" w:cs="Arial"/>
          <w:b/>
          <w:sz w:val="24"/>
          <w:szCs w:val="24"/>
          <w:lang w:val="es-ES"/>
        </w:rPr>
        <w:t xml:space="preserve"> </w:t>
      </w:r>
      <w:r w:rsidRPr="0020225B">
        <w:rPr>
          <w:rFonts w:ascii="Arial Narrow" w:hAnsi="Arial Narrow" w:cs="Arial"/>
          <w:sz w:val="24"/>
          <w:szCs w:val="24"/>
          <w:lang w:val="es-ES"/>
        </w:rPr>
        <w:t xml:space="preserve">de las políticas de </w:t>
      </w:r>
      <w:r>
        <w:rPr>
          <w:rFonts w:ascii="Arial Narrow" w:hAnsi="Arial Narrow" w:cs="Arial"/>
          <w:sz w:val="24"/>
          <w:szCs w:val="24"/>
          <w:lang w:val="es-ES"/>
        </w:rPr>
        <w:t>manejo de conflicto de interés,</w:t>
      </w:r>
      <w:r w:rsidRPr="0020225B">
        <w:rPr>
          <w:rFonts w:ascii="Arial Narrow" w:hAnsi="Arial Narrow" w:cs="Arial"/>
          <w:sz w:val="24"/>
          <w:szCs w:val="24"/>
          <w:lang w:val="es-ES"/>
        </w:rPr>
        <w:t xml:space="preserve"> prevención del uso de información privilegiada</w:t>
      </w:r>
      <w:r>
        <w:rPr>
          <w:rFonts w:ascii="Arial Narrow" w:hAnsi="Arial Narrow" w:cs="Arial"/>
          <w:sz w:val="24"/>
          <w:szCs w:val="24"/>
          <w:lang w:val="es-ES"/>
        </w:rPr>
        <w:t xml:space="preserve"> y </w:t>
      </w:r>
      <w:r w:rsidR="00832044">
        <w:rPr>
          <w:rFonts w:ascii="Arial Narrow" w:hAnsi="Arial Narrow" w:cs="Arial"/>
          <w:sz w:val="24"/>
          <w:szCs w:val="24"/>
          <w:lang w:val="es-ES"/>
        </w:rPr>
        <w:t xml:space="preserve">prevención </w:t>
      </w:r>
      <w:r>
        <w:rPr>
          <w:rFonts w:ascii="Arial Narrow" w:hAnsi="Arial Narrow" w:cs="Arial"/>
          <w:sz w:val="24"/>
          <w:szCs w:val="24"/>
          <w:lang w:val="es-ES"/>
        </w:rPr>
        <w:t>manipulación de mercado</w:t>
      </w:r>
      <w:r w:rsidRPr="0020225B">
        <w:rPr>
          <w:rFonts w:ascii="Arial Narrow" w:hAnsi="Arial Narrow" w:cs="Arial"/>
          <w:sz w:val="24"/>
          <w:szCs w:val="24"/>
          <w:lang w:val="es-ES"/>
        </w:rPr>
        <w:t>, así como los procedimientos adoptados para la ejecución y a</w:t>
      </w:r>
      <w:r>
        <w:rPr>
          <w:rFonts w:ascii="Arial Narrow" w:hAnsi="Arial Narrow" w:cs="Arial"/>
          <w:sz w:val="24"/>
          <w:szCs w:val="24"/>
          <w:lang w:val="es-ES"/>
        </w:rPr>
        <w:t>plicación de dichas políticas.</w:t>
      </w:r>
    </w:p>
    <w:p w14:paraId="51EC3AA2" w14:textId="77777777" w:rsidR="0092768C" w:rsidRDefault="0092768C" w:rsidP="0092768C">
      <w:pPr>
        <w:tabs>
          <w:tab w:val="left" w:pos="567"/>
        </w:tabs>
        <w:spacing w:after="0" w:line="240" w:lineRule="auto"/>
        <w:jc w:val="both"/>
        <w:rPr>
          <w:rFonts w:ascii="Arial Narrow" w:hAnsi="Arial Narrow" w:cs="Arial"/>
          <w:sz w:val="24"/>
          <w:szCs w:val="24"/>
          <w:lang w:val="es-ES"/>
        </w:rPr>
      </w:pPr>
    </w:p>
    <w:p w14:paraId="6E924246" w14:textId="77777777" w:rsidR="0092768C" w:rsidRPr="004110CC" w:rsidRDefault="0092768C" w:rsidP="0092768C">
      <w:pPr>
        <w:tabs>
          <w:tab w:val="left" w:pos="567"/>
        </w:tabs>
        <w:spacing w:after="0" w:line="240" w:lineRule="auto"/>
        <w:jc w:val="both"/>
        <w:rPr>
          <w:rFonts w:ascii="Arial Narrow" w:hAnsi="Arial Narrow" w:cs="Arial"/>
          <w:sz w:val="28"/>
          <w:szCs w:val="24"/>
          <w:lang w:val="es-ES"/>
        </w:rPr>
      </w:pPr>
      <w:r w:rsidRPr="004110CC">
        <w:rPr>
          <w:rFonts w:ascii="Arial Narrow" w:hAnsi="Arial Narrow"/>
          <w:sz w:val="24"/>
        </w:rPr>
        <w:t>Lo anterior será exigible una vez cumplido el plazo establecido en el artículo 24 de estas Normas.</w:t>
      </w:r>
    </w:p>
    <w:p w14:paraId="7C056712" w14:textId="77777777" w:rsidR="0092768C" w:rsidRDefault="0092768C" w:rsidP="0092768C">
      <w:pPr>
        <w:tabs>
          <w:tab w:val="left" w:pos="567"/>
        </w:tabs>
        <w:spacing w:after="0" w:line="240" w:lineRule="auto"/>
        <w:jc w:val="both"/>
        <w:rPr>
          <w:rFonts w:ascii="Arial Narrow" w:hAnsi="Arial Narrow" w:cs="Arial"/>
          <w:sz w:val="24"/>
          <w:szCs w:val="24"/>
          <w:lang w:val="es-ES"/>
        </w:rPr>
      </w:pPr>
    </w:p>
    <w:p w14:paraId="76501040" w14:textId="77777777" w:rsidR="0092768C" w:rsidRPr="00EE669F" w:rsidRDefault="0092768C" w:rsidP="0092768C">
      <w:pPr>
        <w:tabs>
          <w:tab w:val="left" w:pos="567"/>
        </w:tabs>
        <w:spacing w:after="0" w:line="240" w:lineRule="auto"/>
        <w:jc w:val="both"/>
        <w:rPr>
          <w:rFonts w:ascii="Arial Narrow" w:hAnsi="Arial Narrow" w:cs="Arial"/>
          <w:color w:val="FF0000"/>
          <w:sz w:val="24"/>
          <w:szCs w:val="24"/>
          <w:lang w:val="es-ES"/>
        </w:rPr>
      </w:pPr>
      <w:r>
        <w:rPr>
          <w:rFonts w:ascii="Arial Narrow" w:hAnsi="Arial Narrow" w:cs="Arial"/>
          <w:b/>
          <w:sz w:val="24"/>
          <w:szCs w:val="24"/>
          <w:lang w:val="es-ES"/>
        </w:rPr>
        <w:t xml:space="preserve">Art. </w:t>
      </w:r>
      <w:r w:rsidRPr="00103979">
        <w:rPr>
          <w:rFonts w:ascii="Arial Narrow" w:hAnsi="Arial Narrow" w:cs="Arial"/>
          <w:b/>
          <w:sz w:val="24"/>
          <w:szCs w:val="24"/>
          <w:lang w:val="es-ES"/>
        </w:rPr>
        <w:t xml:space="preserve">20.- </w:t>
      </w:r>
      <w:r w:rsidRPr="00103979">
        <w:rPr>
          <w:rFonts w:ascii="Arial Narrow" w:hAnsi="Arial Narrow" w:cs="Arial"/>
          <w:sz w:val="24"/>
          <w:szCs w:val="24"/>
          <w:lang w:val="es-ES"/>
        </w:rPr>
        <w:t>Las entidades</w:t>
      </w:r>
      <w:r w:rsidRPr="00103979">
        <w:rPr>
          <w:rFonts w:ascii="Arial Narrow" w:hAnsi="Arial Narrow" w:cs="Arial"/>
          <w:b/>
          <w:sz w:val="24"/>
          <w:szCs w:val="24"/>
          <w:lang w:val="es-ES"/>
        </w:rPr>
        <w:t xml:space="preserve"> </w:t>
      </w:r>
      <w:r w:rsidRPr="00103979">
        <w:rPr>
          <w:rFonts w:ascii="Arial Narrow" w:hAnsi="Arial Narrow" w:cs="Arial"/>
          <w:sz w:val="24"/>
          <w:szCs w:val="24"/>
          <w:lang w:val="es-ES"/>
        </w:rPr>
        <w:t>deberán determinar el régimen de sanciones por el incumplimiento a lo estipulado en sus respectivas políticas y el órgano encargado de conocer, evaluar y aplicar las medidas necesarias, de conformidad a lo establecido en el reglamento interno de trabajo de la entidad, o en su defecto, el Código de Trabajo.</w:t>
      </w:r>
    </w:p>
    <w:p w14:paraId="788C6B0C"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3DF398AE"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 xml:space="preserve">Divulgación de las políticas </w:t>
      </w:r>
    </w:p>
    <w:p w14:paraId="453525A6"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Pr>
          <w:rFonts w:ascii="Arial Narrow" w:hAnsi="Arial Narrow" w:cs="Arial"/>
          <w:b/>
          <w:sz w:val="24"/>
          <w:szCs w:val="24"/>
          <w:lang w:val="es-ES"/>
        </w:rPr>
        <w:t>Art. 21</w:t>
      </w:r>
      <w:r w:rsidRPr="0020225B">
        <w:rPr>
          <w:rFonts w:ascii="Arial Narrow" w:hAnsi="Arial Narrow" w:cs="Arial"/>
          <w:b/>
          <w:sz w:val="24"/>
          <w:szCs w:val="24"/>
          <w:lang w:val="es-ES"/>
        </w:rPr>
        <w:t xml:space="preserve">.- </w:t>
      </w:r>
      <w:r w:rsidRPr="00103979">
        <w:rPr>
          <w:rFonts w:ascii="Arial Narrow" w:hAnsi="Arial Narrow" w:cs="Arial"/>
          <w:sz w:val="24"/>
          <w:szCs w:val="24"/>
          <w:lang w:val="es-ES"/>
        </w:rPr>
        <w:t xml:space="preserve">Las entidades deberán divulgar sus respectivos Códigos de Ética o de Conducta de conformidad a lo establecido en las “Normas Técnicas de Gobierno Corporativo para las Entidades de los Mercados Bursátiles” (NRP-13), para lo cual podrá utilizar el sitio web del conglomerado financiero o grupo empresarial. </w:t>
      </w:r>
    </w:p>
    <w:p w14:paraId="22F2345D" w14:textId="77777777" w:rsidR="0092768C" w:rsidRDefault="0092768C" w:rsidP="0092768C">
      <w:pPr>
        <w:tabs>
          <w:tab w:val="left" w:pos="567"/>
        </w:tabs>
        <w:spacing w:after="0" w:line="240" w:lineRule="auto"/>
        <w:jc w:val="both"/>
        <w:rPr>
          <w:rFonts w:ascii="Arial Narrow" w:hAnsi="Arial Narrow" w:cs="Arial"/>
          <w:b/>
          <w:sz w:val="24"/>
          <w:szCs w:val="24"/>
          <w:lang w:val="es-ES"/>
        </w:rPr>
      </w:pPr>
    </w:p>
    <w:p w14:paraId="40CF8C35"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Sanciones</w:t>
      </w:r>
    </w:p>
    <w:p w14:paraId="75429E79" w14:textId="77777777" w:rsidR="0092768C" w:rsidRPr="0020225B" w:rsidRDefault="0092768C" w:rsidP="0092768C">
      <w:pPr>
        <w:tabs>
          <w:tab w:val="left" w:pos="567"/>
        </w:tabs>
        <w:spacing w:after="0" w:line="240" w:lineRule="auto"/>
        <w:jc w:val="both"/>
        <w:rPr>
          <w:rFonts w:ascii="Arial Narrow" w:hAnsi="Arial Narrow" w:cs="Times New Roman"/>
          <w:sz w:val="24"/>
          <w:szCs w:val="24"/>
          <w:lang w:val="es-ES"/>
        </w:rPr>
      </w:pPr>
      <w:r>
        <w:rPr>
          <w:rFonts w:ascii="Arial Narrow" w:hAnsi="Arial Narrow" w:cs="Arial"/>
          <w:b/>
          <w:sz w:val="24"/>
          <w:szCs w:val="24"/>
          <w:lang w:val="es-ES"/>
        </w:rPr>
        <w:t>Art. 22</w:t>
      </w:r>
      <w:r w:rsidRPr="0020225B">
        <w:rPr>
          <w:rFonts w:ascii="Arial Narrow" w:hAnsi="Arial Narrow" w:cs="Arial"/>
          <w:b/>
          <w:sz w:val="24"/>
          <w:szCs w:val="24"/>
          <w:lang w:val="es-ES"/>
        </w:rPr>
        <w:t xml:space="preserve">.- </w:t>
      </w:r>
      <w:r w:rsidRPr="0020225B">
        <w:rPr>
          <w:rFonts w:ascii="Arial Narrow" w:hAnsi="Arial Narrow" w:cs="Arial"/>
          <w:sz w:val="24"/>
          <w:szCs w:val="24"/>
          <w:lang w:val="es-ES"/>
        </w:rPr>
        <w:t>El incumplimiento a lo dispuesto en lo establecido en las presentes Normas será sancionado de conformidad a lo establecido en la Ley</w:t>
      </w:r>
      <w:r w:rsidRPr="0020225B">
        <w:rPr>
          <w:rFonts w:ascii="Arial Narrow" w:hAnsi="Arial Narrow" w:cs="Times New Roman"/>
          <w:sz w:val="24"/>
          <w:szCs w:val="24"/>
          <w:lang w:val="es-ES"/>
        </w:rPr>
        <w:t xml:space="preserve"> de Supervisión y Regulación del Sistema Financiero.</w:t>
      </w:r>
    </w:p>
    <w:p w14:paraId="17C68444" w14:textId="77777777" w:rsidR="0092768C" w:rsidRDefault="0092768C" w:rsidP="0092768C">
      <w:pPr>
        <w:tabs>
          <w:tab w:val="left" w:pos="567"/>
        </w:tabs>
        <w:spacing w:after="0" w:line="240" w:lineRule="auto"/>
        <w:jc w:val="both"/>
        <w:rPr>
          <w:rFonts w:ascii="Arial Narrow" w:hAnsi="Arial Narrow" w:cs="Times New Roman"/>
          <w:sz w:val="24"/>
          <w:szCs w:val="24"/>
          <w:lang w:val="es-ES"/>
        </w:rPr>
      </w:pPr>
    </w:p>
    <w:p w14:paraId="35CCE55E"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Aspectos no previstos</w:t>
      </w:r>
    </w:p>
    <w:p w14:paraId="108817A0" w14:textId="77777777" w:rsidR="0092768C" w:rsidRPr="0020225B" w:rsidRDefault="0092768C" w:rsidP="0092768C">
      <w:pPr>
        <w:tabs>
          <w:tab w:val="left" w:pos="567"/>
        </w:tabs>
        <w:spacing w:after="0" w:line="240" w:lineRule="auto"/>
        <w:jc w:val="both"/>
        <w:rPr>
          <w:rFonts w:ascii="Arial Narrow" w:hAnsi="Arial Narrow" w:cs="Times New Roman"/>
          <w:sz w:val="24"/>
          <w:szCs w:val="24"/>
          <w:lang w:val="es-ES"/>
        </w:rPr>
      </w:pPr>
      <w:r>
        <w:rPr>
          <w:rFonts w:ascii="Arial Narrow" w:hAnsi="Arial Narrow" w:cs="Arial"/>
          <w:b/>
          <w:sz w:val="24"/>
          <w:szCs w:val="24"/>
          <w:lang w:val="es-ES"/>
        </w:rPr>
        <w:t>Art. 23</w:t>
      </w:r>
      <w:r w:rsidRPr="0020225B">
        <w:rPr>
          <w:rFonts w:ascii="Arial Narrow" w:hAnsi="Arial Narrow" w:cs="Arial"/>
          <w:b/>
          <w:sz w:val="24"/>
          <w:szCs w:val="24"/>
          <w:lang w:val="es-ES"/>
        </w:rPr>
        <w:t xml:space="preserve">.- </w:t>
      </w:r>
      <w:r w:rsidRPr="0020225B">
        <w:rPr>
          <w:rFonts w:ascii="Arial Narrow" w:hAnsi="Arial Narrow" w:cs="Arial"/>
          <w:sz w:val="24"/>
          <w:szCs w:val="24"/>
          <w:lang w:val="es-ES"/>
        </w:rPr>
        <w:t xml:space="preserve">Los aspectos no previstos en temas de regulación en las presentes Normas serán resueltos </w:t>
      </w:r>
      <w:r w:rsidRPr="002E72FE">
        <w:rPr>
          <w:rFonts w:ascii="Arial Narrow" w:hAnsi="Arial Narrow" w:cs="Arial"/>
          <w:sz w:val="24"/>
          <w:szCs w:val="24"/>
          <w:lang w:val="es-ES"/>
        </w:rPr>
        <w:t>por el Banco Central de Reserva de El Salvador por medio de su Comité de Normas.</w:t>
      </w:r>
    </w:p>
    <w:p w14:paraId="06728830" w14:textId="77777777" w:rsidR="0092768C" w:rsidRPr="0020225B" w:rsidRDefault="0092768C" w:rsidP="0092768C">
      <w:pPr>
        <w:tabs>
          <w:tab w:val="left" w:pos="567"/>
        </w:tabs>
        <w:spacing w:after="0" w:line="240" w:lineRule="auto"/>
        <w:jc w:val="both"/>
        <w:rPr>
          <w:rFonts w:ascii="Arial Narrow" w:hAnsi="Arial Narrow" w:cs="Times New Roman"/>
          <w:sz w:val="24"/>
          <w:szCs w:val="24"/>
          <w:lang w:val="es-ES"/>
        </w:rPr>
      </w:pPr>
    </w:p>
    <w:p w14:paraId="72DF5F31"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Transitorio</w:t>
      </w:r>
    </w:p>
    <w:p w14:paraId="7E53DF1F" w14:textId="77777777" w:rsidR="0092768C" w:rsidRPr="0020225B" w:rsidRDefault="0092768C" w:rsidP="0092768C">
      <w:pPr>
        <w:tabs>
          <w:tab w:val="left" w:pos="567"/>
        </w:tabs>
        <w:spacing w:after="0" w:line="240" w:lineRule="auto"/>
        <w:jc w:val="both"/>
        <w:rPr>
          <w:rFonts w:ascii="Arial Narrow" w:hAnsi="Arial Narrow" w:cs="Times New Roman"/>
          <w:sz w:val="24"/>
          <w:szCs w:val="24"/>
          <w:lang w:val="es-ES"/>
        </w:rPr>
      </w:pPr>
      <w:r>
        <w:rPr>
          <w:rFonts w:ascii="Arial Narrow" w:hAnsi="Arial Narrow" w:cs="Arial"/>
          <w:b/>
          <w:sz w:val="24"/>
          <w:szCs w:val="24"/>
          <w:lang w:val="es-ES"/>
        </w:rPr>
        <w:t>Art. 24</w:t>
      </w:r>
      <w:r w:rsidRPr="0020225B">
        <w:rPr>
          <w:rFonts w:ascii="Arial Narrow" w:hAnsi="Arial Narrow" w:cs="Arial"/>
          <w:b/>
          <w:sz w:val="24"/>
          <w:szCs w:val="24"/>
          <w:lang w:val="es-ES"/>
        </w:rPr>
        <w:t xml:space="preserve">.- </w:t>
      </w:r>
      <w:r w:rsidRPr="00103979">
        <w:rPr>
          <w:rFonts w:ascii="Arial Narrow" w:hAnsi="Arial Narrow" w:cs="Arial"/>
          <w:sz w:val="24"/>
          <w:szCs w:val="24"/>
          <w:lang w:val="es-ES"/>
        </w:rPr>
        <w:t xml:space="preserve">Sin perjuicio de las obligaciones establecidas en el artículo 35 literal c) de la Ley de Supervisión y Regulación del Sistema </w:t>
      </w:r>
      <w:r w:rsidRPr="00F13A1C">
        <w:rPr>
          <w:rFonts w:ascii="Arial Narrow" w:hAnsi="Arial Narrow" w:cs="Arial"/>
          <w:sz w:val="24"/>
          <w:szCs w:val="24"/>
          <w:lang w:val="es-ES"/>
        </w:rPr>
        <w:t>Financiero, las entidades obligadas al cumplimiento de las presentes Normas</w:t>
      </w:r>
      <w:r>
        <w:rPr>
          <w:rFonts w:ascii="Arial Narrow" w:hAnsi="Arial Narrow" w:cs="Arial"/>
          <w:sz w:val="24"/>
          <w:szCs w:val="24"/>
          <w:lang w:val="es-ES"/>
        </w:rPr>
        <w:t>,</w:t>
      </w:r>
      <w:r w:rsidRPr="00F13A1C">
        <w:rPr>
          <w:rFonts w:ascii="Arial Narrow" w:hAnsi="Arial Narrow" w:cs="Arial"/>
          <w:sz w:val="24"/>
          <w:szCs w:val="24"/>
          <w:lang w:val="es-ES"/>
        </w:rPr>
        <w:t xml:space="preserve"> tendrán</w:t>
      </w:r>
      <w:r w:rsidRPr="00103979">
        <w:rPr>
          <w:rFonts w:ascii="Arial Narrow" w:hAnsi="Arial Narrow" w:cs="Arial"/>
          <w:sz w:val="24"/>
          <w:szCs w:val="24"/>
          <w:lang w:val="es-ES"/>
        </w:rPr>
        <w:t xml:space="preserve"> un plazo máximo de seis meses</w:t>
      </w:r>
      <w:r>
        <w:rPr>
          <w:rFonts w:ascii="Arial Narrow" w:hAnsi="Arial Narrow" w:cs="Arial"/>
          <w:sz w:val="24"/>
          <w:szCs w:val="24"/>
          <w:lang w:val="es-ES"/>
        </w:rPr>
        <w:t xml:space="preserve"> contados a partir de la entrada en vigencia de las mismas, para dar cumplimiento a lo establecido por éstas.</w:t>
      </w:r>
    </w:p>
    <w:p w14:paraId="72A3A012" w14:textId="77777777" w:rsidR="0092768C" w:rsidRPr="0020225B" w:rsidRDefault="0092768C" w:rsidP="0092768C">
      <w:pPr>
        <w:tabs>
          <w:tab w:val="left" w:pos="567"/>
        </w:tabs>
        <w:spacing w:after="0" w:line="240" w:lineRule="auto"/>
        <w:jc w:val="both"/>
        <w:rPr>
          <w:rFonts w:ascii="Arial Narrow" w:hAnsi="Arial Narrow" w:cs="Times New Roman"/>
          <w:sz w:val="24"/>
          <w:szCs w:val="24"/>
          <w:lang w:val="es-ES"/>
        </w:rPr>
      </w:pPr>
    </w:p>
    <w:p w14:paraId="0A40BD77" w14:textId="77777777" w:rsidR="0092768C" w:rsidRPr="0020225B" w:rsidRDefault="0092768C" w:rsidP="0092768C">
      <w:pPr>
        <w:tabs>
          <w:tab w:val="left" w:pos="567"/>
        </w:tabs>
        <w:spacing w:after="0" w:line="240" w:lineRule="auto"/>
        <w:jc w:val="both"/>
        <w:rPr>
          <w:rFonts w:ascii="Arial Narrow" w:hAnsi="Arial Narrow" w:cs="Arial"/>
          <w:b/>
          <w:sz w:val="24"/>
          <w:szCs w:val="24"/>
          <w:lang w:val="es-ES"/>
        </w:rPr>
      </w:pPr>
      <w:r w:rsidRPr="0020225B">
        <w:rPr>
          <w:rFonts w:ascii="Arial Narrow" w:hAnsi="Arial Narrow" w:cs="Arial"/>
          <w:b/>
          <w:sz w:val="24"/>
          <w:szCs w:val="24"/>
          <w:lang w:val="es-ES"/>
        </w:rPr>
        <w:t>Vigencia</w:t>
      </w:r>
    </w:p>
    <w:p w14:paraId="70B1397F" w14:textId="7767FE55" w:rsidR="0092768C" w:rsidRPr="00D51881" w:rsidRDefault="0092768C" w:rsidP="0092768C">
      <w:pPr>
        <w:tabs>
          <w:tab w:val="left" w:pos="567"/>
        </w:tabs>
        <w:spacing w:after="0" w:line="240" w:lineRule="auto"/>
        <w:jc w:val="both"/>
        <w:rPr>
          <w:rFonts w:ascii="Arial Narrow" w:hAnsi="Arial Narrow" w:cs="Times New Roman"/>
          <w:b/>
          <w:sz w:val="24"/>
          <w:szCs w:val="24"/>
          <w:lang w:val="es-ES"/>
        </w:rPr>
      </w:pPr>
      <w:r>
        <w:rPr>
          <w:rFonts w:ascii="Arial Narrow" w:hAnsi="Arial Narrow" w:cs="Arial"/>
          <w:b/>
          <w:sz w:val="24"/>
          <w:szCs w:val="24"/>
          <w:lang w:val="es-ES"/>
        </w:rPr>
        <w:t>Art. 25</w:t>
      </w:r>
      <w:r w:rsidRPr="0020225B">
        <w:rPr>
          <w:rFonts w:ascii="Arial Narrow" w:hAnsi="Arial Narrow" w:cs="Arial"/>
          <w:b/>
          <w:sz w:val="24"/>
          <w:szCs w:val="24"/>
          <w:lang w:val="es-ES"/>
        </w:rPr>
        <w:t xml:space="preserve">.- </w:t>
      </w:r>
      <w:r w:rsidRPr="0020225B">
        <w:rPr>
          <w:rFonts w:ascii="Arial Narrow" w:hAnsi="Arial Narrow" w:cs="Arial"/>
          <w:sz w:val="24"/>
          <w:szCs w:val="24"/>
          <w:lang w:val="es-ES"/>
        </w:rPr>
        <w:t>Las presentes</w:t>
      </w:r>
      <w:r w:rsidRPr="0020225B">
        <w:rPr>
          <w:rFonts w:ascii="Arial Narrow" w:hAnsi="Arial Narrow"/>
          <w:sz w:val="24"/>
          <w:szCs w:val="24"/>
          <w:lang w:val="es-ES"/>
        </w:rPr>
        <w:t xml:space="preserve"> Normas entrarán en vigencia a parti</w:t>
      </w:r>
      <w:r>
        <w:rPr>
          <w:rFonts w:ascii="Arial Narrow" w:hAnsi="Arial Narrow"/>
          <w:sz w:val="24"/>
          <w:szCs w:val="24"/>
          <w:lang w:val="es-ES"/>
        </w:rPr>
        <w:t xml:space="preserve">r del </w:t>
      </w:r>
      <w:r w:rsidR="00B0231D">
        <w:rPr>
          <w:rFonts w:ascii="Arial Narrow" w:hAnsi="Arial Narrow"/>
          <w:sz w:val="24"/>
          <w:szCs w:val="24"/>
          <w:lang w:val="es-ES"/>
        </w:rPr>
        <w:t>2</w:t>
      </w:r>
      <w:r>
        <w:rPr>
          <w:rFonts w:ascii="Arial Narrow" w:hAnsi="Arial Narrow"/>
          <w:sz w:val="24"/>
          <w:szCs w:val="24"/>
          <w:lang w:val="es-ES"/>
        </w:rPr>
        <w:t xml:space="preserve"> de</w:t>
      </w:r>
      <w:r w:rsidR="00B0231D">
        <w:rPr>
          <w:rFonts w:ascii="Arial Narrow" w:hAnsi="Arial Narrow"/>
          <w:sz w:val="24"/>
          <w:szCs w:val="24"/>
          <w:lang w:val="es-ES"/>
        </w:rPr>
        <w:t xml:space="preserve"> enero</w:t>
      </w:r>
      <w:r>
        <w:rPr>
          <w:rFonts w:ascii="Arial Narrow" w:hAnsi="Arial Narrow"/>
          <w:sz w:val="24"/>
          <w:szCs w:val="24"/>
          <w:lang w:val="es-ES"/>
        </w:rPr>
        <w:t xml:space="preserve"> de 201</w:t>
      </w:r>
      <w:r w:rsidR="00B0231D">
        <w:rPr>
          <w:rFonts w:ascii="Arial Narrow" w:hAnsi="Arial Narrow"/>
          <w:sz w:val="24"/>
          <w:szCs w:val="24"/>
          <w:lang w:val="es-ES"/>
        </w:rPr>
        <w:t>8</w:t>
      </w:r>
    </w:p>
    <w:p w14:paraId="59F7B0FA" w14:textId="77777777" w:rsidR="0092768C" w:rsidRPr="00D51881" w:rsidRDefault="0092768C" w:rsidP="0092768C">
      <w:pPr>
        <w:tabs>
          <w:tab w:val="left" w:pos="567"/>
        </w:tabs>
        <w:spacing w:after="0" w:line="240" w:lineRule="auto"/>
        <w:rPr>
          <w:rFonts w:ascii="Arial Narrow" w:hAnsi="Arial Narrow" w:cs="Arial"/>
          <w:b/>
          <w:sz w:val="24"/>
          <w:szCs w:val="24"/>
          <w:lang w:val="es-ES"/>
        </w:rPr>
      </w:pPr>
    </w:p>
    <w:p w14:paraId="0E4D39C5" w14:textId="77777777" w:rsidR="0092768C" w:rsidRPr="002423F0" w:rsidRDefault="0092768C" w:rsidP="0092768C">
      <w:pPr>
        <w:autoSpaceDE w:val="0"/>
        <w:autoSpaceDN w:val="0"/>
        <w:adjustRightInd w:val="0"/>
        <w:spacing w:after="0" w:line="240" w:lineRule="auto"/>
        <w:ind w:firstLine="708"/>
        <w:jc w:val="both"/>
        <w:rPr>
          <w:rFonts w:ascii="Arial Narrow" w:eastAsia="Calibri" w:hAnsi="Arial Narrow" w:cs="Times New Roman"/>
          <w:sz w:val="24"/>
          <w:szCs w:val="24"/>
          <w:lang w:val="es-SV" w:eastAsia="es-ES"/>
        </w:rPr>
      </w:pPr>
    </w:p>
    <w:p w14:paraId="43ADF0F7" w14:textId="77777777" w:rsidR="0092768C" w:rsidRPr="002423F0" w:rsidRDefault="0092768C" w:rsidP="0092768C">
      <w:pPr>
        <w:autoSpaceDE w:val="0"/>
        <w:autoSpaceDN w:val="0"/>
        <w:adjustRightInd w:val="0"/>
        <w:spacing w:after="0" w:line="240" w:lineRule="auto"/>
        <w:contextualSpacing/>
        <w:jc w:val="both"/>
        <w:rPr>
          <w:rFonts w:ascii="Arial Narrow" w:eastAsia="Calibri" w:hAnsi="Arial Narrow" w:cs="Times New Roman"/>
          <w:sz w:val="24"/>
          <w:szCs w:val="24"/>
          <w:lang w:val="es-SV" w:eastAsia="es-ES"/>
        </w:rPr>
      </w:pPr>
    </w:p>
    <w:p w14:paraId="030208A1" w14:textId="77777777" w:rsidR="0092768C" w:rsidRPr="002423F0" w:rsidRDefault="0092768C" w:rsidP="0092768C">
      <w:pPr>
        <w:autoSpaceDE w:val="0"/>
        <w:autoSpaceDN w:val="0"/>
        <w:adjustRightInd w:val="0"/>
        <w:spacing w:after="0" w:line="240" w:lineRule="auto"/>
        <w:jc w:val="both"/>
        <w:rPr>
          <w:rFonts w:ascii="Arial Narrow" w:eastAsia="Calibri" w:hAnsi="Arial Narrow" w:cs="Times New Roman"/>
          <w:b/>
          <w:sz w:val="24"/>
          <w:szCs w:val="24"/>
          <w:lang w:val="es-SV" w:eastAsia="es-ES"/>
        </w:rPr>
      </w:pPr>
    </w:p>
    <w:p w14:paraId="0011B440" w14:textId="77777777" w:rsidR="0092768C" w:rsidRPr="001B21E5" w:rsidRDefault="0092768C" w:rsidP="0092768C">
      <w:pPr>
        <w:rPr>
          <w:lang w:val="es-ES"/>
        </w:rPr>
      </w:pPr>
    </w:p>
    <w:p w14:paraId="5973E20F" w14:textId="77777777" w:rsidR="00607BDD" w:rsidRPr="001B21E5" w:rsidRDefault="00607BDD" w:rsidP="001B21E5">
      <w:pPr>
        <w:rPr>
          <w:lang w:val="es-ES"/>
        </w:rPr>
      </w:pPr>
    </w:p>
    <w:sectPr w:rsidR="00607BDD" w:rsidRPr="001B21E5" w:rsidSect="007F582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3CD9" w14:textId="77777777" w:rsidR="00006D8D" w:rsidRDefault="00006D8D">
      <w:pPr>
        <w:spacing w:after="0" w:line="240" w:lineRule="auto"/>
      </w:pPr>
      <w:r>
        <w:separator/>
      </w:r>
    </w:p>
  </w:endnote>
  <w:endnote w:type="continuationSeparator" w:id="0">
    <w:p w14:paraId="47843676" w14:textId="77777777" w:rsidR="00006D8D" w:rsidRDefault="0000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72" w:type="dxa"/>
      <w:jc w:val="center"/>
      <w:tblBorders>
        <w:top w:val="triple" w:sz="4" w:space="0" w:color="A6A6A6"/>
      </w:tblBorders>
      <w:tblLook w:val="04A0" w:firstRow="1" w:lastRow="0" w:firstColumn="1" w:lastColumn="0" w:noHBand="0" w:noVBand="1"/>
    </w:tblPr>
    <w:tblGrid>
      <w:gridCol w:w="1509"/>
      <w:gridCol w:w="6430"/>
      <w:gridCol w:w="1433"/>
    </w:tblGrid>
    <w:tr w:rsidR="00847F49" w:rsidRPr="00ED4659" w14:paraId="3E61781A" w14:textId="77777777" w:rsidTr="0092768C">
      <w:trPr>
        <w:trHeight w:val="822"/>
        <w:jc w:val="center"/>
      </w:trPr>
      <w:tc>
        <w:tcPr>
          <w:tcW w:w="1509" w:type="dxa"/>
          <w:tcBorders>
            <w:top w:val="nil"/>
            <w:left w:val="nil"/>
            <w:bottom w:val="nil"/>
            <w:right w:val="nil"/>
          </w:tcBorders>
        </w:tcPr>
        <w:p w14:paraId="135FCCDD" w14:textId="77777777" w:rsidR="00847F49" w:rsidRPr="00ED4659" w:rsidRDefault="00847F49" w:rsidP="00A922F5">
          <w:pPr>
            <w:pStyle w:val="Piedepgina"/>
            <w:jc w:val="center"/>
            <w:rPr>
              <w:rFonts w:ascii="Arial Narrow" w:hAnsi="Arial Narrow" w:cs="Arial"/>
              <w:color w:val="808080" w:themeColor="background1" w:themeShade="80"/>
              <w:sz w:val="20"/>
              <w:szCs w:val="20"/>
            </w:rPr>
          </w:pPr>
        </w:p>
      </w:tc>
      <w:tc>
        <w:tcPr>
          <w:tcW w:w="6430" w:type="dxa"/>
          <w:tcBorders>
            <w:top w:val="triple" w:sz="4" w:space="0" w:color="A6A6A6"/>
            <w:left w:val="nil"/>
            <w:bottom w:val="nil"/>
            <w:right w:val="nil"/>
          </w:tcBorders>
          <w:vAlign w:val="center"/>
          <w:hideMark/>
        </w:tcPr>
        <w:p w14:paraId="7BE34FDB" w14:textId="343C9653" w:rsidR="00847F49" w:rsidRPr="00ED4659" w:rsidRDefault="00847F49" w:rsidP="00A922F5">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Alameda Juan Pablo II, entre 15 y 17 Av. Norte, San Salvador, El Salvador.</w:t>
          </w:r>
        </w:p>
        <w:p w14:paraId="5A7B79F8" w14:textId="77777777" w:rsidR="00847F49" w:rsidRPr="00ED4659" w:rsidRDefault="00847F49" w:rsidP="00A922F5">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Tel. (503) 2281-8000</w:t>
          </w:r>
        </w:p>
        <w:p w14:paraId="4E031136" w14:textId="77777777" w:rsidR="00847F49" w:rsidRPr="00ED4659" w:rsidRDefault="00847F49" w:rsidP="00A922F5">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 xml:space="preserve"> www.bcr.gob.sv</w:t>
          </w:r>
        </w:p>
      </w:tc>
      <w:tc>
        <w:tcPr>
          <w:tcW w:w="1433" w:type="dxa"/>
          <w:tcBorders>
            <w:top w:val="triple" w:sz="4" w:space="0" w:color="A6A6A6"/>
            <w:left w:val="nil"/>
            <w:bottom w:val="nil"/>
            <w:right w:val="nil"/>
          </w:tcBorders>
          <w:vAlign w:val="center"/>
          <w:hideMark/>
        </w:tcPr>
        <w:p w14:paraId="66B81098" w14:textId="77777777" w:rsidR="00847F49" w:rsidRPr="00ED4659" w:rsidRDefault="00847F49" w:rsidP="00A922F5">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 xml:space="preserve">Página </w:t>
          </w:r>
          <w:r w:rsidRPr="00ED4659">
            <w:rPr>
              <w:rFonts w:ascii="Arial Narrow" w:hAnsi="Arial Narrow" w:cs="Arial"/>
              <w:color w:val="808080" w:themeColor="background1" w:themeShade="80"/>
              <w:sz w:val="20"/>
              <w:szCs w:val="20"/>
            </w:rPr>
            <w:fldChar w:fldCharType="begin"/>
          </w:r>
          <w:r w:rsidRPr="00ED4659">
            <w:rPr>
              <w:rFonts w:ascii="Arial Narrow" w:hAnsi="Arial Narrow" w:cs="Arial"/>
              <w:color w:val="808080" w:themeColor="background1" w:themeShade="80"/>
              <w:sz w:val="20"/>
              <w:szCs w:val="20"/>
            </w:rPr>
            <w:instrText>PAGE</w:instrText>
          </w:r>
          <w:r w:rsidRPr="00ED4659">
            <w:rPr>
              <w:rFonts w:ascii="Arial Narrow" w:hAnsi="Arial Narrow" w:cs="Arial"/>
              <w:color w:val="808080" w:themeColor="background1" w:themeShade="80"/>
              <w:sz w:val="20"/>
              <w:szCs w:val="20"/>
            </w:rPr>
            <w:fldChar w:fldCharType="separate"/>
          </w:r>
          <w:r w:rsidR="00FD092B">
            <w:rPr>
              <w:rFonts w:ascii="Arial Narrow" w:hAnsi="Arial Narrow" w:cs="Arial"/>
              <w:noProof/>
              <w:color w:val="808080" w:themeColor="background1" w:themeShade="80"/>
              <w:sz w:val="20"/>
              <w:szCs w:val="20"/>
            </w:rPr>
            <w:t>1</w:t>
          </w:r>
          <w:r w:rsidRPr="00ED4659">
            <w:rPr>
              <w:rFonts w:ascii="Arial Narrow" w:hAnsi="Arial Narrow" w:cs="Arial"/>
              <w:color w:val="808080" w:themeColor="background1" w:themeShade="80"/>
              <w:sz w:val="20"/>
              <w:szCs w:val="20"/>
            </w:rPr>
            <w:fldChar w:fldCharType="end"/>
          </w:r>
          <w:r w:rsidRPr="00ED4659">
            <w:rPr>
              <w:rFonts w:ascii="Arial Narrow" w:hAnsi="Arial Narrow" w:cs="Arial"/>
              <w:color w:val="808080" w:themeColor="background1" w:themeShade="80"/>
              <w:sz w:val="20"/>
              <w:szCs w:val="20"/>
            </w:rPr>
            <w:t xml:space="preserve"> de </w:t>
          </w:r>
          <w:r w:rsidRPr="00ED4659">
            <w:rPr>
              <w:rFonts w:ascii="Arial Narrow" w:hAnsi="Arial Narrow" w:cs="Arial"/>
              <w:color w:val="808080" w:themeColor="background1" w:themeShade="80"/>
              <w:sz w:val="20"/>
              <w:szCs w:val="20"/>
            </w:rPr>
            <w:fldChar w:fldCharType="begin"/>
          </w:r>
          <w:r w:rsidRPr="00ED4659">
            <w:rPr>
              <w:rFonts w:ascii="Arial Narrow" w:hAnsi="Arial Narrow" w:cs="Arial"/>
              <w:color w:val="808080" w:themeColor="background1" w:themeShade="80"/>
              <w:sz w:val="20"/>
              <w:szCs w:val="20"/>
            </w:rPr>
            <w:instrText>NUMPAGES</w:instrText>
          </w:r>
          <w:r w:rsidRPr="00ED4659">
            <w:rPr>
              <w:rFonts w:ascii="Arial Narrow" w:hAnsi="Arial Narrow" w:cs="Arial"/>
              <w:color w:val="808080" w:themeColor="background1" w:themeShade="80"/>
              <w:sz w:val="20"/>
              <w:szCs w:val="20"/>
            </w:rPr>
            <w:fldChar w:fldCharType="separate"/>
          </w:r>
          <w:r w:rsidR="00FD092B">
            <w:rPr>
              <w:rFonts w:ascii="Arial Narrow" w:hAnsi="Arial Narrow" w:cs="Arial"/>
              <w:noProof/>
              <w:color w:val="808080" w:themeColor="background1" w:themeShade="80"/>
              <w:sz w:val="20"/>
              <w:szCs w:val="20"/>
            </w:rPr>
            <w:t>10</w:t>
          </w:r>
          <w:r w:rsidRPr="00ED4659">
            <w:rPr>
              <w:rFonts w:ascii="Arial Narrow" w:hAnsi="Arial Narrow" w:cs="Arial"/>
              <w:color w:val="808080" w:themeColor="background1" w:themeShade="80"/>
              <w:sz w:val="20"/>
              <w:szCs w:val="20"/>
            </w:rPr>
            <w:fldChar w:fldCharType="end"/>
          </w:r>
        </w:p>
      </w:tc>
    </w:tr>
  </w:tbl>
  <w:p w14:paraId="5BD92C60" w14:textId="78D676D4" w:rsidR="00847F49" w:rsidRPr="002B1C87" w:rsidRDefault="00847F49" w:rsidP="002B1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D96F" w14:textId="77777777" w:rsidR="00006D8D" w:rsidRDefault="00006D8D">
      <w:pPr>
        <w:spacing w:after="0" w:line="240" w:lineRule="auto"/>
      </w:pPr>
      <w:r>
        <w:separator/>
      </w:r>
    </w:p>
  </w:footnote>
  <w:footnote w:type="continuationSeparator" w:id="0">
    <w:p w14:paraId="0054CA14" w14:textId="77777777" w:rsidR="00006D8D" w:rsidRDefault="00006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32"/>
      <w:gridCol w:w="6829"/>
      <w:gridCol w:w="1565"/>
    </w:tblGrid>
    <w:tr w:rsidR="00847F49" w:rsidRPr="00ED4659" w14:paraId="660FEF42" w14:textId="77777777" w:rsidTr="00A922F5">
      <w:trPr>
        <w:trHeight w:val="376"/>
      </w:trPr>
      <w:tc>
        <w:tcPr>
          <w:tcW w:w="2262" w:type="dxa"/>
          <w:vAlign w:val="center"/>
          <w:hideMark/>
        </w:tcPr>
        <w:p w14:paraId="6F86B264" w14:textId="1A5A21BC" w:rsidR="00847F49" w:rsidRPr="009A3B6B" w:rsidRDefault="00847F49" w:rsidP="00F355FC">
          <w:pPr>
            <w:tabs>
              <w:tab w:val="center" w:pos="4419"/>
              <w:tab w:val="right" w:pos="8838"/>
            </w:tabs>
            <w:spacing w:before="60" w:after="60" w:line="240" w:lineRule="auto"/>
            <w:jc w:val="center"/>
            <w:rPr>
              <w:rFonts w:ascii="Arial Narrow" w:hAnsi="Arial Narrow" w:cs="Arial"/>
              <w:color w:val="808080" w:themeColor="background1" w:themeShade="80"/>
              <w:sz w:val="20"/>
              <w:szCs w:val="20"/>
            </w:rPr>
          </w:pPr>
          <w:r w:rsidRPr="009A3B6B">
            <w:rPr>
              <w:rFonts w:ascii="Arial Narrow" w:hAnsi="Arial Narrow" w:cs="Arial"/>
              <w:color w:val="808080" w:themeColor="background1" w:themeShade="80"/>
              <w:sz w:val="20"/>
              <w:szCs w:val="20"/>
            </w:rPr>
            <w:t>CN</w:t>
          </w:r>
          <w:r w:rsidR="004A2EB1">
            <w:rPr>
              <w:rFonts w:ascii="Arial Narrow" w:hAnsi="Arial Narrow" w:cs="Arial"/>
              <w:color w:val="808080" w:themeColor="background1" w:themeShade="80"/>
              <w:sz w:val="20"/>
              <w:szCs w:val="20"/>
            </w:rPr>
            <w:t>BCR</w:t>
          </w:r>
          <w:r w:rsidRPr="009A3B6B">
            <w:rPr>
              <w:rFonts w:ascii="Arial Narrow" w:hAnsi="Arial Narrow" w:cs="Arial"/>
              <w:color w:val="808080" w:themeColor="background1" w:themeShade="80"/>
              <w:sz w:val="20"/>
              <w:szCs w:val="20"/>
            </w:rPr>
            <w:t>-</w:t>
          </w:r>
          <w:r w:rsidR="00832044">
            <w:rPr>
              <w:rFonts w:ascii="Arial Narrow" w:hAnsi="Arial Narrow" w:cs="Arial"/>
              <w:color w:val="808080" w:themeColor="background1" w:themeShade="80"/>
              <w:sz w:val="20"/>
              <w:szCs w:val="20"/>
            </w:rPr>
            <w:t>12</w:t>
          </w:r>
          <w:r w:rsidRPr="009A3B6B">
            <w:rPr>
              <w:rFonts w:ascii="Arial Narrow" w:hAnsi="Arial Narrow" w:cs="Arial"/>
              <w:color w:val="808080" w:themeColor="background1" w:themeShade="80"/>
              <w:sz w:val="20"/>
              <w:szCs w:val="20"/>
            </w:rPr>
            <w:t>/2017</w:t>
          </w:r>
        </w:p>
      </w:tc>
      <w:tc>
        <w:tcPr>
          <w:tcW w:w="6981" w:type="dxa"/>
          <w:vMerge w:val="restart"/>
          <w:vAlign w:val="center"/>
          <w:hideMark/>
        </w:tcPr>
        <w:p w14:paraId="1D769BD1" w14:textId="3C2EB857" w:rsidR="00847F49" w:rsidRPr="00A922F5" w:rsidRDefault="00847F49" w:rsidP="0062428A">
          <w:pPr>
            <w:spacing w:after="0" w:line="240" w:lineRule="auto"/>
            <w:jc w:val="center"/>
            <w:rPr>
              <w:rFonts w:ascii="Arial Narrow" w:hAnsi="Arial Narrow" w:cs="Arial"/>
              <w:b/>
              <w:color w:val="FF0000"/>
              <w:sz w:val="20"/>
              <w:szCs w:val="20"/>
            </w:rPr>
          </w:pPr>
          <w:r>
            <w:rPr>
              <w:rFonts w:ascii="Arial Narrow" w:hAnsi="Arial Narrow" w:cs="Arial"/>
              <w:color w:val="808080" w:themeColor="background1" w:themeShade="80"/>
              <w:sz w:val="20"/>
              <w:szCs w:val="20"/>
            </w:rPr>
            <w:t>NDMC-</w:t>
          </w:r>
          <w:r w:rsidR="0029347D" w:rsidRPr="0029347D">
            <w:rPr>
              <w:rFonts w:ascii="Arial Narrow" w:hAnsi="Arial Narrow" w:cs="Arial"/>
              <w:color w:val="808080" w:themeColor="background1" w:themeShade="80"/>
              <w:sz w:val="20"/>
              <w:szCs w:val="20"/>
            </w:rPr>
            <w:t>15</w:t>
          </w:r>
        </w:p>
        <w:p w14:paraId="6A447392" w14:textId="162047F2" w:rsidR="00847F49" w:rsidRPr="002B1C87" w:rsidRDefault="00847F49" w:rsidP="0062428A">
          <w:pPr>
            <w:keepNext/>
            <w:keepLines/>
            <w:spacing w:after="0" w:line="240" w:lineRule="auto"/>
            <w:contextualSpacing/>
            <w:jc w:val="center"/>
            <w:rPr>
              <w:rFonts w:ascii="Arial Narrow" w:hAnsi="Arial Narrow" w:cs="Arial"/>
              <w:color w:val="808080" w:themeColor="background1" w:themeShade="80"/>
              <w:sz w:val="20"/>
              <w:szCs w:val="20"/>
              <w:lang w:val="es-ES"/>
            </w:rPr>
          </w:pPr>
          <w:r w:rsidRPr="002B1C87">
            <w:rPr>
              <w:rFonts w:ascii="Arial Narrow" w:hAnsi="Arial Narrow" w:cs="Arial"/>
              <w:color w:val="808080" w:themeColor="background1" w:themeShade="80"/>
              <w:sz w:val="20"/>
              <w:szCs w:val="20"/>
            </w:rPr>
            <w:t>NORMAS TÉCNICAS DE CONDUCTA PARA LAS ENTIDADES DE LOS MERCADOS BURSÁTILES</w:t>
          </w:r>
        </w:p>
      </w:tc>
      <w:tc>
        <w:tcPr>
          <w:tcW w:w="1567" w:type="dxa"/>
          <w:vMerge w:val="restart"/>
          <w:vAlign w:val="center"/>
          <w:hideMark/>
        </w:tcPr>
        <w:p w14:paraId="5F128F4A" w14:textId="77777777" w:rsidR="00847F49" w:rsidRPr="009A3B6B" w:rsidRDefault="00847F49" w:rsidP="00A922F5">
          <w:pPr>
            <w:tabs>
              <w:tab w:val="center" w:pos="4419"/>
              <w:tab w:val="right" w:pos="8838"/>
            </w:tabs>
            <w:jc w:val="center"/>
            <w:rPr>
              <w:rFonts w:ascii="Arial Narrow" w:hAnsi="Arial Narrow" w:cs="Arial"/>
              <w:color w:val="808080" w:themeColor="background1" w:themeShade="80"/>
              <w:sz w:val="20"/>
              <w:szCs w:val="20"/>
            </w:rPr>
          </w:pPr>
          <w:r w:rsidRPr="009A3B6B">
            <w:rPr>
              <w:rFonts w:ascii="Arial Narrow" w:hAnsi="Arial Narrow" w:cs="Arial"/>
              <w:noProof/>
              <w:color w:val="808080" w:themeColor="background1" w:themeShade="80"/>
              <w:sz w:val="20"/>
              <w:szCs w:val="20"/>
              <w:lang w:val="es-SV" w:eastAsia="es-SV"/>
            </w:rPr>
            <w:drawing>
              <wp:anchor distT="0" distB="0" distL="114300" distR="114300" simplePos="0" relativeHeight="251660800" behindDoc="0" locked="0" layoutInCell="1" allowOverlap="1" wp14:anchorId="7ED1CA3A" wp14:editId="38249DDE">
                <wp:simplePos x="0" y="0"/>
                <wp:positionH relativeFrom="margin">
                  <wp:posOffset>18415</wp:posOffset>
                </wp:positionH>
                <wp:positionV relativeFrom="margin">
                  <wp:posOffset>111760</wp:posOffset>
                </wp:positionV>
                <wp:extent cx="810260" cy="731520"/>
                <wp:effectExtent l="0" t="0" r="8890" b="0"/>
                <wp:wrapSquare wrapText="bothSides"/>
                <wp:docPr id="5" name="Imagen 5"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731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847F49" w:rsidRPr="00ED4659" w14:paraId="004E3690" w14:textId="77777777" w:rsidTr="00A922F5">
      <w:trPr>
        <w:trHeight w:val="523"/>
      </w:trPr>
      <w:tc>
        <w:tcPr>
          <w:tcW w:w="2262" w:type="dxa"/>
          <w:vAlign w:val="center"/>
          <w:hideMark/>
        </w:tcPr>
        <w:p w14:paraId="0C5AADF7" w14:textId="7772C345" w:rsidR="00847F49" w:rsidRPr="009A3B6B" w:rsidRDefault="00847F49" w:rsidP="00F355FC">
          <w:pPr>
            <w:tabs>
              <w:tab w:val="center" w:pos="4419"/>
              <w:tab w:val="right" w:pos="8838"/>
            </w:tabs>
            <w:spacing w:before="60" w:after="60" w:line="240" w:lineRule="auto"/>
            <w:jc w:val="center"/>
            <w:rPr>
              <w:rFonts w:ascii="Arial Narrow" w:hAnsi="Arial Narrow" w:cs="Arial"/>
              <w:color w:val="808080" w:themeColor="background1" w:themeShade="80"/>
              <w:sz w:val="20"/>
              <w:szCs w:val="20"/>
            </w:rPr>
          </w:pPr>
          <w:r w:rsidRPr="009A3B6B">
            <w:rPr>
              <w:rFonts w:ascii="Arial Narrow" w:hAnsi="Arial Narrow" w:cs="Arial"/>
              <w:color w:val="808080" w:themeColor="background1" w:themeShade="80"/>
              <w:sz w:val="20"/>
              <w:szCs w:val="20"/>
            </w:rPr>
            <w:t xml:space="preserve">Aprobación: </w:t>
          </w:r>
          <w:r w:rsidR="0062428A">
            <w:rPr>
              <w:rFonts w:ascii="Arial Narrow" w:hAnsi="Arial Narrow" w:cs="Arial"/>
              <w:color w:val="808080" w:themeColor="background1" w:themeShade="80"/>
              <w:sz w:val="20"/>
              <w:szCs w:val="20"/>
            </w:rPr>
            <w:t>01</w:t>
          </w:r>
          <w:r w:rsidRPr="009A3B6B">
            <w:rPr>
              <w:rFonts w:ascii="Arial Narrow" w:hAnsi="Arial Narrow" w:cs="Arial"/>
              <w:color w:val="808080" w:themeColor="background1" w:themeShade="80"/>
              <w:sz w:val="20"/>
              <w:szCs w:val="20"/>
            </w:rPr>
            <w:t>/</w:t>
          </w:r>
          <w:r w:rsidR="0062428A">
            <w:rPr>
              <w:rFonts w:ascii="Arial Narrow" w:hAnsi="Arial Narrow" w:cs="Arial"/>
              <w:color w:val="808080" w:themeColor="background1" w:themeShade="80"/>
              <w:sz w:val="20"/>
              <w:szCs w:val="20"/>
            </w:rPr>
            <w:t>12</w:t>
          </w:r>
          <w:r w:rsidRPr="009A3B6B">
            <w:rPr>
              <w:rFonts w:ascii="Arial Narrow" w:hAnsi="Arial Narrow" w:cs="Arial"/>
              <w:color w:val="808080" w:themeColor="background1" w:themeShade="80"/>
              <w:sz w:val="20"/>
              <w:szCs w:val="20"/>
            </w:rPr>
            <w:t>/2017</w:t>
          </w:r>
        </w:p>
      </w:tc>
      <w:tc>
        <w:tcPr>
          <w:tcW w:w="0" w:type="auto"/>
          <w:vMerge/>
          <w:vAlign w:val="center"/>
          <w:hideMark/>
        </w:tcPr>
        <w:p w14:paraId="0DD0A14B" w14:textId="77777777" w:rsidR="00847F49" w:rsidRPr="009A3B6B" w:rsidRDefault="00847F49" w:rsidP="00A922F5">
          <w:pPr>
            <w:rPr>
              <w:rFonts w:ascii="Arial Narrow" w:hAnsi="Arial Narrow" w:cs="Arial"/>
              <w:color w:val="808080" w:themeColor="background1" w:themeShade="80"/>
              <w:sz w:val="20"/>
              <w:szCs w:val="20"/>
            </w:rPr>
          </w:pPr>
        </w:p>
      </w:tc>
      <w:tc>
        <w:tcPr>
          <w:tcW w:w="0" w:type="auto"/>
          <w:vMerge/>
          <w:vAlign w:val="center"/>
          <w:hideMark/>
        </w:tcPr>
        <w:p w14:paraId="17C87571" w14:textId="77777777" w:rsidR="00847F49" w:rsidRPr="009A3B6B" w:rsidRDefault="00847F49" w:rsidP="00A922F5">
          <w:pPr>
            <w:rPr>
              <w:rFonts w:ascii="Arial Narrow" w:hAnsi="Arial Narrow" w:cs="Arial"/>
              <w:color w:val="808080" w:themeColor="background1" w:themeShade="80"/>
              <w:sz w:val="20"/>
              <w:szCs w:val="20"/>
            </w:rPr>
          </w:pPr>
        </w:p>
      </w:tc>
    </w:tr>
    <w:tr w:rsidR="00847F49" w:rsidRPr="00ED4659" w14:paraId="428837CF" w14:textId="77777777" w:rsidTr="0092768C">
      <w:trPr>
        <w:trHeight w:val="516"/>
      </w:trPr>
      <w:tc>
        <w:tcPr>
          <w:tcW w:w="2262" w:type="dxa"/>
          <w:vAlign w:val="center"/>
          <w:hideMark/>
        </w:tcPr>
        <w:p w14:paraId="538FE2DD" w14:textId="70E26120" w:rsidR="00847F49" w:rsidRPr="009A3B6B" w:rsidRDefault="00832044" w:rsidP="00366B18">
          <w:pPr>
            <w:tabs>
              <w:tab w:val="center" w:pos="4419"/>
              <w:tab w:val="right" w:pos="8838"/>
            </w:tabs>
            <w:spacing w:before="60" w:after="60" w:line="240" w:lineRule="auto"/>
            <w:jc w:val="center"/>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Vigencia: 0</w:t>
          </w:r>
          <w:r w:rsidR="00366B18">
            <w:rPr>
              <w:rFonts w:ascii="Arial Narrow" w:hAnsi="Arial Narrow" w:cs="Arial"/>
              <w:color w:val="808080" w:themeColor="background1" w:themeShade="80"/>
              <w:sz w:val="20"/>
              <w:szCs w:val="20"/>
            </w:rPr>
            <w:t>2</w:t>
          </w:r>
          <w:r>
            <w:rPr>
              <w:rFonts w:ascii="Arial Narrow" w:hAnsi="Arial Narrow" w:cs="Arial"/>
              <w:color w:val="808080" w:themeColor="background1" w:themeShade="80"/>
              <w:sz w:val="20"/>
              <w:szCs w:val="20"/>
            </w:rPr>
            <w:t>/01/2018</w:t>
          </w:r>
        </w:p>
      </w:tc>
      <w:tc>
        <w:tcPr>
          <w:tcW w:w="0" w:type="auto"/>
          <w:vMerge/>
          <w:vAlign w:val="center"/>
          <w:hideMark/>
        </w:tcPr>
        <w:p w14:paraId="51FF2D19" w14:textId="77777777" w:rsidR="00847F49" w:rsidRPr="009A3B6B" w:rsidRDefault="00847F49" w:rsidP="00A922F5">
          <w:pPr>
            <w:rPr>
              <w:rFonts w:ascii="Arial Narrow" w:hAnsi="Arial Narrow" w:cs="Arial"/>
              <w:color w:val="808080" w:themeColor="background1" w:themeShade="80"/>
              <w:sz w:val="20"/>
              <w:szCs w:val="20"/>
            </w:rPr>
          </w:pPr>
        </w:p>
      </w:tc>
      <w:tc>
        <w:tcPr>
          <w:tcW w:w="0" w:type="auto"/>
          <w:vMerge/>
          <w:vAlign w:val="center"/>
          <w:hideMark/>
        </w:tcPr>
        <w:p w14:paraId="45720720" w14:textId="77777777" w:rsidR="00847F49" w:rsidRPr="009A3B6B" w:rsidRDefault="00847F49" w:rsidP="00A922F5">
          <w:pPr>
            <w:rPr>
              <w:rFonts w:ascii="Arial Narrow" w:hAnsi="Arial Narrow" w:cs="Arial"/>
              <w:color w:val="808080" w:themeColor="background1" w:themeShade="80"/>
              <w:sz w:val="20"/>
              <w:szCs w:val="20"/>
            </w:rPr>
          </w:pPr>
        </w:p>
      </w:tc>
    </w:tr>
  </w:tbl>
  <w:p w14:paraId="571BE613" w14:textId="034D711A" w:rsidR="00847F49" w:rsidRPr="002B1C87" w:rsidRDefault="00847F49" w:rsidP="002B1C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3DB0"/>
    <w:multiLevelType w:val="hybridMultilevel"/>
    <w:tmpl w:val="9BE89E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6170CE"/>
    <w:multiLevelType w:val="hybridMultilevel"/>
    <w:tmpl w:val="CE5E74FA"/>
    <w:lvl w:ilvl="0" w:tplc="F61C5330">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2E3851"/>
    <w:multiLevelType w:val="hybridMultilevel"/>
    <w:tmpl w:val="672ECBC4"/>
    <w:lvl w:ilvl="0" w:tplc="0F64C19E">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C95BB8"/>
    <w:multiLevelType w:val="hybridMultilevel"/>
    <w:tmpl w:val="82C404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60137A"/>
    <w:multiLevelType w:val="hybridMultilevel"/>
    <w:tmpl w:val="4DD426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5E7485"/>
    <w:multiLevelType w:val="hybridMultilevel"/>
    <w:tmpl w:val="AA02AC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AF33BE"/>
    <w:multiLevelType w:val="hybridMultilevel"/>
    <w:tmpl w:val="9D46F2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BC1FD8"/>
    <w:multiLevelType w:val="hybridMultilevel"/>
    <w:tmpl w:val="D6BEC1B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E2174C"/>
    <w:multiLevelType w:val="hybridMultilevel"/>
    <w:tmpl w:val="8F0AFE6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F3425B3"/>
    <w:multiLevelType w:val="hybridMultilevel"/>
    <w:tmpl w:val="37E47AFE"/>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DE11E25"/>
    <w:multiLevelType w:val="hybridMultilevel"/>
    <w:tmpl w:val="671E747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056731A"/>
    <w:multiLevelType w:val="hybridMultilevel"/>
    <w:tmpl w:val="9C3AFB80"/>
    <w:lvl w:ilvl="0" w:tplc="5A1A24DE">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nsid w:val="417C6AAE"/>
    <w:multiLevelType w:val="hybridMultilevel"/>
    <w:tmpl w:val="4844AE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B37DCD"/>
    <w:multiLevelType w:val="hybridMultilevel"/>
    <w:tmpl w:val="82C404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CE542B0"/>
    <w:multiLevelType w:val="hybridMultilevel"/>
    <w:tmpl w:val="3894E2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E168A5"/>
    <w:multiLevelType w:val="hybridMultilevel"/>
    <w:tmpl w:val="ABF2DDBA"/>
    <w:lvl w:ilvl="0" w:tplc="B63CBC78">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36928E9"/>
    <w:multiLevelType w:val="hybridMultilevel"/>
    <w:tmpl w:val="38E061FC"/>
    <w:lvl w:ilvl="0" w:tplc="D6086BB4">
      <w:start w:val="1"/>
      <w:numFmt w:val="lowerLetter"/>
      <w:lvlText w:val="%1)"/>
      <w:lvlJc w:val="left"/>
      <w:pPr>
        <w:ind w:left="720" w:hanging="360"/>
      </w:pPr>
      <w:rPr>
        <w:rFonts w:ascii="Arial Narrow" w:hAnsi="Arial Narrow" w:cstheme="minorBidi"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7B4C7B"/>
    <w:multiLevelType w:val="hybridMultilevel"/>
    <w:tmpl w:val="9C12C8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CB43EC5"/>
    <w:multiLevelType w:val="hybridMultilevel"/>
    <w:tmpl w:val="CAF6EDC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49A239C"/>
    <w:multiLevelType w:val="hybridMultilevel"/>
    <w:tmpl w:val="A3162D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E14546"/>
    <w:multiLevelType w:val="hybridMultilevel"/>
    <w:tmpl w:val="BA6090B2"/>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6DF34A4C"/>
    <w:multiLevelType w:val="hybridMultilevel"/>
    <w:tmpl w:val="F558E4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61679DD"/>
    <w:multiLevelType w:val="hybridMultilevel"/>
    <w:tmpl w:val="7C564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ED4E73"/>
    <w:multiLevelType w:val="hybridMultilevel"/>
    <w:tmpl w:val="1580251A"/>
    <w:lvl w:ilvl="0" w:tplc="BFF6FC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5"/>
  </w:num>
  <w:num w:numId="5">
    <w:abstractNumId w:val="18"/>
  </w:num>
  <w:num w:numId="6">
    <w:abstractNumId w:val="9"/>
  </w:num>
  <w:num w:numId="7">
    <w:abstractNumId w:val="1"/>
  </w:num>
  <w:num w:numId="8">
    <w:abstractNumId w:val="8"/>
  </w:num>
  <w:num w:numId="9">
    <w:abstractNumId w:val="7"/>
  </w:num>
  <w:num w:numId="10">
    <w:abstractNumId w:val="23"/>
  </w:num>
  <w:num w:numId="11">
    <w:abstractNumId w:val="12"/>
  </w:num>
  <w:num w:numId="12">
    <w:abstractNumId w:val="20"/>
  </w:num>
  <w:num w:numId="13">
    <w:abstractNumId w:val="5"/>
  </w:num>
  <w:num w:numId="14">
    <w:abstractNumId w:val="11"/>
  </w:num>
  <w:num w:numId="15">
    <w:abstractNumId w:val="4"/>
  </w:num>
  <w:num w:numId="16">
    <w:abstractNumId w:val="16"/>
  </w:num>
  <w:num w:numId="17">
    <w:abstractNumId w:val="22"/>
  </w:num>
  <w:num w:numId="18">
    <w:abstractNumId w:val="3"/>
  </w:num>
  <w:num w:numId="19">
    <w:abstractNumId w:val="14"/>
  </w:num>
  <w:num w:numId="20">
    <w:abstractNumId w:val="0"/>
  </w:num>
  <w:num w:numId="21">
    <w:abstractNumId w:val="21"/>
  </w:num>
  <w:num w:numId="22">
    <w:abstractNumId w:val="1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B4"/>
    <w:rsid w:val="00004F21"/>
    <w:rsid w:val="00006D8D"/>
    <w:rsid w:val="00007770"/>
    <w:rsid w:val="00011E43"/>
    <w:rsid w:val="000128DD"/>
    <w:rsid w:val="00015BE2"/>
    <w:rsid w:val="000200E4"/>
    <w:rsid w:val="00020220"/>
    <w:rsid w:val="00020EBA"/>
    <w:rsid w:val="000210E0"/>
    <w:rsid w:val="00024880"/>
    <w:rsid w:val="00027DD4"/>
    <w:rsid w:val="00031D64"/>
    <w:rsid w:val="0003452F"/>
    <w:rsid w:val="00035E9B"/>
    <w:rsid w:val="00043DC5"/>
    <w:rsid w:val="000443E3"/>
    <w:rsid w:val="00047DEA"/>
    <w:rsid w:val="00051312"/>
    <w:rsid w:val="00053A23"/>
    <w:rsid w:val="00055DA8"/>
    <w:rsid w:val="00057C66"/>
    <w:rsid w:val="000621C2"/>
    <w:rsid w:val="00065185"/>
    <w:rsid w:val="00065DDC"/>
    <w:rsid w:val="00066FB7"/>
    <w:rsid w:val="00067EB4"/>
    <w:rsid w:val="00071881"/>
    <w:rsid w:val="00072087"/>
    <w:rsid w:val="00075B23"/>
    <w:rsid w:val="00091EFA"/>
    <w:rsid w:val="0009223D"/>
    <w:rsid w:val="00094D8B"/>
    <w:rsid w:val="000A00F2"/>
    <w:rsid w:val="000A12FA"/>
    <w:rsid w:val="000A3BCA"/>
    <w:rsid w:val="000B0914"/>
    <w:rsid w:val="000B5C7E"/>
    <w:rsid w:val="000C5AD5"/>
    <w:rsid w:val="000E3168"/>
    <w:rsid w:val="000E467B"/>
    <w:rsid w:val="000E4F5B"/>
    <w:rsid w:val="000F04C1"/>
    <w:rsid w:val="000F7D52"/>
    <w:rsid w:val="001005CE"/>
    <w:rsid w:val="001006E9"/>
    <w:rsid w:val="001009DC"/>
    <w:rsid w:val="00103979"/>
    <w:rsid w:val="00111E81"/>
    <w:rsid w:val="001139C3"/>
    <w:rsid w:val="00122FFA"/>
    <w:rsid w:val="00123CE6"/>
    <w:rsid w:val="00134B42"/>
    <w:rsid w:val="001408CE"/>
    <w:rsid w:val="00146995"/>
    <w:rsid w:val="0015604D"/>
    <w:rsid w:val="00157135"/>
    <w:rsid w:val="0016547B"/>
    <w:rsid w:val="00165BEE"/>
    <w:rsid w:val="001738FB"/>
    <w:rsid w:val="00175BBE"/>
    <w:rsid w:val="0019074E"/>
    <w:rsid w:val="001930BF"/>
    <w:rsid w:val="00194D2D"/>
    <w:rsid w:val="00194F1F"/>
    <w:rsid w:val="001A4DC0"/>
    <w:rsid w:val="001A50E6"/>
    <w:rsid w:val="001A67C8"/>
    <w:rsid w:val="001A6FE8"/>
    <w:rsid w:val="001B21E5"/>
    <w:rsid w:val="001B57B3"/>
    <w:rsid w:val="001B6D4B"/>
    <w:rsid w:val="001B6F31"/>
    <w:rsid w:val="001C771F"/>
    <w:rsid w:val="001D596B"/>
    <w:rsid w:val="001E4B8C"/>
    <w:rsid w:val="001E4D00"/>
    <w:rsid w:val="0020225B"/>
    <w:rsid w:val="002054A3"/>
    <w:rsid w:val="00206C73"/>
    <w:rsid w:val="0022013A"/>
    <w:rsid w:val="0022030D"/>
    <w:rsid w:val="002423F0"/>
    <w:rsid w:val="002450FC"/>
    <w:rsid w:val="00246454"/>
    <w:rsid w:val="00256AC3"/>
    <w:rsid w:val="0026447C"/>
    <w:rsid w:val="0027475F"/>
    <w:rsid w:val="00274F6B"/>
    <w:rsid w:val="00277F66"/>
    <w:rsid w:val="0029347D"/>
    <w:rsid w:val="002A123D"/>
    <w:rsid w:val="002A1E57"/>
    <w:rsid w:val="002A6EA7"/>
    <w:rsid w:val="002B1980"/>
    <w:rsid w:val="002B1C87"/>
    <w:rsid w:val="002C0B6B"/>
    <w:rsid w:val="002C289D"/>
    <w:rsid w:val="002D038A"/>
    <w:rsid w:val="002D0FBE"/>
    <w:rsid w:val="002D40FF"/>
    <w:rsid w:val="002D6E65"/>
    <w:rsid w:val="002E0E27"/>
    <w:rsid w:val="002E1510"/>
    <w:rsid w:val="002E1EDF"/>
    <w:rsid w:val="002E39F7"/>
    <w:rsid w:val="002E72FE"/>
    <w:rsid w:val="002F277A"/>
    <w:rsid w:val="002F7334"/>
    <w:rsid w:val="003004A2"/>
    <w:rsid w:val="003078CD"/>
    <w:rsid w:val="003103EA"/>
    <w:rsid w:val="00312260"/>
    <w:rsid w:val="003137CA"/>
    <w:rsid w:val="00316832"/>
    <w:rsid w:val="00322D02"/>
    <w:rsid w:val="003236CD"/>
    <w:rsid w:val="00323F4A"/>
    <w:rsid w:val="00324F59"/>
    <w:rsid w:val="00330DE6"/>
    <w:rsid w:val="00332453"/>
    <w:rsid w:val="0033422F"/>
    <w:rsid w:val="00334F9A"/>
    <w:rsid w:val="00336327"/>
    <w:rsid w:val="00340508"/>
    <w:rsid w:val="00343891"/>
    <w:rsid w:val="003505D3"/>
    <w:rsid w:val="003525BE"/>
    <w:rsid w:val="003526C2"/>
    <w:rsid w:val="00354B7E"/>
    <w:rsid w:val="003604BC"/>
    <w:rsid w:val="00366B18"/>
    <w:rsid w:val="00382783"/>
    <w:rsid w:val="00383377"/>
    <w:rsid w:val="00391EE0"/>
    <w:rsid w:val="003927C9"/>
    <w:rsid w:val="003A0808"/>
    <w:rsid w:val="003B2C4E"/>
    <w:rsid w:val="003C3341"/>
    <w:rsid w:val="003D05B9"/>
    <w:rsid w:val="003D1220"/>
    <w:rsid w:val="003D2C37"/>
    <w:rsid w:val="003D415C"/>
    <w:rsid w:val="003E57AD"/>
    <w:rsid w:val="003E6F05"/>
    <w:rsid w:val="003F0666"/>
    <w:rsid w:val="003F41BF"/>
    <w:rsid w:val="003F4CD1"/>
    <w:rsid w:val="003F70E9"/>
    <w:rsid w:val="00400318"/>
    <w:rsid w:val="004025DE"/>
    <w:rsid w:val="00403FE6"/>
    <w:rsid w:val="004110CC"/>
    <w:rsid w:val="00411B97"/>
    <w:rsid w:val="0041237F"/>
    <w:rsid w:val="0041305B"/>
    <w:rsid w:val="00415194"/>
    <w:rsid w:val="00427470"/>
    <w:rsid w:val="004328DD"/>
    <w:rsid w:val="00435D06"/>
    <w:rsid w:val="00435E8E"/>
    <w:rsid w:val="00436A19"/>
    <w:rsid w:val="00437A46"/>
    <w:rsid w:val="00442E93"/>
    <w:rsid w:val="00450429"/>
    <w:rsid w:val="0045236A"/>
    <w:rsid w:val="00452DD2"/>
    <w:rsid w:val="0045512D"/>
    <w:rsid w:val="004563BD"/>
    <w:rsid w:val="004579CA"/>
    <w:rsid w:val="00463825"/>
    <w:rsid w:val="0047099A"/>
    <w:rsid w:val="00472BBD"/>
    <w:rsid w:val="0047514E"/>
    <w:rsid w:val="0047702B"/>
    <w:rsid w:val="00480BC1"/>
    <w:rsid w:val="0048665F"/>
    <w:rsid w:val="00486B4D"/>
    <w:rsid w:val="00490A18"/>
    <w:rsid w:val="00493AD2"/>
    <w:rsid w:val="00496FD7"/>
    <w:rsid w:val="004A2EB1"/>
    <w:rsid w:val="004A33B4"/>
    <w:rsid w:val="004A4CE4"/>
    <w:rsid w:val="004B079D"/>
    <w:rsid w:val="004C638A"/>
    <w:rsid w:val="004C6CB0"/>
    <w:rsid w:val="004C7C88"/>
    <w:rsid w:val="004C7F62"/>
    <w:rsid w:val="004D2377"/>
    <w:rsid w:val="004D3794"/>
    <w:rsid w:val="004D6597"/>
    <w:rsid w:val="004E7E61"/>
    <w:rsid w:val="004F2DBE"/>
    <w:rsid w:val="004F2F50"/>
    <w:rsid w:val="004F63BC"/>
    <w:rsid w:val="00503669"/>
    <w:rsid w:val="005118FD"/>
    <w:rsid w:val="00514989"/>
    <w:rsid w:val="005165F4"/>
    <w:rsid w:val="00521513"/>
    <w:rsid w:val="00525E77"/>
    <w:rsid w:val="00530B2C"/>
    <w:rsid w:val="0053277B"/>
    <w:rsid w:val="00532B18"/>
    <w:rsid w:val="005366DC"/>
    <w:rsid w:val="00556A72"/>
    <w:rsid w:val="00561576"/>
    <w:rsid w:val="00563046"/>
    <w:rsid w:val="005636CB"/>
    <w:rsid w:val="0056487F"/>
    <w:rsid w:val="005648E6"/>
    <w:rsid w:val="005716D4"/>
    <w:rsid w:val="00582EEA"/>
    <w:rsid w:val="0058382E"/>
    <w:rsid w:val="00583E6D"/>
    <w:rsid w:val="00584593"/>
    <w:rsid w:val="0059253A"/>
    <w:rsid w:val="005A5553"/>
    <w:rsid w:val="005A75AD"/>
    <w:rsid w:val="005B08E4"/>
    <w:rsid w:val="005B7E1D"/>
    <w:rsid w:val="005C38DB"/>
    <w:rsid w:val="005C6079"/>
    <w:rsid w:val="005C66C3"/>
    <w:rsid w:val="005D0092"/>
    <w:rsid w:val="005D09AF"/>
    <w:rsid w:val="005D196B"/>
    <w:rsid w:val="005D2B53"/>
    <w:rsid w:val="005D3B62"/>
    <w:rsid w:val="005D5034"/>
    <w:rsid w:val="005D5852"/>
    <w:rsid w:val="005D6440"/>
    <w:rsid w:val="005D6720"/>
    <w:rsid w:val="005D6C4F"/>
    <w:rsid w:val="005D7701"/>
    <w:rsid w:val="005D7712"/>
    <w:rsid w:val="005E0129"/>
    <w:rsid w:val="005E33DC"/>
    <w:rsid w:val="005F0ECC"/>
    <w:rsid w:val="0060291C"/>
    <w:rsid w:val="00607BDD"/>
    <w:rsid w:val="00611E6E"/>
    <w:rsid w:val="00613EF1"/>
    <w:rsid w:val="00620508"/>
    <w:rsid w:val="0062428A"/>
    <w:rsid w:val="00630C06"/>
    <w:rsid w:val="006311C9"/>
    <w:rsid w:val="006323ED"/>
    <w:rsid w:val="006332C5"/>
    <w:rsid w:val="006353F4"/>
    <w:rsid w:val="006356E4"/>
    <w:rsid w:val="00642203"/>
    <w:rsid w:val="00650F51"/>
    <w:rsid w:val="00652514"/>
    <w:rsid w:val="00652607"/>
    <w:rsid w:val="00652EA5"/>
    <w:rsid w:val="00654D04"/>
    <w:rsid w:val="00655150"/>
    <w:rsid w:val="006567C8"/>
    <w:rsid w:val="00661BB5"/>
    <w:rsid w:val="00665703"/>
    <w:rsid w:val="00666625"/>
    <w:rsid w:val="006729AA"/>
    <w:rsid w:val="0067464A"/>
    <w:rsid w:val="00675B0D"/>
    <w:rsid w:val="006766BB"/>
    <w:rsid w:val="00683C7B"/>
    <w:rsid w:val="00684386"/>
    <w:rsid w:val="00684469"/>
    <w:rsid w:val="006844A1"/>
    <w:rsid w:val="00684DB4"/>
    <w:rsid w:val="0069262F"/>
    <w:rsid w:val="00692FC8"/>
    <w:rsid w:val="0069331B"/>
    <w:rsid w:val="006B14FB"/>
    <w:rsid w:val="006B1B72"/>
    <w:rsid w:val="006B3CB4"/>
    <w:rsid w:val="006B723B"/>
    <w:rsid w:val="006B74E9"/>
    <w:rsid w:val="006C0DE2"/>
    <w:rsid w:val="006C109C"/>
    <w:rsid w:val="006C2A00"/>
    <w:rsid w:val="006C44CD"/>
    <w:rsid w:val="006C4A6A"/>
    <w:rsid w:val="006D6C49"/>
    <w:rsid w:val="006E267C"/>
    <w:rsid w:val="006E4D70"/>
    <w:rsid w:val="006E7690"/>
    <w:rsid w:val="006F4326"/>
    <w:rsid w:val="006F5534"/>
    <w:rsid w:val="006F76A7"/>
    <w:rsid w:val="00701CD8"/>
    <w:rsid w:val="00702120"/>
    <w:rsid w:val="0070514D"/>
    <w:rsid w:val="0070626C"/>
    <w:rsid w:val="007079F7"/>
    <w:rsid w:val="00710ADA"/>
    <w:rsid w:val="0071109F"/>
    <w:rsid w:val="007125EC"/>
    <w:rsid w:val="00712EBB"/>
    <w:rsid w:val="00715E3A"/>
    <w:rsid w:val="0071636E"/>
    <w:rsid w:val="00720388"/>
    <w:rsid w:val="007210E3"/>
    <w:rsid w:val="007214CA"/>
    <w:rsid w:val="007424F3"/>
    <w:rsid w:val="007445A4"/>
    <w:rsid w:val="00744A68"/>
    <w:rsid w:val="0075425F"/>
    <w:rsid w:val="007649EF"/>
    <w:rsid w:val="00767C7E"/>
    <w:rsid w:val="00777C8F"/>
    <w:rsid w:val="007805B4"/>
    <w:rsid w:val="00780E15"/>
    <w:rsid w:val="00781038"/>
    <w:rsid w:val="007815D2"/>
    <w:rsid w:val="00785F0F"/>
    <w:rsid w:val="0078610C"/>
    <w:rsid w:val="00792A32"/>
    <w:rsid w:val="00794034"/>
    <w:rsid w:val="007A026E"/>
    <w:rsid w:val="007A48EA"/>
    <w:rsid w:val="007B52DD"/>
    <w:rsid w:val="007C1A39"/>
    <w:rsid w:val="007D5A8F"/>
    <w:rsid w:val="007E3802"/>
    <w:rsid w:val="007F0951"/>
    <w:rsid w:val="007F18F1"/>
    <w:rsid w:val="007F3555"/>
    <w:rsid w:val="007F4C0E"/>
    <w:rsid w:val="007F582E"/>
    <w:rsid w:val="00802142"/>
    <w:rsid w:val="00804440"/>
    <w:rsid w:val="0080662A"/>
    <w:rsid w:val="00810447"/>
    <w:rsid w:val="00810BC6"/>
    <w:rsid w:val="0081342A"/>
    <w:rsid w:val="008162EB"/>
    <w:rsid w:val="008222D8"/>
    <w:rsid w:val="00832044"/>
    <w:rsid w:val="008332FB"/>
    <w:rsid w:val="00833A3E"/>
    <w:rsid w:val="0083602C"/>
    <w:rsid w:val="00837069"/>
    <w:rsid w:val="00847DB2"/>
    <w:rsid w:val="00847F49"/>
    <w:rsid w:val="00851FCC"/>
    <w:rsid w:val="00852F1A"/>
    <w:rsid w:val="00854DB9"/>
    <w:rsid w:val="00856915"/>
    <w:rsid w:val="00861EF5"/>
    <w:rsid w:val="00863331"/>
    <w:rsid w:val="00865E0B"/>
    <w:rsid w:val="008713B7"/>
    <w:rsid w:val="00875B50"/>
    <w:rsid w:val="00883D57"/>
    <w:rsid w:val="00887389"/>
    <w:rsid w:val="00887691"/>
    <w:rsid w:val="00891DED"/>
    <w:rsid w:val="00893A16"/>
    <w:rsid w:val="008B1C93"/>
    <w:rsid w:val="008B3045"/>
    <w:rsid w:val="008B5477"/>
    <w:rsid w:val="008C7118"/>
    <w:rsid w:val="008C794A"/>
    <w:rsid w:val="008E15A2"/>
    <w:rsid w:val="008F1CFB"/>
    <w:rsid w:val="008F47DC"/>
    <w:rsid w:val="008F4A12"/>
    <w:rsid w:val="008F5935"/>
    <w:rsid w:val="00910E39"/>
    <w:rsid w:val="009143FB"/>
    <w:rsid w:val="00922275"/>
    <w:rsid w:val="00923499"/>
    <w:rsid w:val="009238E5"/>
    <w:rsid w:val="0092768C"/>
    <w:rsid w:val="00932488"/>
    <w:rsid w:val="0093288D"/>
    <w:rsid w:val="00933957"/>
    <w:rsid w:val="00936AF8"/>
    <w:rsid w:val="00936C1E"/>
    <w:rsid w:val="0094206E"/>
    <w:rsid w:val="00957AAC"/>
    <w:rsid w:val="009626C7"/>
    <w:rsid w:val="00975346"/>
    <w:rsid w:val="00977F09"/>
    <w:rsid w:val="00980C79"/>
    <w:rsid w:val="0098566C"/>
    <w:rsid w:val="00986CFB"/>
    <w:rsid w:val="00991CE6"/>
    <w:rsid w:val="00997643"/>
    <w:rsid w:val="009A17A3"/>
    <w:rsid w:val="009A2D1E"/>
    <w:rsid w:val="009B3B56"/>
    <w:rsid w:val="009B3F4E"/>
    <w:rsid w:val="009B69E0"/>
    <w:rsid w:val="009C42B8"/>
    <w:rsid w:val="009C678F"/>
    <w:rsid w:val="009D0BAF"/>
    <w:rsid w:val="009D2092"/>
    <w:rsid w:val="009D64E4"/>
    <w:rsid w:val="009E0693"/>
    <w:rsid w:val="009E2F44"/>
    <w:rsid w:val="009E7C91"/>
    <w:rsid w:val="009F585F"/>
    <w:rsid w:val="00A00C61"/>
    <w:rsid w:val="00A13ABA"/>
    <w:rsid w:val="00A15A2F"/>
    <w:rsid w:val="00A2619D"/>
    <w:rsid w:val="00A32BF9"/>
    <w:rsid w:val="00A46A7A"/>
    <w:rsid w:val="00A4799A"/>
    <w:rsid w:val="00A57F7D"/>
    <w:rsid w:val="00A60B6F"/>
    <w:rsid w:val="00A633C5"/>
    <w:rsid w:val="00A7054B"/>
    <w:rsid w:val="00A7674A"/>
    <w:rsid w:val="00A768AA"/>
    <w:rsid w:val="00A77D62"/>
    <w:rsid w:val="00A86FCB"/>
    <w:rsid w:val="00A922F5"/>
    <w:rsid w:val="00A925E5"/>
    <w:rsid w:val="00A95D46"/>
    <w:rsid w:val="00AA4A09"/>
    <w:rsid w:val="00AA72E2"/>
    <w:rsid w:val="00AA7C0E"/>
    <w:rsid w:val="00AB2C54"/>
    <w:rsid w:val="00AC19F7"/>
    <w:rsid w:val="00AC2FEF"/>
    <w:rsid w:val="00AC575E"/>
    <w:rsid w:val="00AC7372"/>
    <w:rsid w:val="00AD3C0C"/>
    <w:rsid w:val="00AD6D1E"/>
    <w:rsid w:val="00AD7802"/>
    <w:rsid w:val="00AE018D"/>
    <w:rsid w:val="00AE2535"/>
    <w:rsid w:val="00AF252D"/>
    <w:rsid w:val="00AF4DAC"/>
    <w:rsid w:val="00AF7DC6"/>
    <w:rsid w:val="00B001AD"/>
    <w:rsid w:val="00B008FB"/>
    <w:rsid w:val="00B00B52"/>
    <w:rsid w:val="00B0231D"/>
    <w:rsid w:val="00B0315D"/>
    <w:rsid w:val="00B04468"/>
    <w:rsid w:val="00B06507"/>
    <w:rsid w:val="00B12907"/>
    <w:rsid w:val="00B1589A"/>
    <w:rsid w:val="00B16C8D"/>
    <w:rsid w:val="00B200E4"/>
    <w:rsid w:val="00B20918"/>
    <w:rsid w:val="00B25F41"/>
    <w:rsid w:val="00B261EB"/>
    <w:rsid w:val="00B4350B"/>
    <w:rsid w:val="00B44018"/>
    <w:rsid w:val="00B50486"/>
    <w:rsid w:val="00B525BF"/>
    <w:rsid w:val="00B5659A"/>
    <w:rsid w:val="00B5713B"/>
    <w:rsid w:val="00B608E7"/>
    <w:rsid w:val="00B61A5B"/>
    <w:rsid w:val="00B73860"/>
    <w:rsid w:val="00B8531B"/>
    <w:rsid w:val="00B859AB"/>
    <w:rsid w:val="00B97F75"/>
    <w:rsid w:val="00BA1686"/>
    <w:rsid w:val="00BB4DEB"/>
    <w:rsid w:val="00BB7ABB"/>
    <w:rsid w:val="00BC78EC"/>
    <w:rsid w:val="00BD5616"/>
    <w:rsid w:val="00BD5DFD"/>
    <w:rsid w:val="00BD65EE"/>
    <w:rsid w:val="00BE0FA9"/>
    <w:rsid w:val="00BE1FD2"/>
    <w:rsid w:val="00BE325E"/>
    <w:rsid w:val="00BE3D4B"/>
    <w:rsid w:val="00BE56FB"/>
    <w:rsid w:val="00BE6E3E"/>
    <w:rsid w:val="00BE78DA"/>
    <w:rsid w:val="00BF03E3"/>
    <w:rsid w:val="00BF0BAD"/>
    <w:rsid w:val="00BF1577"/>
    <w:rsid w:val="00BF2582"/>
    <w:rsid w:val="00BF3BA9"/>
    <w:rsid w:val="00C0393B"/>
    <w:rsid w:val="00C04F09"/>
    <w:rsid w:val="00C05C88"/>
    <w:rsid w:val="00C06AD5"/>
    <w:rsid w:val="00C13410"/>
    <w:rsid w:val="00C16743"/>
    <w:rsid w:val="00C213BF"/>
    <w:rsid w:val="00C219F7"/>
    <w:rsid w:val="00C30889"/>
    <w:rsid w:val="00C3120C"/>
    <w:rsid w:val="00C33E7A"/>
    <w:rsid w:val="00C35C49"/>
    <w:rsid w:val="00C42965"/>
    <w:rsid w:val="00C430A9"/>
    <w:rsid w:val="00C459D5"/>
    <w:rsid w:val="00C505AD"/>
    <w:rsid w:val="00C52624"/>
    <w:rsid w:val="00C550D9"/>
    <w:rsid w:val="00C6008B"/>
    <w:rsid w:val="00C61F40"/>
    <w:rsid w:val="00C622C2"/>
    <w:rsid w:val="00C65DEB"/>
    <w:rsid w:val="00C70505"/>
    <w:rsid w:val="00C73D41"/>
    <w:rsid w:val="00C81B74"/>
    <w:rsid w:val="00C86A15"/>
    <w:rsid w:val="00C87345"/>
    <w:rsid w:val="00C92FEF"/>
    <w:rsid w:val="00C97440"/>
    <w:rsid w:val="00CA37B2"/>
    <w:rsid w:val="00CA3F62"/>
    <w:rsid w:val="00CB461F"/>
    <w:rsid w:val="00CC2C33"/>
    <w:rsid w:val="00CC4AEB"/>
    <w:rsid w:val="00CC7C1B"/>
    <w:rsid w:val="00CF40F2"/>
    <w:rsid w:val="00CF41FA"/>
    <w:rsid w:val="00CF4B1E"/>
    <w:rsid w:val="00D04D8E"/>
    <w:rsid w:val="00D06EDE"/>
    <w:rsid w:val="00D122D6"/>
    <w:rsid w:val="00D133C3"/>
    <w:rsid w:val="00D13D97"/>
    <w:rsid w:val="00D13DB9"/>
    <w:rsid w:val="00D17183"/>
    <w:rsid w:val="00D25912"/>
    <w:rsid w:val="00D4034F"/>
    <w:rsid w:val="00D42DDE"/>
    <w:rsid w:val="00D51881"/>
    <w:rsid w:val="00D54252"/>
    <w:rsid w:val="00D5456D"/>
    <w:rsid w:val="00D6068C"/>
    <w:rsid w:val="00D72C4C"/>
    <w:rsid w:val="00D80418"/>
    <w:rsid w:val="00D909DA"/>
    <w:rsid w:val="00D90C7E"/>
    <w:rsid w:val="00D933D5"/>
    <w:rsid w:val="00D94E56"/>
    <w:rsid w:val="00DA551D"/>
    <w:rsid w:val="00DA65B1"/>
    <w:rsid w:val="00DA6F37"/>
    <w:rsid w:val="00DB13F6"/>
    <w:rsid w:val="00DB76C9"/>
    <w:rsid w:val="00DC209C"/>
    <w:rsid w:val="00DD7069"/>
    <w:rsid w:val="00DE320D"/>
    <w:rsid w:val="00DE55D5"/>
    <w:rsid w:val="00DE67C5"/>
    <w:rsid w:val="00DF55A1"/>
    <w:rsid w:val="00DF647A"/>
    <w:rsid w:val="00E06ACF"/>
    <w:rsid w:val="00E1273C"/>
    <w:rsid w:val="00E144F9"/>
    <w:rsid w:val="00E1629B"/>
    <w:rsid w:val="00E21CBB"/>
    <w:rsid w:val="00E22A60"/>
    <w:rsid w:val="00E233D0"/>
    <w:rsid w:val="00E35866"/>
    <w:rsid w:val="00E35D3B"/>
    <w:rsid w:val="00E35FE9"/>
    <w:rsid w:val="00E37A3E"/>
    <w:rsid w:val="00E438F0"/>
    <w:rsid w:val="00E45C1D"/>
    <w:rsid w:val="00E46FB5"/>
    <w:rsid w:val="00E65035"/>
    <w:rsid w:val="00E667CB"/>
    <w:rsid w:val="00E75C02"/>
    <w:rsid w:val="00E75E6D"/>
    <w:rsid w:val="00E82CD8"/>
    <w:rsid w:val="00E86FB3"/>
    <w:rsid w:val="00E926FA"/>
    <w:rsid w:val="00E93350"/>
    <w:rsid w:val="00EA4C25"/>
    <w:rsid w:val="00EB24E7"/>
    <w:rsid w:val="00ED24F1"/>
    <w:rsid w:val="00ED4233"/>
    <w:rsid w:val="00ED7D70"/>
    <w:rsid w:val="00EE52C6"/>
    <w:rsid w:val="00EE669F"/>
    <w:rsid w:val="00EF0B74"/>
    <w:rsid w:val="00EF3BDB"/>
    <w:rsid w:val="00F0136E"/>
    <w:rsid w:val="00F061DB"/>
    <w:rsid w:val="00F12B49"/>
    <w:rsid w:val="00F13A1C"/>
    <w:rsid w:val="00F23295"/>
    <w:rsid w:val="00F25CFE"/>
    <w:rsid w:val="00F31260"/>
    <w:rsid w:val="00F313A0"/>
    <w:rsid w:val="00F31A0B"/>
    <w:rsid w:val="00F32CBE"/>
    <w:rsid w:val="00F355FC"/>
    <w:rsid w:val="00F4158A"/>
    <w:rsid w:val="00F4215A"/>
    <w:rsid w:val="00F511F5"/>
    <w:rsid w:val="00F523E9"/>
    <w:rsid w:val="00F56222"/>
    <w:rsid w:val="00F650EA"/>
    <w:rsid w:val="00F661C9"/>
    <w:rsid w:val="00F71070"/>
    <w:rsid w:val="00F72A9F"/>
    <w:rsid w:val="00F730E4"/>
    <w:rsid w:val="00F840C3"/>
    <w:rsid w:val="00F90037"/>
    <w:rsid w:val="00F91F88"/>
    <w:rsid w:val="00F95C4D"/>
    <w:rsid w:val="00F97D7B"/>
    <w:rsid w:val="00FA2400"/>
    <w:rsid w:val="00FA4CC0"/>
    <w:rsid w:val="00FB08E5"/>
    <w:rsid w:val="00FB1A99"/>
    <w:rsid w:val="00FB1B39"/>
    <w:rsid w:val="00FB2E22"/>
    <w:rsid w:val="00FB44C0"/>
    <w:rsid w:val="00FB496D"/>
    <w:rsid w:val="00FC0192"/>
    <w:rsid w:val="00FC039F"/>
    <w:rsid w:val="00FC4B3E"/>
    <w:rsid w:val="00FD092B"/>
    <w:rsid w:val="00FD5057"/>
    <w:rsid w:val="00FD5A10"/>
    <w:rsid w:val="00FE44EA"/>
    <w:rsid w:val="00FE5066"/>
    <w:rsid w:val="00FE782C"/>
    <w:rsid w:val="00FF1147"/>
    <w:rsid w:val="00FF2721"/>
    <w:rsid w:val="00FF30F4"/>
    <w:rsid w:val="00FF3356"/>
    <w:rsid w:val="00FF50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D5F45"/>
  <w15:docId w15:val="{3AAD3A92-8B90-41CF-8395-A98C3E25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8C"/>
    <w:rPr>
      <w:lang w:val="es-MX"/>
    </w:rPr>
  </w:style>
  <w:style w:type="paragraph" w:styleId="Ttulo1">
    <w:name w:val="heading 1"/>
    <w:basedOn w:val="Normal"/>
    <w:next w:val="Normal"/>
    <w:link w:val="Ttulo1Car"/>
    <w:uiPriority w:val="9"/>
    <w:qFormat/>
    <w:rsid w:val="002423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2423F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423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84DB4"/>
    <w:pPr>
      <w:ind w:left="720"/>
      <w:contextualSpacing/>
    </w:pPr>
  </w:style>
  <w:style w:type="character" w:styleId="Refdecomentario">
    <w:name w:val="annotation reference"/>
    <w:basedOn w:val="Fuentedeprrafopredeter"/>
    <w:uiPriority w:val="99"/>
    <w:semiHidden/>
    <w:unhideWhenUsed/>
    <w:rsid w:val="00684DB4"/>
    <w:rPr>
      <w:sz w:val="16"/>
      <w:szCs w:val="16"/>
    </w:rPr>
  </w:style>
  <w:style w:type="paragraph" w:styleId="Textocomentario">
    <w:name w:val="annotation text"/>
    <w:basedOn w:val="Normal"/>
    <w:link w:val="TextocomentarioCar"/>
    <w:uiPriority w:val="99"/>
    <w:unhideWhenUsed/>
    <w:rsid w:val="00684DB4"/>
    <w:pPr>
      <w:spacing w:line="240" w:lineRule="auto"/>
    </w:pPr>
    <w:rPr>
      <w:sz w:val="20"/>
      <w:szCs w:val="20"/>
    </w:rPr>
  </w:style>
  <w:style w:type="character" w:customStyle="1" w:styleId="TextocomentarioCar">
    <w:name w:val="Texto comentario Car"/>
    <w:basedOn w:val="Fuentedeprrafopredeter"/>
    <w:link w:val="Textocomentario"/>
    <w:uiPriority w:val="99"/>
    <w:rsid w:val="00684DB4"/>
    <w:rPr>
      <w:sz w:val="20"/>
      <w:szCs w:val="20"/>
      <w:lang w:val="es-MX"/>
    </w:rPr>
  </w:style>
  <w:style w:type="paragraph" w:styleId="Textodeglobo">
    <w:name w:val="Balloon Text"/>
    <w:basedOn w:val="Normal"/>
    <w:link w:val="TextodegloboCar"/>
    <w:uiPriority w:val="99"/>
    <w:semiHidden/>
    <w:unhideWhenUsed/>
    <w:rsid w:val="00684D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DB4"/>
    <w:rPr>
      <w:rFonts w:ascii="Tahoma" w:hAnsi="Tahoma" w:cs="Tahoma"/>
      <w:sz w:val="16"/>
      <w:szCs w:val="16"/>
      <w:lang w:val="es-MX"/>
    </w:rPr>
  </w:style>
  <w:style w:type="table" w:styleId="Tablaconcuadrcula">
    <w:name w:val="Table Grid"/>
    <w:basedOn w:val="Tablanormal"/>
    <w:uiPriority w:val="59"/>
    <w:rsid w:val="00684DB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E782C"/>
    <w:rPr>
      <w:b/>
      <w:bCs/>
    </w:rPr>
  </w:style>
  <w:style w:type="character" w:customStyle="1" w:styleId="AsuntodelcomentarioCar">
    <w:name w:val="Asunto del comentario Car"/>
    <w:basedOn w:val="TextocomentarioCar"/>
    <w:link w:val="Asuntodelcomentario"/>
    <w:uiPriority w:val="99"/>
    <w:semiHidden/>
    <w:rsid w:val="00FE782C"/>
    <w:rPr>
      <w:b/>
      <w:bCs/>
      <w:sz w:val="20"/>
      <w:szCs w:val="20"/>
      <w:lang w:val="es-MX"/>
    </w:rPr>
  </w:style>
  <w:style w:type="paragraph" w:customStyle="1" w:styleId="Default">
    <w:name w:val="Default"/>
    <w:rsid w:val="00611E6E"/>
    <w:pPr>
      <w:autoSpaceDE w:val="0"/>
      <w:autoSpaceDN w:val="0"/>
      <w:adjustRightInd w:val="0"/>
      <w:spacing w:after="0" w:line="240" w:lineRule="auto"/>
    </w:pPr>
    <w:rPr>
      <w:rFonts w:ascii="Tahoma" w:hAnsi="Tahoma" w:cs="Tahoma"/>
      <w:color w:val="000000"/>
      <w:sz w:val="24"/>
      <w:szCs w:val="24"/>
    </w:rPr>
  </w:style>
  <w:style w:type="paragraph" w:styleId="Textoindependiente">
    <w:name w:val="Body Text"/>
    <w:basedOn w:val="Normal"/>
    <w:link w:val="TextoindependienteCar"/>
    <w:uiPriority w:val="99"/>
    <w:unhideWhenUsed/>
    <w:rsid w:val="0056487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56487F"/>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52514"/>
    <w:rPr>
      <w:lang w:val="es-MX"/>
    </w:rPr>
  </w:style>
  <w:style w:type="paragraph" w:styleId="Encabezado">
    <w:name w:val="header"/>
    <w:basedOn w:val="Normal"/>
    <w:link w:val="EncabezadoCar"/>
    <w:uiPriority w:val="99"/>
    <w:unhideWhenUsed/>
    <w:rsid w:val="004274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7470"/>
    <w:rPr>
      <w:lang w:val="es-MX"/>
    </w:rPr>
  </w:style>
  <w:style w:type="paragraph" w:styleId="Piedepgina">
    <w:name w:val="footer"/>
    <w:basedOn w:val="Normal"/>
    <w:link w:val="PiedepginaCar"/>
    <w:uiPriority w:val="99"/>
    <w:unhideWhenUsed/>
    <w:rsid w:val="004274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7470"/>
    <w:rPr>
      <w:lang w:val="es-MX"/>
    </w:rPr>
  </w:style>
  <w:style w:type="numbering" w:customStyle="1" w:styleId="Sinlista1">
    <w:name w:val="Sin lista1"/>
    <w:next w:val="Sinlista"/>
    <w:uiPriority w:val="99"/>
    <w:semiHidden/>
    <w:unhideWhenUsed/>
    <w:rsid w:val="002450FC"/>
  </w:style>
  <w:style w:type="table" w:customStyle="1" w:styleId="Tablaconcuadrcula1">
    <w:name w:val="Tabla con cuadrícula1"/>
    <w:basedOn w:val="Tablanormal"/>
    <w:next w:val="Tablaconcuadrcula"/>
    <w:uiPriority w:val="59"/>
    <w:rsid w:val="002450F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450FC"/>
    <w:pPr>
      <w:spacing w:after="0" w:line="240" w:lineRule="auto"/>
    </w:pPr>
    <w:rPr>
      <w:lang w:val="es-MX"/>
    </w:rPr>
  </w:style>
  <w:style w:type="character" w:styleId="Textoennegrita">
    <w:name w:val="Strong"/>
    <w:basedOn w:val="Fuentedeprrafopredeter"/>
    <w:uiPriority w:val="22"/>
    <w:qFormat/>
    <w:rsid w:val="002450FC"/>
    <w:rPr>
      <w:b/>
      <w:bCs/>
    </w:rPr>
  </w:style>
  <w:style w:type="character" w:styleId="Hipervnculo">
    <w:name w:val="Hyperlink"/>
    <w:basedOn w:val="Fuentedeprrafopredeter"/>
    <w:uiPriority w:val="99"/>
    <w:unhideWhenUsed/>
    <w:rsid w:val="00F511F5"/>
    <w:rPr>
      <w:color w:val="0000FF" w:themeColor="hyperlink"/>
      <w:u w:val="single"/>
    </w:rPr>
  </w:style>
  <w:style w:type="character" w:styleId="Refdenotaalpie">
    <w:name w:val="footnote reference"/>
    <w:basedOn w:val="Fuentedeprrafopredeter"/>
    <w:uiPriority w:val="99"/>
    <w:semiHidden/>
    <w:unhideWhenUsed/>
    <w:rsid w:val="00C505AD"/>
    <w:rPr>
      <w:vertAlign w:val="superscript"/>
    </w:rPr>
  </w:style>
  <w:style w:type="paragraph" w:styleId="Revisin">
    <w:name w:val="Revision"/>
    <w:hidden/>
    <w:uiPriority w:val="99"/>
    <w:semiHidden/>
    <w:rsid w:val="00C505AD"/>
    <w:pPr>
      <w:spacing w:after="0" w:line="240" w:lineRule="auto"/>
    </w:pPr>
    <w:rPr>
      <w:lang w:val="es-MX"/>
    </w:rPr>
  </w:style>
  <w:style w:type="character" w:styleId="Hipervnculovisitado">
    <w:name w:val="FollowedHyperlink"/>
    <w:basedOn w:val="Fuentedeprrafopredeter"/>
    <w:uiPriority w:val="99"/>
    <w:semiHidden/>
    <w:unhideWhenUsed/>
    <w:rsid w:val="00DD7069"/>
    <w:rPr>
      <w:color w:val="800080" w:themeColor="followedHyperlink"/>
      <w:u w:val="single"/>
    </w:rPr>
  </w:style>
  <w:style w:type="paragraph" w:customStyle="1" w:styleId="Style11">
    <w:name w:val="Style11"/>
    <w:basedOn w:val="Normal"/>
    <w:uiPriority w:val="99"/>
    <w:rsid w:val="007424F3"/>
    <w:pPr>
      <w:widowControl w:val="0"/>
      <w:autoSpaceDE w:val="0"/>
      <w:autoSpaceDN w:val="0"/>
      <w:adjustRightInd w:val="0"/>
      <w:spacing w:after="0" w:line="240" w:lineRule="exact"/>
      <w:ind w:firstLine="341"/>
      <w:jc w:val="both"/>
    </w:pPr>
    <w:rPr>
      <w:rFonts w:ascii="Arial" w:eastAsiaTheme="minorEastAsia" w:hAnsi="Arial" w:cs="Arial"/>
      <w:sz w:val="24"/>
      <w:szCs w:val="24"/>
      <w:lang w:val="es-SV" w:eastAsia="es-SV"/>
    </w:rPr>
  </w:style>
  <w:style w:type="character" w:customStyle="1" w:styleId="FontStyle34">
    <w:name w:val="Font Style34"/>
    <w:basedOn w:val="Fuentedeprrafopredeter"/>
    <w:uiPriority w:val="99"/>
    <w:rsid w:val="007424F3"/>
    <w:rPr>
      <w:rFonts w:ascii="Arial Unicode MS" w:eastAsia="Arial Unicode MS" w:cs="Arial Unicode MS"/>
      <w:sz w:val="20"/>
      <w:szCs w:val="20"/>
    </w:rPr>
  </w:style>
  <w:style w:type="character" w:customStyle="1" w:styleId="Ttulo1Car">
    <w:name w:val="Título 1 Car"/>
    <w:basedOn w:val="Fuentedeprrafopredeter"/>
    <w:link w:val="Ttulo1"/>
    <w:uiPriority w:val="9"/>
    <w:rsid w:val="002423F0"/>
    <w:rPr>
      <w:rFonts w:asciiTheme="majorHAnsi" w:eastAsiaTheme="majorEastAsia" w:hAnsiTheme="majorHAnsi" w:cstheme="majorBidi"/>
      <w:b/>
      <w:bCs/>
      <w:color w:val="365F91" w:themeColor="accent1" w:themeShade="BF"/>
      <w:sz w:val="28"/>
      <w:szCs w:val="28"/>
      <w:lang w:val="es-MX"/>
    </w:rPr>
  </w:style>
  <w:style w:type="character" w:customStyle="1" w:styleId="Ttulo3Car">
    <w:name w:val="Título 3 Car"/>
    <w:basedOn w:val="Fuentedeprrafopredeter"/>
    <w:link w:val="Ttulo3"/>
    <w:uiPriority w:val="9"/>
    <w:semiHidden/>
    <w:rsid w:val="002423F0"/>
    <w:rPr>
      <w:rFonts w:asciiTheme="majorHAnsi" w:eastAsiaTheme="majorEastAsia" w:hAnsiTheme="majorHAnsi" w:cstheme="majorBidi"/>
      <w:b/>
      <w:bCs/>
      <w:color w:val="4F81BD" w:themeColor="accent1"/>
      <w:lang w:val="es-MX"/>
    </w:rPr>
  </w:style>
  <w:style w:type="character" w:customStyle="1" w:styleId="Ttulo4Car">
    <w:name w:val="Título 4 Car"/>
    <w:basedOn w:val="Fuentedeprrafopredeter"/>
    <w:link w:val="Ttulo4"/>
    <w:uiPriority w:val="9"/>
    <w:semiHidden/>
    <w:rsid w:val="002423F0"/>
    <w:rPr>
      <w:rFonts w:asciiTheme="majorHAnsi" w:eastAsiaTheme="majorEastAsia" w:hAnsiTheme="majorHAnsi" w:cstheme="majorBidi"/>
      <w:b/>
      <w:bCs/>
      <w:i/>
      <w:iCs/>
      <w:color w:val="4F81BD" w:themeColor="accent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82220">
      <w:bodyDiv w:val="1"/>
      <w:marLeft w:val="0"/>
      <w:marRight w:val="0"/>
      <w:marTop w:val="0"/>
      <w:marBottom w:val="0"/>
      <w:divBdr>
        <w:top w:val="none" w:sz="0" w:space="0" w:color="auto"/>
        <w:left w:val="none" w:sz="0" w:space="0" w:color="auto"/>
        <w:bottom w:val="none" w:sz="0" w:space="0" w:color="auto"/>
        <w:right w:val="none" w:sz="0" w:space="0" w:color="auto"/>
      </w:divBdr>
    </w:div>
    <w:div w:id="11189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cef04110afd476d384151fcf00b88e77">
  <xsd:schema xmlns:xsd="http://www.w3.org/2001/XMLSchema" xmlns:xs="http://www.w3.org/2001/XMLSchema" xmlns:p="http://schemas.microsoft.com/office/2006/metadata/properties" xmlns:ns2="105040ed-cd99-4010-bc1f-517bccb458f6" targetNamespace="http://schemas.microsoft.com/office/2006/metadata/properties" ma:root="true" ma:fieldsID="cfcdb92b8c2441d29f2b15db3a048c41" ns2:_="">
    <xsd:import namespace="105040ed-cd99-4010-bc1f-517bccb45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35191-D902-4EFB-8BC7-8BA93F49E4C5}"/>
</file>

<file path=customXml/itemProps2.xml><?xml version="1.0" encoding="utf-8"?>
<ds:datastoreItem xmlns:ds="http://schemas.openxmlformats.org/officeDocument/2006/customXml" ds:itemID="{1489F3B9-4111-46A6-933A-7C9EF6D2DACC}"/>
</file>

<file path=customXml/itemProps3.xml><?xml version="1.0" encoding="utf-8"?>
<ds:datastoreItem xmlns:ds="http://schemas.openxmlformats.org/officeDocument/2006/customXml" ds:itemID="{26FB2BD0-16A0-41BE-AF9A-8307B4FB1859}"/>
</file>

<file path=customXml/itemProps4.xml><?xml version="1.0" encoding="utf-8"?>
<ds:datastoreItem xmlns:ds="http://schemas.openxmlformats.org/officeDocument/2006/customXml" ds:itemID="{3578D99C-69A9-45E2-B112-A04B89CBBAEC}"/>
</file>

<file path=docProps/app.xml><?xml version="1.0" encoding="utf-8"?>
<Properties xmlns="http://schemas.openxmlformats.org/officeDocument/2006/extended-properties" xmlns:vt="http://schemas.openxmlformats.org/officeDocument/2006/docPropsVTypes">
  <Template>Normal.dotm</Template>
  <TotalTime>0</TotalTime>
  <Pages>10</Pages>
  <Words>3534</Words>
  <Characters>19439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Karen Beatriz Bonilla Sánchez</cp:lastModifiedBy>
  <cp:revision>2</cp:revision>
  <cp:lastPrinted>2017-12-11T23:32:00Z</cp:lastPrinted>
  <dcterms:created xsi:type="dcterms:W3CDTF">2017-12-11T23:32:00Z</dcterms:created>
  <dcterms:modified xsi:type="dcterms:W3CDTF">2017-12-11T23:32:00Z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ies>
</file>