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BA" w:rsidRPr="0046571C" w:rsidRDefault="00FB19BA" w:rsidP="00257FE9">
      <w:pPr>
        <w:pStyle w:val="Textoindependiente"/>
        <w:keepNext/>
        <w:numPr>
          <w:ilvl w:val="0"/>
          <w:numId w:val="0"/>
        </w:numPr>
        <w:tabs>
          <w:tab w:val="clear" w:pos="851"/>
        </w:tabs>
        <w:rPr>
          <w:szCs w:val="24"/>
          <w:lang w:val="es-ES"/>
        </w:rPr>
      </w:pPr>
      <w:r w:rsidRPr="0046571C">
        <w:rPr>
          <w:szCs w:val="24"/>
          <w:lang w:val="es-ES"/>
        </w:rPr>
        <w:t xml:space="preserve">El </w:t>
      </w:r>
      <w:r w:rsidR="00CC6616">
        <w:rPr>
          <w:szCs w:val="24"/>
          <w:lang w:val="es-ES"/>
        </w:rPr>
        <w:t>Consejo Directivo</w:t>
      </w:r>
      <w:r w:rsidRPr="0046571C">
        <w:rPr>
          <w:szCs w:val="24"/>
          <w:lang w:val="es-ES"/>
        </w:rPr>
        <w:t>, considerando:</w:t>
      </w:r>
    </w:p>
    <w:p w:rsidR="00034BD6" w:rsidRDefault="00766128" w:rsidP="00257FE9">
      <w:pPr>
        <w:keepNext/>
        <w:numPr>
          <w:ilvl w:val="0"/>
          <w:numId w:val="6"/>
        </w:numPr>
        <w:tabs>
          <w:tab w:val="clear" w:pos="1364"/>
          <w:tab w:val="num" w:pos="709"/>
        </w:tabs>
        <w:ind w:left="709" w:hanging="283"/>
        <w:jc w:val="both"/>
        <w:rPr>
          <w:szCs w:val="24"/>
        </w:rPr>
      </w:pPr>
      <w:r>
        <w:rPr>
          <w:szCs w:val="24"/>
        </w:rPr>
        <w:t>Que e</w:t>
      </w:r>
      <w:r w:rsidR="00CC6616">
        <w:rPr>
          <w:szCs w:val="24"/>
        </w:rPr>
        <w:t>n Sesión</w:t>
      </w:r>
      <w:r w:rsidR="003C5067">
        <w:rPr>
          <w:szCs w:val="24"/>
        </w:rPr>
        <w:t xml:space="preserve"> número</w:t>
      </w:r>
      <w:r w:rsidR="00CC6616">
        <w:rPr>
          <w:szCs w:val="24"/>
        </w:rPr>
        <w:t xml:space="preserve"> CD</w:t>
      </w:r>
      <w:r w:rsidR="00F14F9B">
        <w:rPr>
          <w:szCs w:val="24"/>
        </w:rPr>
        <w:t>-</w:t>
      </w:r>
      <w:r w:rsidR="002D6B42">
        <w:rPr>
          <w:szCs w:val="24"/>
        </w:rPr>
        <w:t>2</w:t>
      </w:r>
      <w:r w:rsidR="00C87C87">
        <w:rPr>
          <w:szCs w:val="24"/>
        </w:rPr>
        <w:t>5</w:t>
      </w:r>
      <w:r w:rsidR="003C5067">
        <w:rPr>
          <w:szCs w:val="24"/>
        </w:rPr>
        <w:t>, celebrada el</w:t>
      </w:r>
      <w:r w:rsidR="00CC6616">
        <w:rPr>
          <w:szCs w:val="24"/>
        </w:rPr>
        <w:t xml:space="preserve"> </w:t>
      </w:r>
      <w:r w:rsidR="00C87C87">
        <w:rPr>
          <w:szCs w:val="24"/>
        </w:rPr>
        <w:t>22</w:t>
      </w:r>
      <w:r w:rsidR="00CC6616">
        <w:rPr>
          <w:szCs w:val="24"/>
        </w:rPr>
        <w:t xml:space="preserve"> de junio</w:t>
      </w:r>
      <w:r w:rsidR="002D6B42">
        <w:rPr>
          <w:szCs w:val="24"/>
        </w:rPr>
        <w:t xml:space="preserve"> del 200</w:t>
      </w:r>
      <w:r w:rsidR="00C87C87">
        <w:rPr>
          <w:szCs w:val="24"/>
        </w:rPr>
        <w:t>5</w:t>
      </w:r>
      <w:r w:rsidR="002D6B42">
        <w:rPr>
          <w:szCs w:val="24"/>
        </w:rPr>
        <w:t>,</w:t>
      </w:r>
      <w:r w:rsidR="003C5067">
        <w:rPr>
          <w:szCs w:val="24"/>
        </w:rPr>
        <w:t xml:space="preserve"> el Consejo Directivo de </w:t>
      </w:r>
      <w:smartTag w:uri="urn:schemas-microsoft-com:office:smarttags" w:element="PersonName">
        <w:smartTagPr>
          <w:attr w:name="ProductID" w:val="la Superintendencia"/>
        </w:smartTagPr>
        <w:r w:rsidR="003C5067">
          <w:rPr>
            <w:szCs w:val="24"/>
          </w:rPr>
          <w:t xml:space="preserve">la </w:t>
        </w:r>
        <w:smartTag w:uri="urn:schemas-microsoft-com:office:smarttags" w:element="PersonName">
          <w:smartTagPr>
            <w:attr w:name="ProductID" w:val="Superintendencia de Valores"/>
          </w:smartTagPr>
          <w:r w:rsidR="003C5067">
            <w:rPr>
              <w:szCs w:val="24"/>
            </w:rPr>
            <w:t>Superintendencia</w:t>
          </w:r>
        </w:smartTag>
      </w:smartTag>
      <w:r w:rsidR="003C5067">
        <w:rPr>
          <w:szCs w:val="24"/>
        </w:rPr>
        <w:t xml:space="preserve"> de Valores, acordó aprobar</w:t>
      </w:r>
      <w:r w:rsidR="00CC6616">
        <w:rPr>
          <w:szCs w:val="24"/>
        </w:rPr>
        <w:t xml:space="preserve"> </w:t>
      </w:r>
      <w:smartTag w:uri="urn:schemas-microsoft-com:office:smarttags" w:element="PersonName">
        <w:smartTagPr>
          <w:attr w:name="ProductID" w:val="la Resoluci￳n"/>
        </w:smartTagPr>
        <w:r w:rsidR="00CC6616">
          <w:rPr>
            <w:szCs w:val="24"/>
          </w:rPr>
          <w:t>la Resolución</w:t>
        </w:r>
      </w:smartTag>
      <w:r w:rsidR="00CC6616">
        <w:rPr>
          <w:szCs w:val="24"/>
        </w:rPr>
        <w:t xml:space="preserve"> “RCTG-4/200</w:t>
      </w:r>
      <w:r w:rsidR="00C87C87">
        <w:rPr>
          <w:szCs w:val="24"/>
        </w:rPr>
        <w:t>5</w:t>
      </w:r>
      <w:r w:rsidR="00CC6616">
        <w:rPr>
          <w:szCs w:val="24"/>
        </w:rPr>
        <w:t xml:space="preserve"> </w:t>
      </w:r>
      <w:r w:rsidR="00C87C87">
        <w:rPr>
          <w:szCs w:val="24"/>
        </w:rPr>
        <w:t>Lineamientos para la publicación de comisiones y rendimientos de las entidades fiscalizadas</w:t>
      </w:r>
      <w:r w:rsidR="00CC6616">
        <w:rPr>
          <w:szCs w:val="24"/>
        </w:rPr>
        <w:t>”</w:t>
      </w:r>
      <w:r w:rsidR="003C5067">
        <w:rPr>
          <w:szCs w:val="24"/>
        </w:rPr>
        <w:t>.</w:t>
      </w:r>
      <w:r w:rsidR="00CC6616">
        <w:rPr>
          <w:szCs w:val="24"/>
        </w:rPr>
        <w:t xml:space="preserve"> </w:t>
      </w:r>
    </w:p>
    <w:p w:rsidR="00BD02E6" w:rsidRDefault="00106DCB" w:rsidP="00257FE9">
      <w:pPr>
        <w:keepNext/>
        <w:numPr>
          <w:ilvl w:val="0"/>
          <w:numId w:val="6"/>
        </w:numPr>
        <w:tabs>
          <w:tab w:val="clear" w:pos="1364"/>
          <w:tab w:val="num" w:pos="709"/>
        </w:tabs>
        <w:ind w:left="709" w:hanging="283"/>
        <w:jc w:val="both"/>
        <w:rPr>
          <w:szCs w:val="24"/>
        </w:rPr>
      </w:pPr>
      <w:r>
        <w:rPr>
          <w:szCs w:val="24"/>
        </w:rPr>
        <w:t>Que</w:t>
      </w:r>
      <w:r w:rsidR="00405625">
        <w:rPr>
          <w:szCs w:val="24"/>
        </w:rPr>
        <w:t xml:space="preserve"> </w:t>
      </w:r>
      <w:r w:rsidR="00031C62">
        <w:rPr>
          <w:szCs w:val="24"/>
        </w:rPr>
        <w:t>l</w:t>
      </w:r>
      <w:r w:rsidR="004038F5">
        <w:rPr>
          <w:szCs w:val="24"/>
        </w:rPr>
        <w:t xml:space="preserve">a </w:t>
      </w:r>
      <w:r w:rsidR="00E06859">
        <w:rPr>
          <w:szCs w:val="24"/>
        </w:rPr>
        <w:t xml:space="preserve">Ley de Protección al Consumidor establece disposiciones en su artículo 19, sobre la </w:t>
      </w:r>
      <w:r w:rsidR="004038F5">
        <w:rPr>
          <w:szCs w:val="24"/>
        </w:rPr>
        <w:t xml:space="preserve">información que las casas </w:t>
      </w:r>
      <w:r w:rsidR="005724FE">
        <w:rPr>
          <w:szCs w:val="24"/>
        </w:rPr>
        <w:t xml:space="preserve">corredoras </w:t>
      </w:r>
      <w:r w:rsidR="004038F5">
        <w:rPr>
          <w:szCs w:val="24"/>
        </w:rPr>
        <w:t>proporcionan</w:t>
      </w:r>
      <w:r w:rsidR="00E06859">
        <w:rPr>
          <w:szCs w:val="24"/>
        </w:rPr>
        <w:t xml:space="preserve"> a través de los contratos que firman con </w:t>
      </w:r>
      <w:r w:rsidR="004038F5">
        <w:rPr>
          <w:szCs w:val="24"/>
        </w:rPr>
        <w:t>sus clientes sobre las comisiones que cobran</w:t>
      </w:r>
      <w:r w:rsidR="00E06859">
        <w:rPr>
          <w:szCs w:val="24"/>
        </w:rPr>
        <w:t>, además</w:t>
      </w:r>
      <w:r w:rsidR="00ED6C2D">
        <w:rPr>
          <w:szCs w:val="24"/>
        </w:rPr>
        <w:t xml:space="preserve"> </w:t>
      </w:r>
      <w:r w:rsidR="00031C62">
        <w:rPr>
          <w:szCs w:val="24"/>
        </w:rPr>
        <w:t>en su artículo 27</w:t>
      </w:r>
      <w:r w:rsidR="00ED6C2D">
        <w:rPr>
          <w:szCs w:val="24"/>
        </w:rPr>
        <w:t xml:space="preserve"> establece la obligación de proporcionar información de forma clara, veraz, completa y oportuna sobre las características de los bienes y servicios puestos a disposición de los consumidores, especialmente en aspectos como el precio, tasa o tarifa y en su caso, el importe de los incrementos o descuentos, los impuestos que correspondan y los costos adicionales por servicios, accesorios, financiamiento, prórroga del plazo u otras circunstancias semejantes;</w:t>
      </w:r>
    </w:p>
    <w:p w:rsidR="00ED6C2D" w:rsidRDefault="00B563CD" w:rsidP="00257FE9">
      <w:pPr>
        <w:keepNext/>
        <w:numPr>
          <w:ilvl w:val="0"/>
          <w:numId w:val="6"/>
        </w:numPr>
        <w:tabs>
          <w:tab w:val="clear" w:pos="1364"/>
          <w:tab w:val="num" w:pos="709"/>
        </w:tabs>
        <w:ind w:left="709" w:hanging="283"/>
        <w:jc w:val="both"/>
        <w:rPr>
          <w:szCs w:val="24"/>
        </w:rPr>
      </w:pPr>
      <w:r>
        <w:rPr>
          <w:szCs w:val="24"/>
        </w:rPr>
        <w:t xml:space="preserve">Que </w:t>
      </w:r>
      <w:r w:rsidR="000A7C7B">
        <w:rPr>
          <w:szCs w:val="24"/>
        </w:rPr>
        <w:t>la información sobre las comisiones que las casas cobran por sus servicios, se realiza a través de publicacion</w:t>
      </w:r>
      <w:r w:rsidR="007B7FDA">
        <w:rPr>
          <w:szCs w:val="24"/>
        </w:rPr>
        <w:t>es en los periódicos</w:t>
      </w:r>
      <w:r w:rsidR="003C02FE">
        <w:rPr>
          <w:szCs w:val="24"/>
        </w:rPr>
        <w:t>.</w:t>
      </w:r>
      <w:r w:rsidR="007B7FDA">
        <w:rPr>
          <w:szCs w:val="24"/>
        </w:rPr>
        <w:t xml:space="preserve"> </w:t>
      </w:r>
    </w:p>
    <w:p w:rsidR="00D764DC" w:rsidRPr="00D764DC" w:rsidRDefault="00D764DC" w:rsidP="00257FE9">
      <w:pPr>
        <w:keepNext/>
        <w:numPr>
          <w:ilvl w:val="0"/>
          <w:numId w:val="6"/>
        </w:numPr>
        <w:tabs>
          <w:tab w:val="clear" w:pos="1364"/>
          <w:tab w:val="num" w:pos="709"/>
        </w:tabs>
        <w:ind w:left="709" w:hanging="283"/>
        <w:jc w:val="both"/>
        <w:rPr>
          <w:szCs w:val="24"/>
        </w:rPr>
      </w:pPr>
      <w:r w:rsidRPr="00D764DC">
        <w:rPr>
          <w:szCs w:val="24"/>
        </w:rPr>
        <w:t xml:space="preserve">Que el artículo 96 de </w:t>
      </w:r>
      <w:smartTag w:uri="urn:schemas-microsoft-com:office:smarttags" w:element="PersonName">
        <w:smartTagPr>
          <w:attr w:name="ProductID" w:val="la Ley"/>
        </w:smartTagPr>
        <w:r w:rsidRPr="00D764DC">
          <w:rPr>
            <w:szCs w:val="24"/>
          </w:rPr>
          <w:t>la Ley</w:t>
        </w:r>
      </w:smartTag>
      <w:r w:rsidRPr="00D764DC">
        <w:rPr>
          <w:szCs w:val="24"/>
        </w:rPr>
        <w:t xml:space="preserve"> del Mercado de Valores establece que </w:t>
      </w:r>
      <w:smartTag w:uri="urn:schemas-microsoft-com:office:smarttags" w:element="PersonName">
        <w:smartTagPr>
          <w:attr w:name="ProductID" w:val="la Superintendencia"/>
        </w:smartTagPr>
        <w:r w:rsidRPr="00D764DC">
          <w:rPr>
            <w:szCs w:val="24"/>
          </w:rPr>
          <w:t>la Superintendencia</w:t>
        </w:r>
      </w:smartTag>
      <w:r w:rsidRPr="00D764DC">
        <w:rPr>
          <w:szCs w:val="24"/>
        </w:rPr>
        <w:t xml:space="preserve"> de Valores podrá emitir resoluciones para regular la publicación de comisiones cobradas por las sociedades que intervengan en el mercado de valores.</w:t>
      </w:r>
    </w:p>
    <w:p w:rsidR="00BD5156" w:rsidRDefault="00BB50ED" w:rsidP="00257FE9">
      <w:pPr>
        <w:keepNext/>
        <w:jc w:val="both"/>
        <w:rPr>
          <w:szCs w:val="24"/>
        </w:rPr>
      </w:pPr>
      <w:r w:rsidRPr="0046571C">
        <w:rPr>
          <w:szCs w:val="24"/>
        </w:rPr>
        <w:t>Por tanto, con base a las</w:t>
      </w:r>
      <w:r w:rsidR="003C5067">
        <w:rPr>
          <w:szCs w:val="24"/>
        </w:rPr>
        <w:t xml:space="preserve"> consideraciones anteriormente expuestas, el Consejo Directivo</w:t>
      </w:r>
      <w:r w:rsidRPr="0046571C">
        <w:rPr>
          <w:szCs w:val="24"/>
        </w:rPr>
        <w:t xml:space="preserve">, </w:t>
      </w:r>
      <w:r w:rsidR="002D6B42">
        <w:rPr>
          <w:szCs w:val="24"/>
        </w:rPr>
        <w:t>ACUERDA</w:t>
      </w:r>
      <w:r w:rsidRPr="0046571C">
        <w:rPr>
          <w:szCs w:val="24"/>
        </w:rPr>
        <w:t>:</w:t>
      </w:r>
      <w:r w:rsidR="00AA6B2E">
        <w:rPr>
          <w:szCs w:val="24"/>
        </w:rPr>
        <w:t xml:space="preserve"> </w:t>
      </w:r>
    </w:p>
    <w:p w:rsidR="00405625" w:rsidRDefault="00D764DC" w:rsidP="00257FE9">
      <w:pPr>
        <w:pStyle w:val="Textoindependiente"/>
        <w:keepNext/>
        <w:numPr>
          <w:ilvl w:val="0"/>
          <w:numId w:val="5"/>
        </w:numPr>
        <w:tabs>
          <w:tab w:val="clear" w:pos="1410"/>
          <w:tab w:val="num" w:pos="284"/>
        </w:tabs>
        <w:ind w:left="284" w:hanging="284"/>
        <w:rPr>
          <w:szCs w:val="24"/>
        </w:rPr>
      </w:pPr>
      <w:r>
        <w:rPr>
          <w:szCs w:val="24"/>
        </w:rPr>
        <w:t xml:space="preserve">Modificar </w:t>
      </w:r>
      <w:smartTag w:uri="urn:schemas-microsoft-com:office:smarttags" w:element="PersonName">
        <w:smartTagPr>
          <w:attr w:name="ProductID" w:val="la Resoluci￳n"/>
        </w:smartTagPr>
        <w:r>
          <w:rPr>
            <w:szCs w:val="24"/>
          </w:rPr>
          <w:t>la Resolución</w:t>
        </w:r>
      </w:smartTag>
      <w:r>
        <w:rPr>
          <w:szCs w:val="24"/>
        </w:rPr>
        <w:t xml:space="preserve"> “RCTG-4/2005 Lineamientos para la publicación de comisiones y rendimientos de las entidades fiscalizadas”, conforme el siguiente detalle:</w:t>
      </w:r>
    </w:p>
    <w:p w:rsidR="00D764DC" w:rsidRDefault="00D764DC" w:rsidP="00257FE9">
      <w:pPr>
        <w:pStyle w:val="Textoindependiente"/>
        <w:keepNext/>
        <w:numPr>
          <w:ilvl w:val="1"/>
          <w:numId w:val="5"/>
        </w:numPr>
        <w:tabs>
          <w:tab w:val="clear" w:pos="1935"/>
          <w:tab w:val="num" w:pos="851"/>
        </w:tabs>
        <w:ind w:left="851"/>
        <w:rPr>
          <w:szCs w:val="24"/>
        </w:rPr>
      </w:pPr>
      <w:r>
        <w:rPr>
          <w:szCs w:val="24"/>
        </w:rPr>
        <w:t>Sustituir los literales b y c del numeral 4 por los siguientes:</w:t>
      </w:r>
    </w:p>
    <w:p w:rsidR="00D764DC" w:rsidRDefault="00D764DC" w:rsidP="009A2DED">
      <w:pPr>
        <w:pStyle w:val="NormalWeb"/>
        <w:keepNext/>
        <w:spacing w:before="60" w:beforeAutospacing="0" w:after="40" w:afterAutospacing="0"/>
        <w:ind w:left="1134" w:right="565"/>
        <w:jc w:val="both"/>
        <w:rPr>
          <w:color w:val="000000"/>
          <w:lang w:val="es-ES_tradnl"/>
        </w:rPr>
      </w:pPr>
      <w:r>
        <w:rPr>
          <w:color w:val="000000"/>
          <w:lang w:val="es-MX"/>
        </w:rPr>
        <w:t xml:space="preserve">Literal b) </w:t>
      </w:r>
      <w:r w:rsidRPr="00C83DD9">
        <w:rPr>
          <w:color w:val="000000"/>
        </w:rPr>
        <w:t xml:space="preserve">Comisiones a cobrar en el mes de la publicación, establecidas para cada una de las operaciones y servicios que se definan. </w:t>
      </w:r>
      <w:r>
        <w:rPr>
          <w:color w:val="000000"/>
        </w:rPr>
        <w:t xml:space="preserve">Definiendo el </w:t>
      </w:r>
      <w:r w:rsidRPr="00C83DD9">
        <w:rPr>
          <w:color w:val="000000"/>
        </w:rPr>
        <w:t>monto o tasa</w:t>
      </w:r>
      <w:r w:rsidR="00554F16">
        <w:rPr>
          <w:color w:val="000000"/>
        </w:rPr>
        <w:t xml:space="preserve"> máxima a cobrar</w:t>
      </w:r>
      <w:r>
        <w:rPr>
          <w:color w:val="000000"/>
        </w:rPr>
        <w:t>, en</w:t>
      </w:r>
      <w:r w:rsidRPr="00C83DD9">
        <w:rPr>
          <w:color w:val="000000"/>
        </w:rPr>
        <w:t xml:space="preserve">  </w:t>
      </w:r>
      <w:r w:rsidRPr="00D764DC">
        <w:rPr>
          <w:color w:val="000000"/>
          <w:lang w:val="es-ES_tradnl"/>
        </w:rPr>
        <w:t xml:space="preserve">cumplimiento con lo establecido en </w:t>
      </w:r>
      <w:r w:rsidR="005724FE">
        <w:rPr>
          <w:color w:val="000000"/>
          <w:lang w:val="es-ES_tradnl"/>
        </w:rPr>
        <w:t>los</w:t>
      </w:r>
      <w:r w:rsidRPr="00D764DC">
        <w:rPr>
          <w:color w:val="000000"/>
          <w:lang w:val="es-ES_tradnl"/>
        </w:rPr>
        <w:t xml:space="preserve"> Art</w:t>
      </w:r>
      <w:r w:rsidR="005724FE">
        <w:rPr>
          <w:color w:val="000000"/>
          <w:lang w:val="es-ES_tradnl"/>
        </w:rPr>
        <w:t>s</w:t>
      </w:r>
      <w:r w:rsidRPr="00D764DC">
        <w:rPr>
          <w:color w:val="000000"/>
          <w:lang w:val="es-ES_tradnl"/>
        </w:rPr>
        <w:t xml:space="preserve">. </w:t>
      </w:r>
      <w:r w:rsidR="00DA4C71">
        <w:rPr>
          <w:color w:val="000000"/>
          <w:lang w:val="es-ES_tradnl"/>
        </w:rPr>
        <w:t xml:space="preserve">19 y </w:t>
      </w:r>
      <w:r w:rsidRPr="00D764DC">
        <w:rPr>
          <w:color w:val="000000"/>
          <w:lang w:val="es-ES_tradnl"/>
        </w:rPr>
        <w:t xml:space="preserve">27 de </w:t>
      </w:r>
      <w:smartTag w:uri="urn:schemas-microsoft-com:office:smarttags" w:element="PersonName">
        <w:smartTagPr>
          <w:attr w:name="ProductID" w:val="la Ley"/>
        </w:smartTagPr>
        <w:r w:rsidRPr="00D764DC">
          <w:rPr>
            <w:color w:val="000000"/>
            <w:lang w:val="es-ES_tradnl"/>
          </w:rPr>
          <w:t>la Ley</w:t>
        </w:r>
      </w:smartTag>
      <w:r w:rsidRPr="00D764DC">
        <w:rPr>
          <w:color w:val="000000"/>
          <w:lang w:val="es-ES_tradnl"/>
        </w:rPr>
        <w:t xml:space="preserve"> de Protección al Consumidor.</w:t>
      </w:r>
    </w:p>
    <w:p w:rsidR="006615E4" w:rsidRPr="00D764DC" w:rsidRDefault="006615E4" w:rsidP="009A2DED">
      <w:pPr>
        <w:pStyle w:val="NormalWeb"/>
        <w:keepNext/>
        <w:spacing w:before="60" w:beforeAutospacing="0" w:after="40" w:afterAutospacing="0"/>
        <w:ind w:left="1134" w:right="565"/>
        <w:jc w:val="both"/>
        <w:rPr>
          <w:color w:val="000000"/>
        </w:rPr>
      </w:pPr>
      <w:r w:rsidRPr="006615E4">
        <w:rPr>
          <w:color w:val="000000"/>
          <w:lang w:val="es-ES_tradnl"/>
        </w:rPr>
        <w:t xml:space="preserve">El valor del monto o tasa máxima a cobrar publicada, deberá servir de referencia a los inversionistas sobre el costo real del servicio a contratar, por lo que, deberá corresponder a un valor </w:t>
      </w:r>
      <w:r w:rsidR="005179E6">
        <w:rPr>
          <w:color w:val="000000"/>
          <w:lang w:val="es-ES_tradnl"/>
        </w:rPr>
        <w:t xml:space="preserve">o porcentaje </w:t>
      </w:r>
      <w:r w:rsidRPr="006615E4">
        <w:rPr>
          <w:color w:val="000000"/>
          <w:lang w:val="es-ES_tradnl"/>
        </w:rPr>
        <w:t>cercano a la tasa máxima cobrada por la casa para cada uno de los diferentes servicios.</w:t>
      </w:r>
    </w:p>
    <w:p w:rsidR="00D764DC" w:rsidRPr="00D764DC" w:rsidRDefault="00D764DC" w:rsidP="009A2DED">
      <w:pPr>
        <w:pStyle w:val="NormalWeb"/>
        <w:keepNext/>
        <w:spacing w:before="60" w:beforeAutospacing="0" w:after="40" w:afterAutospacing="0"/>
        <w:ind w:left="1134" w:right="565"/>
        <w:jc w:val="both"/>
        <w:rPr>
          <w:color w:val="000000"/>
          <w:lang w:val="es-MX"/>
        </w:rPr>
      </w:pPr>
      <w:r w:rsidRPr="00D764DC">
        <w:rPr>
          <w:color w:val="000000"/>
          <w:lang w:val="es-MX"/>
        </w:rPr>
        <w:t>Las comisiones a cobrar, deberán ser definidas por una tasa anualizada (%)</w:t>
      </w:r>
      <w:r w:rsidR="005724FE">
        <w:rPr>
          <w:color w:val="000000"/>
          <w:lang w:val="es-MX"/>
        </w:rPr>
        <w:t>;</w:t>
      </w:r>
      <w:r w:rsidRPr="00D764DC">
        <w:rPr>
          <w:color w:val="000000"/>
          <w:lang w:val="es-MX"/>
        </w:rPr>
        <w:t xml:space="preserve"> sin embargo</w:t>
      </w:r>
      <w:r w:rsidR="005724FE">
        <w:rPr>
          <w:color w:val="000000"/>
          <w:lang w:val="es-MX"/>
        </w:rPr>
        <w:t>,</w:t>
      </w:r>
      <w:r w:rsidRPr="00D764DC">
        <w:rPr>
          <w:color w:val="000000"/>
          <w:lang w:val="es-MX"/>
        </w:rPr>
        <w:t xml:space="preserve"> en caso de excepciones se deberá detallar en una nota aclaratoria, en la</w:t>
      </w:r>
      <w:r w:rsidR="00395CCB">
        <w:rPr>
          <w:color w:val="000000"/>
          <w:lang w:val="es-MX"/>
        </w:rPr>
        <w:t xml:space="preserve"> </w:t>
      </w:r>
      <w:r w:rsidRPr="00D764DC">
        <w:rPr>
          <w:color w:val="000000"/>
          <w:lang w:val="es-MX"/>
        </w:rPr>
        <w:t xml:space="preserve">respectiva publicación. </w:t>
      </w:r>
    </w:p>
    <w:p w:rsidR="00D764DC" w:rsidRPr="00D764DC" w:rsidRDefault="00D764DC" w:rsidP="009A2DED">
      <w:pPr>
        <w:pStyle w:val="NormalWeb"/>
        <w:keepNext/>
        <w:spacing w:before="60" w:beforeAutospacing="0" w:after="40" w:afterAutospacing="0"/>
        <w:ind w:left="1134" w:right="565"/>
        <w:jc w:val="both"/>
        <w:rPr>
          <w:color w:val="000000"/>
          <w:lang w:val="es-MX"/>
        </w:rPr>
      </w:pPr>
      <w:r w:rsidRPr="00D764DC">
        <w:rPr>
          <w:color w:val="000000"/>
          <w:lang w:val="es-MX"/>
        </w:rPr>
        <w:t>Las comisiones que se publiquen no deberán incluir impuestos.</w:t>
      </w:r>
    </w:p>
    <w:p w:rsidR="00554F16" w:rsidRPr="00D764DC" w:rsidRDefault="00D764DC" w:rsidP="009A2DED">
      <w:pPr>
        <w:pStyle w:val="NormalWeb"/>
        <w:keepNext/>
        <w:tabs>
          <w:tab w:val="num" w:pos="851"/>
        </w:tabs>
        <w:spacing w:before="60" w:beforeAutospacing="0" w:after="40" w:afterAutospacing="0"/>
        <w:ind w:left="1134" w:right="565"/>
        <w:jc w:val="both"/>
        <w:rPr>
          <w:color w:val="000000"/>
          <w:lang w:val="es-MX"/>
        </w:rPr>
      </w:pPr>
      <w:r>
        <w:rPr>
          <w:color w:val="000000"/>
          <w:lang w:val="es-MX"/>
        </w:rPr>
        <w:t xml:space="preserve">Literal c) </w:t>
      </w:r>
      <w:r w:rsidRPr="00D764DC">
        <w:rPr>
          <w:color w:val="000000"/>
          <w:lang w:val="es-MX"/>
        </w:rPr>
        <w:t xml:space="preserve">La base o criterio sobre la cual se aplicará el porcentaje de comisión, por medio de la cual el cliente pueda ser capaz de </w:t>
      </w:r>
      <w:r w:rsidR="00554F16">
        <w:rPr>
          <w:color w:val="000000"/>
          <w:lang w:val="es-MX"/>
        </w:rPr>
        <w:t>identificar</w:t>
      </w:r>
      <w:r w:rsidRPr="00D764DC">
        <w:rPr>
          <w:color w:val="000000"/>
          <w:lang w:val="es-MX"/>
        </w:rPr>
        <w:t xml:space="preserve"> sus operaciones. El valor de </w:t>
      </w:r>
      <w:r w:rsidRPr="00D764DC">
        <w:rPr>
          <w:color w:val="000000"/>
          <w:lang w:val="es-MX"/>
        </w:rPr>
        <w:lastRenderedPageBreak/>
        <w:t xml:space="preserve">la comisión a cobrar, podrá variar entre los criterios que utilice la casa para definir la base de aplicación. </w:t>
      </w:r>
    </w:p>
    <w:p w:rsidR="00D764DC" w:rsidRDefault="00D764DC" w:rsidP="00257FE9">
      <w:pPr>
        <w:pStyle w:val="Textoindependiente"/>
        <w:keepNext/>
        <w:numPr>
          <w:ilvl w:val="0"/>
          <w:numId w:val="0"/>
        </w:numPr>
        <w:rPr>
          <w:szCs w:val="24"/>
        </w:rPr>
      </w:pPr>
    </w:p>
    <w:p w:rsidR="006011F9" w:rsidRPr="005D75B4" w:rsidRDefault="00EB375D" w:rsidP="00257FE9">
      <w:pPr>
        <w:pStyle w:val="Textoindependiente"/>
        <w:keepNext/>
        <w:numPr>
          <w:ilvl w:val="0"/>
          <w:numId w:val="5"/>
        </w:numPr>
        <w:tabs>
          <w:tab w:val="clear" w:pos="1410"/>
          <w:tab w:val="num" w:pos="284"/>
        </w:tabs>
        <w:ind w:left="284" w:hanging="284"/>
        <w:rPr>
          <w:szCs w:val="24"/>
        </w:rPr>
      </w:pPr>
      <w:r w:rsidRPr="005D75B4">
        <w:rPr>
          <w:szCs w:val="24"/>
        </w:rPr>
        <w:t>Las presentes modi</w:t>
      </w:r>
      <w:r w:rsidR="00D14EA1" w:rsidRPr="005D75B4">
        <w:rPr>
          <w:szCs w:val="24"/>
        </w:rPr>
        <w:t xml:space="preserve">ficaciones entrarán en vigencia  </w:t>
      </w:r>
      <w:r w:rsidR="00B267FE">
        <w:rPr>
          <w:szCs w:val="24"/>
        </w:rPr>
        <w:t xml:space="preserve">el día </w:t>
      </w:r>
      <w:r w:rsidR="00226DD3">
        <w:rPr>
          <w:szCs w:val="24"/>
        </w:rPr>
        <w:t xml:space="preserve">15 de octubre </w:t>
      </w:r>
      <w:r w:rsidR="00B267FE">
        <w:rPr>
          <w:szCs w:val="24"/>
        </w:rPr>
        <w:t>de 20</w:t>
      </w:r>
      <w:r w:rsidR="00B317FB">
        <w:rPr>
          <w:szCs w:val="24"/>
        </w:rPr>
        <w:t>10</w:t>
      </w:r>
      <w:r w:rsidR="00D14EA1" w:rsidRPr="005D75B4">
        <w:rPr>
          <w:szCs w:val="24"/>
        </w:rPr>
        <w:t>.</w:t>
      </w:r>
    </w:p>
    <w:p w:rsidR="005F29E0" w:rsidRDefault="005F29E0" w:rsidP="00257FE9">
      <w:pPr>
        <w:keepNext/>
        <w:tabs>
          <w:tab w:val="num" w:pos="709"/>
        </w:tabs>
        <w:ind w:left="709" w:hanging="567"/>
        <w:rPr>
          <w:szCs w:val="24"/>
          <w:lang w:val="es-MX"/>
        </w:rPr>
      </w:pPr>
    </w:p>
    <w:p w:rsidR="003C02FE" w:rsidRDefault="003C02FE" w:rsidP="00257FE9">
      <w:pPr>
        <w:keepNext/>
        <w:tabs>
          <w:tab w:val="num" w:pos="709"/>
        </w:tabs>
        <w:ind w:left="709" w:hanging="567"/>
        <w:rPr>
          <w:szCs w:val="24"/>
          <w:lang w:val="es-MX"/>
        </w:rPr>
      </w:pPr>
    </w:p>
    <w:p w:rsidR="003C02FE" w:rsidRDefault="003C02FE" w:rsidP="00257FE9">
      <w:pPr>
        <w:keepNext/>
        <w:tabs>
          <w:tab w:val="num" w:pos="709"/>
        </w:tabs>
        <w:ind w:left="709" w:hanging="567"/>
        <w:rPr>
          <w:szCs w:val="24"/>
          <w:lang w:val="es-MX"/>
        </w:rPr>
      </w:pPr>
    </w:p>
    <w:p w:rsidR="003C02FE" w:rsidRDefault="003C02FE" w:rsidP="00257FE9">
      <w:pPr>
        <w:keepNext/>
        <w:tabs>
          <w:tab w:val="num" w:pos="709"/>
        </w:tabs>
        <w:ind w:left="709" w:hanging="567"/>
        <w:rPr>
          <w:szCs w:val="24"/>
          <w:lang w:val="es-MX"/>
        </w:rPr>
      </w:pPr>
    </w:p>
    <w:p w:rsidR="003C02FE" w:rsidRPr="0046571C" w:rsidRDefault="003C02FE" w:rsidP="00257FE9">
      <w:pPr>
        <w:keepNext/>
        <w:tabs>
          <w:tab w:val="num" w:pos="709"/>
        </w:tabs>
        <w:ind w:left="709" w:hanging="567"/>
        <w:rPr>
          <w:szCs w:val="24"/>
          <w:lang w:val="es-MX"/>
        </w:rPr>
      </w:pPr>
    </w:p>
    <w:p w:rsidR="00FB19BA" w:rsidRPr="0046571C" w:rsidRDefault="00257FE9" w:rsidP="00257FE9">
      <w:pPr>
        <w:keepNext/>
        <w:spacing w:before="0" w:after="0"/>
        <w:jc w:val="center"/>
        <w:rPr>
          <w:b/>
          <w:szCs w:val="24"/>
        </w:rPr>
      </w:pPr>
      <w:r>
        <w:rPr>
          <w:b/>
          <w:szCs w:val="24"/>
        </w:rPr>
        <w:t>Ren</w:t>
      </w:r>
      <w:r w:rsidR="009A2DED">
        <w:rPr>
          <w:b/>
          <w:szCs w:val="24"/>
        </w:rPr>
        <w:t>é Mauricio Guardado Rodríguez</w:t>
      </w:r>
    </w:p>
    <w:p w:rsidR="00B267FE" w:rsidRDefault="00B267FE" w:rsidP="00257FE9">
      <w:pPr>
        <w:keepNext/>
        <w:spacing w:before="0" w:after="0"/>
        <w:jc w:val="center"/>
        <w:rPr>
          <w:b/>
          <w:szCs w:val="24"/>
        </w:rPr>
      </w:pPr>
      <w:r>
        <w:rPr>
          <w:b/>
          <w:szCs w:val="24"/>
        </w:rPr>
        <w:t>Presidente del Consejo Directivo</w:t>
      </w:r>
    </w:p>
    <w:p w:rsidR="0026033E" w:rsidRPr="009A2DED" w:rsidRDefault="009A2DED" w:rsidP="009A2DED">
      <w:pPr>
        <w:keepNext/>
        <w:spacing w:before="0" w:after="0"/>
        <w:jc w:val="center"/>
        <w:rPr>
          <w:b/>
          <w:szCs w:val="24"/>
        </w:rPr>
        <w:sectPr w:rsidR="0026033E" w:rsidRPr="009A2DED" w:rsidSect="00B625C6">
          <w:headerReference w:type="default" r:id="rId7"/>
          <w:footerReference w:type="default" r:id="rId8"/>
          <w:type w:val="continuous"/>
          <w:pgSz w:w="12240" w:h="15840" w:code="1"/>
          <w:pgMar w:top="1418" w:right="1327" w:bottom="851" w:left="1701" w:header="1202" w:footer="567" w:gutter="0"/>
          <w:cols w:space="720"/>
          <w:noEndnote/>
        </w:sectPr>
      </w:pPr>
      <w:r>
        <w:rPr>
          <w:b/>
          <w:szCs w:val="24"/>
        </w:rPr>
        <w:t>Superintendencia de Valores</w:t>
      </w:r>
    </w:p>
    <w:p w:rsidR="00FB19BA" w:rsidRPr="0046571C" w:rsidRDefault="00FB19BA" w:rsidP="00257FE9">
      <w:pPr>
        <w:keepNext/>
        <w:jc w:val="both"/>
        <w:rPr>
          <w:szCs w:val="24"/>
        </w:rPr>
      </w:pPr>
    </w:p>
    <w:sectPr w:rsidR="00FB19BA" w:rsidRPr="0046571C" w:rsidSect="0026033E">
      <w:headerReference w:type="even" r:id="rId9"/>
      <w:headerReference w:type="default" r:id="rId10"/>
      <w:footerReference w:type="even" r:id="rId11"/>
      <w:footerReference w:type="default" r:id="rId12"/>
      <w:type w:val="continuous"/>
      <w:pgSz w:w="12240" w:h="15840" w:code="1"/>
      <w:pgMar w:top="1418" w:right="1327" w:bottom="851" w:left="1701" w:header="1202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CCA" w:rsidRDefault="00984CCA" w:rsidP="00B86700">
      <w:pPr>
        <w:pStyle w:val="TxBrp4"/>
      </w:pPr>
      <w:r>
        <w:separator/>
      </w:r>
    </w:p>
  </w:endnote>
  <w:endnote w:type="continuationSeparator" w:id="0">
    <w:p w:rsidR="00984CCA" w:rsidRDefault="00984CCA" w:rsidP="00B86700">
      <w:pPr>
        <w:pStyle w:val="TxBrp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sual">
    <w:altName w:val="Bookman Old Style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9A" w:rsidRDefault="003D02D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41C9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614D">
      <w:rPr>
        <w:rStyle w:val="Nmerodepgina"/>
        <w:noProof/>
      </w:rPr>
      <w:t>1</w:t>
    </w:r>
    <w:r>
      <w:rPr>
        <w:rStyle w:val="Nmerodepgina"/>
      </w:rPr>
      <w:fldChar w:fldCharType="end"/>
    </w:r>
    <w:r w:rsidR="00B41C9A">
      <w:rPr>
        <w:rStyle w:val="Nmerodepgina"/>
      </w:rPr>
      <w:t>/</w:t>
    </w:r>
    <w:r>
      <w:rPr>
        <w:rStyle w:val="Nmerodepgina"/>
      </w:rPr>
      <w:fldChar w:fldCharType="begin"/>
    </w:r>
    <w:r w:rsidR="00B41C9A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9B614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41C9A" w:rsidRDefault="00B41C9A">
    <w:pPr>
      <w:pStyle w:val="Piedepgina"/>
      <w:pBdr>
        <w:top w:val="thinThickSmallGap" w:sz="24" w:space="2" w:color="auto"/>
      </w:pBdr>
      <w:ind w:right="360"/>
      <w:jc w:val="both"/>
      <w:rPr>
        <w:sz w:val="14"/>
      </w:rPr>
    </w:pPr>
  </w:p>
  <w:p w:rsidR="00B41C9A" w:rsidRDefault="00B41C9A">
    <w:pPr>
      <w:pStyle w:val="Piedepgina"/>
      <w:rPr>
        <w:rFonts w:ascii="Century Schoolbook" w:hAnsi="Century Schoolbook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9A" w:rsidRDefault="003D02D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41C9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1C9A" w:rsidRDefault="00B41C9A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9A" w:rsidRDefault="00B41C9A">
    <w:pPr>
      <w:pStyle w:val="Piedepgina"/>
      <w:pBdr>
        <w:top w:val="thinThickSmallGap" w:sz="24" w:space="0" w:color="auto"/>
      </w:pBdr>
      <w:ind w:right="360"/>
      <w:jc w:val="both"/>
      <w:rPr>
        <w:sz w:val="14"/>
      </w:rPr>
    </w:pPr>
    <w:r>
      <w:rPr>
        <w:sz w:val="14"/>
        <w:lang w:val="es-MX"/>
      </w:rPr>
      <w:t xml:space="preserve">Base Legal: Literal b) del Art. 22 de </w:t>
    </w:r>
    <w:smartTag w:uri="urn:schemas-microsoft-com:office:smarttags" w:element="PersonName">
      <w:smartTagPr>
        <w:attr w:name="ProductID" w:val="la Ley Org￡nica"/>
      </w:smartTagPr>
      <w:r>
        <w:rPr>
          <w:sz w:val="14"/>
          <w:lang w:val="es-MX"/>
        </w:rPr>
        <w:t>la Ley Orgánica</w:t>
      </w:r>
    </w:smartTag>
    <w:r>
      <w:rPr>
        <w:sz w:val="14"/>
        <w:lang w:val="es-MX"/>
      </w:rPr>
      <w:t xml:space="preserve"> de </w:t>
    </w:r>
    <w:smartTag w:uri="urn:schemas-microsoft-com:office:smarttags" w:element="PersonName">
      <w:smartTagPr>
        <w:attr w:name="ProductID" w:val="la Superintendencia"/>
      </w:smartTagPr>
      <w:r>
        <w:rPr>
          <w:sz w:val="14"/>
          <w:lang w:val="es-MX"/>
        </w:rPr>
        <w:t>la Superintendencia</w:t>
      </w:r>
    </w:smartTag>
    <w:r>
      <w:rPr>
        <w:sz w:val="14"/>
        <w:lang w:val="es-MX"/>
      </w:rPr>
      <w:t xml:space="preserve"> de Valores; artículos 11-13  de </w:t>
    </w:r>
    <w:smartTag w:uri="urn:schemas-microsoft-com:office:smarttags" w:element="PersonName">
      <w:smartTagPr>
        <w:attr w:name="ProductID" w:val="la Ley"/>
      </w:smartTagPr>
      <w:r>
        <w:rPr>
          <w:sz w:val="14"/>
          <w:lang w:val="es-MX"/>
        </w:rPr>
        <w:t>la Ley</w:t>
      </w:r>
    </w:smartTag>
    <w:r>
      <w:rPr>
        <w:sz w:val="14"/>
        <w:lang w:val="es-MX"/>
      </w:rPr>
      <w:t xml:space="preserve"> contra el lavado de dinero y de activos, y el numeral 3  del literal D del capítulo I, y artículo 35 del Manual de Operaciones de CEDEVAL y Reglamento General Interno de </w:t>
    </w:r>
    <w:proofErr w:type="spellStart"/>
    <w:r>
      <w:rPr>
        <w:sz w:val="14"/>
        <w:lang w:val="es-MX"/>
      </w:rPr>
      <w:t>Cedeval</w:t>
    </w:r>
    <w:proofErr w:type="spellEnd"/>
    <w:r>
      <w:rPr>
        <w:sz w:val="14"/>
        <w:lang w:val="es-MX"/>
      </w:rPr>
      <w:t xml:space="preserve"> respectivamente.</w:t>
    </w:r>
  </w:p>
  <w:p w:rsidR="00B41C9A" w:rsidRDefault="00B41C9A">
    <w:pPr>
      <w:pStyle w:val="Piedepgina"/>
      <w:jc w:val="both"/>
      <w:rPr>
        <w:rFonts w:ascii="Century Schoolbook" w:hAnsi="Century Schoolbook"/>
        <w:sz w:val="14"/>
      </w:rPr>
    </w:pPr>
  </w:p>
  <w:p w:rsidR="00B41C9A" w:rsidRDefault="00B41C9A">
    <w:pPr>
      <w:pStyle w:val="Piedepgina"/>
      <w:rPr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CCA" w:rsidRDefault="00984CCA" w:rsidP="00B86700">
      <w:pPr>
        <w:pStyle w:val="TxBrp4"/>
      </w:pPr>
      <w:r>
        <w:separator/>
      </w:r>
    </w:p>
  </w:footnote>
  <w:footnote w:type="continuationSeparator" w:id="0">
    <w:p w:rsidR="00984CCA" w:rsidRDefault="00984CCA" w:rsidP="00B86700">
      <w:pPr>
        <w:pStyle w:val="TxBrp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9A" w:rsidRDefault="00B41C9A" w:rsidP="00051D2C">
    <w:pPr>
      <w:pStyle w:val="Ttulo"/>
      <w:rPr>
        <w:rFonts w:ascii="Arial Narrow" w:hAnsi="Arial Narrow"/>
      </w:rPr>
    </w:pPr>
    <w:r w:rsidRPr="0046571C">
      <w:rPr>
        <w:rFonts w:ascii="Arial Narrow" w:hAnsi="Arial Narrow"/>
      </w:rPr>
      <w:tab/>
    </w:r>
  </w:p>
  <w:p w:rsidR="00B41C9A" w:rsidRPr="002B7CA5" w:rsidRDefault="00B41C9A" w:rsidP="00051D2C">
    <w:pPr>
      <w:pStyle w:val="Ttulo"/>
      <w:rPr>
        <w:sz w:val="14"/>
        <w:szCs w:val="14"/>
      </w:rPr>
    </w:pPr>
    <w:r w:rsidRPr="0046571C">
      <w:rPr>
        <w:rFonts w:ascii="Arial Narrow" w:hAnsi="Arial Narrow"/>
        <w:sz w:val="28"/>
      </w:rPr>
      <w:t>R</w:t>
    </w:r>
    <w:r>
      <w:rPr>
        <w:rFonts w:ascii="Arial Narrow" w:hAnsi="Arial Narrow"/>
        <w:sz w:val="28"/>
      </w:rPr>
      <w:t>C</w:t>
    </w:r>
    <w:r w:rsidRPr="0046571C">
      <w:rPr>
        <w:rFonts w:ascii="Arial Narrow" w:hAnsi="Arial Narrow"/>
        <w:sz w:val="28"/>
      </w:rPr>
      <w:t>TG</w:t>
    </w:r>
    <w:r w:rsidR="00226DD3" w:rsidRPr="0046571C">
      <w:rPr>
        <w:rFonts w:ascii="Arial Narrow" w:hAnsi="Arial Narrow"/>
        <w:sz w:val="28"/>
      </w:rPr>
      <w:t>-</w:t>
    </w:r>
    <w:r w:rsidR="00226DD3">
      <w:rPr>
        <w:rFonts w:ascii="Arial Narrow" w:hAnsi="Arial Narrow"/>
        <w:sz w:val="28"/>
      </w:rPr>
      <w:t>25</w:t>
    </w:r>
    <w:r w:rsidR="00226DD3" w:rsidRPr="0046571C">
      <w:rPr>
        <w:rFonts w:ascii="Arial Narrow" w:hAnsi="Arial Narrow"/>
        <w:sz w:val="28"/>
      </w:rPr>
      <w:t>/</w:t>
    </w:r>
    <w:r w:rsidR="00B317FB" w:rsidRPr="0046571C">
      <w:rPr>
        <w:rFonts w:ascii="Arial Narrow" w:hAnsi="Arial Narrow"/>
        <w:sz w:val="28"/>
      </w:rPr>
      <w:t>20</w:t>
    </w:r>
    <w:r w:rsidR="00B317FB">
      <w:rPr>
        <w:rFonts w:ascii="Arial Narrow" w:hAnsi="Arial Narrow"/>
        <w:sz w:val="28"/>
      </w:rPr>
      <w:t>10</w:t>
    </w:r>
    <w:r w:rsidR="00B317FB" w:rsidRPr="0046571C">
      <w:rPr>
        <w:rFonts w:ascii="Arial Narrow" w:hAnsi="Arial Narrow"/>
        <w:sz w:val="28"/>
      </w:rPr>
      <w:t xml:space="preserve"> </w:t>
    </w:r>
  </w:p>
  <w:tbl>
    <w:tblPr>
      <w:tblW w:w="0" w:type="auto"/>
      <w:tblInd w:w="7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5812"/>
      <w:gridCol w:w="1701"/>
    </w:tblGrid>
    <w:tr w:rsidR="00B41C9A" w:rsidRPr="008E421A">
      <w:trPr>
        <w:trHeight w:val="330"/>
      </w:trPr>
      <w:tc>
        <w:tcPr>
          <w:tcW w:w="1701" w:type="dxa"/>
          <w:vMerge w:val="restart"/>
          <w:tcBorders>
            <w:top w:val="thinThickSmallGap" w:sz="24" w:space="0" w:color="auto"/>
            <w:right w:val="nil"/>
          </w:tcBorders>
        </w:tcPr>
        <w:p w:rsidR="00B41C9A" w:rsidRPr="008E421A" w:rsidRDefault="00B41C9A" w:rsidP="0026033E">
          <w:pPr>
            <w:pStyle w:val="Ttulo"/>
            <w:rPr>
              <w:rFonts w:ascii="Arial Narrow" w:hAnsi="Arial Narrow"/>
              <w:bCs/>
              <w:sz w:val="18"/>
              <w:szCs w:val="18"/>
            </w:rPr>
          </w:pPr>
          <w:r w:rsidRPr="008E421A">
            <w:rPr>
              <w:rFonts w:ascii="Arial Narrow" w:hAnsi="Arial Narrow"/>
              <w:bCs/>
              <w:sz w:val="18"/>
              <w:szCs w:val="18"/>
            </w:rPr>
            <w:t>Aprobación</w:t>
          </w:r>
        </w:p>
        <w:p w:rsidR="00B41C9A" w:rsidRPr="008E421A" w:rsidRDefault="00B41C9A" w:rsidP="00226DD3">
          <w:pPr>
            <w:pStyle w:val="Ttulo"/>
            <w:rPr>
              <w:rFonts w:ascii="Arial Narrow" w:hAnsi="Arial Narrow"/>
              <w:b w:val="0"/>
              <w:sz w:val="18"/>
              <w:szCs w:val="18"/>
            </w:rPr>
          </w:pPr>
          <w:r w:rsidRPr="008E421A">
            <w:rPr>
              <w:rFonts w:ascii="Arial Narrow" w:hAnsi="Arial Narrow"/>
              <w:b w:val="0"/>
              <w:sz w:val="18"/>
              <w:szCs w:val="18"/>
            </w:rPr>
            <w:t xml:space="preserve">CD- </w:t>
          </w:r>
          <w:r w:rsidR="00226DD3">
            <w:rPr>
              <w:rFonts w:ascii="Arial Narrow" w:hAnsi="Arial Narrow"/>
              <w:b w:val="0"/>
              <w:sz w:val="18"/>
              <w:szCs w:val="18"/>
            </w:rPr>
            <w:t>18</w:t>
          </w:r>
          <w:r w:rsidRPr="008E421A">
            <w:rPr>
              <w:rFonts w:ascii="Arial Narrow" w:hAnsi="Arial Narrow"/>
              <w:b w:val="0"/>
              <w:sz w:val="18"/>
              <w:szCs w:val="18"/>
            </w:rPr>
            <w:t xml:space="preserve">/ </w:t>
          </w:r>
          <w:r w:rsidR="00226DD3">
            <w:rPr>
              <w:rFonts w:ascii="Arial Narrow" w:hAnsi="Arial Narrow"/>
              <w:b w:val="0"/>
              <w:sz w:val="18"/>
              <w:szCs w:val="18"/>
            </w:rPr>
            <w:t>28</w:t>
          </w:r>
          <w:r w:rsidRPr="008E421A">
            <w:rPr>
              <w:rFonts w:ascii="Arial Narrow" w:hAnsi="Arial Narrow"/>
              <w:b w:val="0"/>
              <w:sz w:val="18"/>
              <w:szCs w:val="18"/>
            </w:rPr>
            <w:t xml:space="preserve"> de </w:t>
          </w:r>
          <w:r w:rsidR="00226DD3">
            <w:rPr>
              <w:rFonts w:ascii="Arial Narrow" w:hAnsi="Arial Narrow"/>
              <w:b w:val="0"/>
              <w:sz w:val="18"/>
              <w:szCs w:val="18"/>
            </w:rPr>
            <w:t>septiembre</w:t>
          </w:r>
          <w:r w:rsidR="00226DD3" w:rsidRPr="008E421A">
            <w:rPr>
              <w:rFonts w:ascii="Arial Narrow" w:hAnsi="Arial Narrow"/>
              <w:b w:val="0"/>
              <w:sz w:val="18"/>
              <w:szCs w:val="18"/>
            </w:rPr>
            <w:t xml:space="preserve"> </w:t>
          </w:r>
          <w:r w:rsidRPr="008E421A">
            <w:rPr>
              <w:rFonts w:ascii="Arial Narrow" w:hAnsi="Arial Narrow"/>
              <w:b w:val="0"/>
              <w:sz w:val="18"/>
              <w:szCs w:val="18"/>
            </w:rPr>
            <w:t>de 20</w:t>
          </w:r>
          <w:r w:rsidR="00B317FB">
            <w:rPr>
              <w:rFonts w:ascii="Arial Narrow" w:hAnsi="Arial Narrow"/>
              <w:b w:val="0"/>
              <w:sz w:val="18"/>
              <w:szCs w:val="18"/>
            </w:rPr>
            <w:t>10</w:t>
          </w:r>
        </w:p>
      </w:tc>
      <w:tc>
        <w:tcPr>
          <w:tcW w:w="5812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nil"/>
          </w:tcBorders>
        </w:tcPr>
        <w:p w:rsidR="00B41C9A" w:rsidRPr="008E421A" w:rsidRDefault="00B41C9A" w:rsidP="0026033E">
          <w:pPr>
            <w:pStyle w:val="Ttulo"/>
            <w:rPr>
              <w:rFonts w:ascii="Arial Narrow" w:hAnsi="Arial Narrow"/>
              <w:b w:val="0"/>
              <w:bCs/>
              <w:sz w:val="18"/>
              <w:szCs w:val="18"/>
            </w:rPr>
          </w:pPr>
          <w:r w:rsidRPr="008E421A">
            <w:rPr>
              <w:rFonts w:ascii="Arial Narrow" w:hAnsi="Arial Narrow"/>
              <w:b w:val="0"/>
              <w:bCs/>
              <w:sz w:val="18"/>
              <w:szCs w:val="18"/>
            </w:rPr>
            <w:t xml:space="preserve">RESOLUCIÓN DE MODIFICACIÓN </w:t>
          </w:r>
        </w:p>
      </w:tc>
      <w:tc>
        <w:tcPr>
          <w:tcW w:w="1701" w:type="dxa"/>
          <w:vMerge w:val="restart"/>
          <w:tcBorders>
            <w:top w:val="thinThickSmallGap" w:sz="24" w:space="0" w:color="auto"/>
            <w:left w:val="thinThickSmallGap" w:sz="24" w:space="0" w:color="auto"/>
          </w:tcBorders>
        </w:tcPr>
        <w:p w:rsidR="00B41C9A" w:rsidRPr="008E421A" w:rsidRDefault="00B41C9A" w:rsidP="0026033E">
          <w:pPr>
            <w:pStyle w:val="Ttulo"/>
            <w:rPr>
              <w:rFonts w:ascii="Arial Narrow" w:hAnsi="Arial Narrow"/>
              <w:bCs/>
              <w:sz w:val="18"/>
              <w:szCs w:val="18"/>
            </w:rPr>
          </w:pPr>
          <w:r w:rsidRPr="008E421A">
            <w:rPr>
              <w:rFonts w:ascii="Arial Narrow" w:hAnsi="Arial Narrow"/>
              <w:b w:val="0"/>
              <w:sz w:val="18"/>
              <w:szCs w:val="18"/>
            </w:rPr>
            <w:t xml:space="preserve">   </w:t>
          </w:r>
          <w:r w:rsidRPr="008E421A">
            <w:rPr>
              <w:rFonts w:ascii="Arial Narrow" w:hAnsi="Arial Narrow"/>
              <w:bCs/>
              <w:sz w:val="18"/>
              <w:szCs w:val="18"/>
            </w:rPr>
            <w:t>Vigencia</w:t>
          </w:r>
        </w:p>
        <w:p w:rsidR="00B41C9A" w:rsidRPr="008E421A" w:rsidRDefault="00226DD3" w:rsidP="00226DD3">
          <w:pPr>
            <w:pStyle w:val="Ttulo"/>
            <w:rPr>
              <w:rFonts w:ascii="Arial Narrow" w:hAnsi="Arial Narrow"/>
              <w:b w:val="0"/>
              <w:sz w:val="18"/>
              <w:szCs w:val="18"/>
            </w:rPr>
          </w:pPr>
          <w:r>
            <w:rPr>
              <w:rFonts w:ascii="Arial Narrow" w:hAnsi="Arial Narrow"/>
              <w:b w:val="0"/>
              <w:sz w:val="18"/>
              <w:szCs w:val="18"/>
            </w:rPr>
            <w:t>15</w:t>
          </w:r>
          <w:r w:rsidRPr="008E421A">
            <w:rPr>
              <w:rFonts w:ascii="Arial Narrow" w:hAnsi="Arial Narrow"/>
              <w:b w:val="0"/>
              <w:sz w:val="18"/>
              <w:szCs w:val="18"/>
            </w:rPr>
            <w:t xml:space="preserve"> </w:t>
          </w:r>
          <w:r w:rsidR="00B41C9A" w:rsidRPr="008E421A">
            <w:rPr>
              <w:rFonts w:ascii="Arial Narrow" w:hAnsi="Arial Narrow"/>
              <w:b w:val="0"/>
              <w:sz w:val="18"/>
              <w:szCs w:val="18"/>
            </w:rPr>
            <w:t xml:space="preserve">de </w:t>
          </w:r>
          <w:r>
            <w:rPr>
              <w:rFonts w:ascii="Arial Narrow" w:hAnsi="Arial Narrow"/>
              <w:b w:val="0"/>
              <w:sz w:val="18"/>
              <w:szCs w:val="18"/>
            </w:rPr>
            <w:t xml:space="preserve">octubre </w:t>
          </w:r>
          <w:r w:rsidR="00B317FB">
            <w:rPr>
              <w:rFonts w:ascii="Arial Narrow" w:hAnsi="Arial Narrow"/>
              <w:b w:val="0"/>
              <w:sz w:val="18"/>
              <w:szCs w:val="18"/>
            </w:rPr>
            <w:t>de 2010</w:t>
          </w:r>
        </w:p>
      </w:tc>
    </w:tr>
    <w:tr w:rsidR="00B41C9A" w:rsidRPr="008E421A">
      <w:trPr>
        <w:trHeight w:val="330"/>
      </w:trPr>
      <w:tc>
        <w:tcPr>
          <w:tcW w:w="1701" w:type="dxa"/>
          <w:vMerge/>
          <w:tcBorders>
            <w:bottom w:val="thickThinSmallGap" w:sz="24" w:space="0" w:color="auto"/>
            <w:right w:val="nil"/>
          </w:tcBorders>
        </w:tcPr>
        <w:p w:rsidR="00B41C9A" w:rsidRPr="008E421A" w:rsidRDefault="00B41C9A" w:rsidP="0026033E">
          <w:pPr>
            <w:pStyle w:val="Ttulo"/>
            <w:rPr>
              <w:rFonts w:ascii="Arial Narrow" w:hAnsi="Arial Narrow"/>
              <w:bCs/>
              <w:sz w:val="18"/>
              <w:szCs w:val="18"/>
            </w:rPr>
          </w:pPr>
        </w:p>
      </w:tc>
      <w:tc>
        <w:tcPr>
          <w:tcW w:w="5812" w:type="dxa"/>
          <w:tc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nil"/>
          </w:tcBorders>
        </w:tcPr>
        <w:p w:rsidR="00B41C9A" w:rsidRPr="00B317FB" w:rsidRDefault="00B317FB" w:rsidP="0026033E">
          <w:pPr>
            <w:pStyle w:val="Ttulo"/>
            <w:rPr>
              <w:rFonts w:ascii="Arial Narrow" w:hAnsi="Arial Narrow" w:cs="Arial"/>
              <w:b w:val="0"/>
              <w:bCs/>
              <w:sz w:val="18"/>
              <w:szCs w:val="18"/>
            </w:rPr>
          </w:pPr>
          <w:r w:rsidRPr="00B317FB">
            <w:rPr>
              <w:rFonts w:ascii="Arial Narrow" w:hAnsi="Arial Narrow" w:cs="Arial"/>
              <w:b w:val="0"/>
              <w:bCs/>
              <w:sz w:val="18"/>
              <w:szCs w:val="18"/>
            </w:rPr>
            <w:t xml:space="preserve">RCTG-4/2005  </w:t>
          </w:r>
          <w:bookmarkStart w:id="0" w:name="OLE_LINK1"/>
          <w:bookmarkStart w:id="1" w:name="OLE_LINK2"/>
          <w:r w:rsidRPr="00B317FB">
            <w:rPr>
              <w:rFonts w:ascii="Arial Narrow" w:hAnsi="Arial Narrow" w:cs="Arial"/>
              <w:b w:val="0"/>
              <w:sz w:val="18"/>
              <w:szCs w:val="18"/>
            </w:rPr>
            <w:t>LINEAMIENTOS PARA LA PUBLICACIÓN DE COMISIONES Y RENDIMIENTOS DE LAS ENTIDADES FISCALIZADAS</w:t>
          </w:r>
          <w:bookmarkEnd w:id="0"/>
          <w:bookmarkEnd w:id="1"/>
          <w:r w:rsidRPr="00B317FB">
            <w:rPr>
              <w:rFonts w:ascii="Arial Narrow" w:hAnsi="Arial Narrow" w:cs="Arial"/>
              <w:b w:val="0"/>
              <w:sz w:val="18"/>
              <w:szCs w:val="18"/>
            </w:rPr>
            <w:t>.</w:t>
          </w:r>
        </w:p>
      </w:tc>
      <w:tc>
        <w:tcPr>
          <w:tcW w:w="1701" w:type="dxa"/>
          <w:vMerge/>
          <w:tcBorders>
            <w:left w:val="thinThickSmallGap" w:sz="24" w:space="0" w:color="auto"/>
            <w:bottom w:val="thickThinSmallGap" w:sz="24" w:space="0" w:color="auto"/>
          </w:tcBorders>
        </w:tcPr>
        <w:p w:rsidR="00B41C9A" w:rsidRPr="008E421A" w:rsidRDefault="00B41C9A" w:rsidP="0026033E">
          <w:pPr>
            <w:pStyle w:val="Ttulo"/>
            <w:rPr>
              <w:rFonts w:ascii="Arial Narrow" w:hAnsi="Arial Narrow"/>
              <w:b w:val="0"/>
              <w:sz w:val="18"/>
              <w:szCs w:val="18"/>
            </w:rPr>
          </w:pPr>
        </w:p>
      </w:tc>
    </w:tr>
  </w:tbl>
  <w:p w:rsidR="00B41C9A" w:rsidRDefault="00B41C9A" w:rsidP="00FC0E21">
    <w:pPr>
      <w:pStyle w:val="Ttulo"/>
      <w:tabs>
        <w:tab w:val="left" w:pos="1545"/>
      </w:tabs>
      <w:spacing w:before="0" w:after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9A" w:rsidRDefault="003D02D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41C9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1C9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41C9A" w:rsidRDefault="00B41C9A">
    <w:pPr>
      <w:pStyle w:val="Encabezado"/>
      <w:ind w:right="36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9A" w:rsidRDefault="00B41C9A" w:rsidP="0026033E">
    <w:pPr>
      <w:pStyle w:val="Ttulo"/>
    </w:pPr>
    <w:r>
      <w:tab/>
    </w:r>
  </w:p>
  <w:p w:rsidR="00B41C9A" w:rsidRDefault="00B41C9A" w:rsidP="0026033E">
    <w:pPr>
      <w:pStyle w:val="Ttulo"/>
      <w:tabs>
        <w:tab w:val="left" w:pos="1545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2CD7"/>
    <w:multiLevelType w:val="hybridMultilevel"/>
    <w:tmpl w:val="B122FE78"/>
    <w:lvl w:ilvl="0" w:tplc="FFFFFFFF">
      <w:start w:val="1"/>
      <w:numFmt w:val="upperRoman"/>
      <w:lvlText w:val="%1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1" w:tplc="0450DBB4">
      <w:start w:val="15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8704ED1"/>
    <w:multiLevelType w:val="multilevel"/>
    <w:tmpl w:val="8CD42E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F5D67"/>
    <w:multiLevelType w:val="multilevel"/>
    <w:tmpl w:val="3970D4F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555"/>
      </w:pPr>
      <w:rPr>
        <w:rFonts w:hint="default"/>
        <w:lang w:val="es-MX"/>
      </w:rPr>
    </w:lvl>
    <w:lvl w:ilvl="1">
      <w:start w:val="1"/>
      <w:numFmt w:val="lowerLetter"/>
      <w:lvlText w:val="%2)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1238105F"/>
    <w:multiLevelType w:val="multilevel"/>
    <w:tmpl w:val="B9D0D8C8"/>
    <w:lvl w:ilvl="0">
      <w:start w:val="1"/>
      <w:numFmt w:val="lowerRoman"/>
      <w:lvlText w:val="%1)"/>
      <w:lvlJc w:val="right"/>
      <w:pPr>
        <w:tabs>
          <w:tab w:val="num" w:pos="540"/>
        </w:tabs>
        <w:ind w:left="540" w:hanging="18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A66B2"/>
    <w:multiLevelType w:val="hybridMultilevel"/>
    <w:tmpl w:val="29CE2496"/>
    <w:lvl w:ilvl="0" w:tplc="B1E8B3E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</w:lvl>
    <w:lvl w:ilvl="1" w:tplc="9DD0D76E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580E9812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4F82A3EC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1C426704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5B0EB174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4328B90E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BFBE5248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1974BD2C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>
    <w:nsid w:val="1F495A62"/>
    <w:multiLevelType w:val="hybridMultilevel"/>
    <w:tmpl w:val="B26C4546"/>
    <w:lvl w:ilvl="0" w:tplc="C5C8133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4701BB"/>
    <w:multiLevelType w:val="hybridMultilevel"/>
    <w:tmpl w:val="0C3803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C2ED7F0">
      <w:start w:val="1"/>
      <w:numFmt w:val="lowerRoman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BE8F2F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E452CC"/>
    <w:multiLevelType w:val="multilevel"/>
    <w:tmpl w:val="CF769D9A"/>
    <w:lvl w:ilvl="0">
      <w:start w:val="1"/>
      <w:numFmt w:val="upperRoman"/>
      <w:pStyle w:val="Esti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25474353"/>
    <w:multiLevelType w:val="multilevel"/>
    <w:tmpl w:val="3970D4F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555"/>
      </w:pPr>
      <w:rPr>
        <w:rFonts w:hint="default"/>
        <w:lang w:val="es-MX"/>
      </w:rPr>
    </w:lvl>
    <w:lvl w:ilvl="1">
      <w:start w:val="1"/>
      <w:numFmt w:val="lowerLetter"/>
      <w:lvlText w:val="%2)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>
    <w:nsid w:val="284D4D0E"/>
    <w:multiLevelType w:val="hybridMultilevel"/>
    <w:tmpl w:val="940C397A"/>
    <w:lvl w:ilvl="0" w:tplc="6BC4D8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A5A2A"/>
    <w:multiLevelType w:val="hybridMultilevel"/>
    <w:tmpl w:val="8B108334"/>
    <w:lvl w:ilvl="0" w:tplc="85185E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7D5853"/>
    <w:multiLevelType w:val="hybridMultilevel"/>
    <w:tmpl w:val="75B2B07C"/>
    <w:lvl w:ilvl="0" w:tplc="7C1A886E">
      <w:start w:val="1"/>
      <w:numFmt w:val="lowerRoman"/>
      <w:lvlText w:val="%1)"/>
      <w:lvlJc w:val="right"/>
      <w:pPr>
        <w:tabs>
          <w:tab w:val="num" w:pos="540"/>
        </w:tabs>
        <w:ind w:left="540" w:hanging="180"/>
      </w:pPr>
      <w:rPr>
        <w:rFonts w:ascii="Arial Narrow" w:hAnsi="Arial Narrow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349D311A"/>
    <w:multiLevelType w:val="hybridMultilevel"/>
    <w:tmpl w:val="FF04FEBA"/>
    <w:lvl w:ilvl="0" w:tplc="EB70C504">
      <w:start w:val="1"/>
      <w:numFmt w:val="decimal"/>
      <w:pStyle w:val="Textoindependiente"/>
      <w:lvlText w:val="Art. %1.- "/>
      <w:lvlJc w:val="left"/>
      <w:pPr>
        <w:tabs>
          <w:tab w:val="num" w:pos="2138"/>
        </w:tabs>
        <w:ind w:left="1418" w:firstLine="0"/>
      </w:pPr>
      <w:rPr>
        <w:rFonts w:ascii="Arial Narrow" w:hAnsi="Arial Narrow" w:hint="default"/>
        <w:b/>
        <w:i w:val="0"/>
        <w:color w:val="auto"/>
        <w:sz w:val="24"/>
      </w:rPr>
    </w:lvl>
    <w:lvl w:ilvl="1" w:tplc="E73A2912">
      <w:start w:val="1"/>
      <w:numFmt w:val="lowerLetter"/>
      <w:lvlText w:val="%2) "/>
      <w:lvlJc w:val="left"/>
      <w:pPr>
        <w:tabs>
          <w:tab w:val="num" w:pos="1440"/>
        </w:tabs>
        <w:ind w:left="1420" w:hanging="340"/>
      </w:pPr>
      <w:rPr>
        <w:rFonts w:ascii="Arial Narrow" w:hAnsi="Arial Narro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kern w:val="0"/>
        <w:sz w:val="22"/>
        <w:u w:val="none"/>
        <w:effect w:val="none"/>
        <w:vertAlign w:val="baseline"/>
      </w:rPr>
    </w:lvl>
    <w:lvl w:ilvl="2" w:tplc="16947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5C7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6692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3E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CA7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89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70FA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9F24A0"/>
    <w:multiLevelType w:val="hybridMultilevel"/>
    <w:tmpl w:val="B9D0D8C8"/>
    <w:lvl w:ilvl="0" w:tplc="17C4FE04">
      <w:start w:val="1"/>
      <w:numFmt w:val="lowerRoman"/>
      <w:lvlText w:val="%1)"/>
      <w:lvlJc w:val="right"/>
      <w:pPr>
        <w:tabs>
          <w:tab w:val="num" w:pos="540"/>
        </w:tabs>
        <w:ind w:left="540" w:hanging="180"/>
      </w:pPr>
      <w:rPr>
        <w:rFonts w:ascii="Arial Narrow" w:hAnsi="Arial Narrow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3610B"/>
    <w:multiLevelType w:val="singleLevel"/>
    <w:tmpl w:val="A98002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54B6AE7"/>
    <w:multiLevelType w:val="hybridMultilevel"/>
    <w:tmpl w:val="6B58AE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E97331"/>
    <w:multiLevelType w:val="multilevel"/>
    <w:tmpl w:val="5A04E6B6"/>
    <w:lvl w:ilvl="0">
      <w:start w:val="1"/>
      <w:numFmt w:val="upperRoman"/>
      <w:lvlText w:val="%1."/>
      <w:lvlJc w:val="left"/>
      <w:pPr>
        <w:tabs>
          <w:tab w:val="num" w:pos="360"/>
        </w:tabs>
        <w:ind w:left="0" w:hanging="360"/>
      </w:pPr>
      <w:rPr>
        <w:rFonts w:hint="default"/>
      </w:rPr>
    </w:lvl>
    <w:lvl w:ilvl="1">
      <w:start w:val="1"/>
      <w:numFmt w:val="decimal"/>
      <w:lvlText w:val="Art. 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pStyle w:val="Listaconvietas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7">
    <w:nsid w:val="5D775C25"/>
    <w:multiLevelType w:val="hybridMultilevel"/>
    <w:tmpl w:val="91F4A5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3A4106"/>
    <w:multiLevelType w:val="hybridMultilevel"/>
    <w:tmpl w:val="86A85E8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722E89"/>
    <w:multiLevelType w:val="hybridMultilevel"/>
    <w:tmpl w:val="F360557E"/>
    <w:lvl w:ilvl="0" w:tplc="80665874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</w:lvl>
    <w:lvl w:ilvl="1" w:tplc="BCB05DAA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BD7A645C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92D208FA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BE08DC0A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12B862B6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6F860126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89F4BBB2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36745B52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0">
    <w:nsid w:val="711F7977"/>
    <w:multiLevelType w:val="hybridMultilevel"/>
    <w:tmpl w:val="3970D4F8"/>
    <w:lvl w:ilvl="0" w:tplc="87C895DA">
      <w:start w:val="1"/>
      <w:numFmt w:val="decimal"/>
      <w:lvlText w:val="%1."/>
      <w:lvlJc w:val="left"/>
      <w:pPr>
        <w:tabs>
          <w:tab w:val="num" w:pos="1410"/>
        </w:tabs>
        <w:ind w:left="1410" w:hanging="555"/>
      </w:pPr>
      <w:rPr>
        <w:rFonts w:hint="default"/>
        <w:lang w:val="es-MX"/>
      </w:rPr>
    </w:lvl>
    <w:lvl w:ilvl="1" w:tplc="6AA4A0A8">
      <w:start w:val="1"/>
      <w:numFmt w:val="lowerLetter"/>
      <w:lvlText w:val="%2)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2" w:tplc="E774E944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83A0EF14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852212D6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F8043684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D578DA90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685051D4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8A0A41E2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1">
    <w:nsid w:val="74827809"/>
    <w:multiLevelType w:val="hybridMultilevel"/>
    <w:tmpl w:val="95EC194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856CF3"/>
    <w:multiLevelType w:val="hybridMultilevel"/>
    <w:tmpl w:val="ED8A87D6"/>
    <w:lvl w:ilvl="0" w:tplc="8E58647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Arial" w:hAnsi="Arial" w:hint="default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7"/>
  </w:num>
  <w:num w:numId="5">
    <w:abstractNumId w:val="20"/>
  </w:num>
  <w:num w:numId="6">
    <w:abstractNumId w:val="0"/>
  </w:num>
  <w:num w:numId="7">
    <w:abstractNumId w:val="13"/>
  </w:num>
  <w:num w:numId="8">
    <w:abstractNumId w:val="19"/>
  </w:num>
  <w:num w:numId="9">
    <w:abstractNumId w:val="12"/>
  </w:num>
  <w:num w:numId="10">
    <w:abstractNumId w:val="2"/>
  </w:num>
  <w:num w:numId="11">
    <w:abstractNumId w:val="1"/>
  </w:num>
  <w:num w:numId="12">
    <w:abstractNumId w:val="12"/>
  </w:num>
  <w:num w:numId="13">
    <w:abstractNumId w:val="3"/>
  </w:num>
  <w:num w:numId="14">
    <w:abstractNumId w:val="11"/>
  </w:num>
  <w:num w:numId="15">
    <w:abstractNumId w:val="12"/>
  </w:num>
  <w:num w:numId="16">
    <w:abstractNumId w:val="8"/>
  </w:num>
  <w:num w:numId="17">
    <w:abstractNumId w:val="4"/>
  </w:num>
  <w:num w:numId="18">
    <w:abstractNumId w:val="12"/>
  </w:num>
  <w:num w:numId="19">
    <w:abstractNumId w:val="10"/>
  </w:num>
  <w:num w:numId="20">
    <w:abstractNumId w:val="12"/>
  </w:num>
  <w:num w:numId="21">
    <w:abstractNumId w:val="5"/>
  </w:num>
  <w:num w:numId="22">
    <w:abstractNumId w:val="12"/>
  </w:num>
  <w:num w:numId="23">
    <w:abstractNumId w:val="9"/>
  </w:num>
  <w:num w:numId="24">
    <w:abstractNumId w:val="17"/>
  </w:num>
  <w:num w:numId="25">
    <w:abstractNumId w:val="22"/>
  </w:num>
  <w:num w:numId="26">
    <w:abstractNumId w:val="6"/>
  </w:num>
  <w:num w:numId="27">
    <w:abstractNumId w:val="21"/>
  </w:num>
  <w:num w:numId="28">
    <w:abstractNumId w:val="18"/>
  </w:num>
  <w:num w:numId="29">
    <w:abstractNumId w:val="15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trackRevision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741"/>
    <w:rsid w:val="000015B4"/>
    <w:rsid w:val="00015469"/>
    <w:rsid w:val="000162A1"/>
    <w:rsid w:val="000244BD"/>
    <w:rsid w:val="00024676"/>
    <w:rsid w:val="00026895"/>
    <w:rsid w:val="00027198"/>
    <w:rsid w:val="00027569"/>
    <w:rsid w:val="00031C62"/>
    <w:rsid w:val="0003271C"/>
    <w:rsid w:val="00034BD6"/>
    <w:rsid w:val="00034FFE"/>
    <w:rsid w:val="00040D56"/>
    <w:rsid w:val="00043EE8"/>
    <w:rsid w:val="000471F5"/>
    <w:rsid w:val="00051D2C"/>
    <w:rsid w:val="0005283C"/>
    <w:rsid w:val="00057E62"/>
    <w:rsid w:val="00060EB8"/>
    <w:rsid w:val="00075E8F"/>
    <w:rsid w:val="00077FB8"/>
    <w:rsid w:val="00084103"/>
    <w:rsid w:val="0008492F"/>
    <w:rsid w:val="00093D39"/>
    <w:rsid w:val="000A0329"/>
    <w:rsid w:val="000A1D81"/>
    <w:rsid w:val="000A6F30"/>
    <w:rsid w:val="000A7C7B"/>
    <w:rsid w:val="000B047A"/>
    <w:rsid w:val="000D3326"/>
    <w:rsid w:val="000D555C"/>
    <w:rsid w:val="000D5BAD"/>
    <w:rsid w:val="000D7846"/>
    <w:rsid w:val="000D7A57"/>
    <w:rsid w:val="000E0384"/>
    <w:rsid w:val="000E688A"/>
    <w:rsid w:val="000E7735"/>
    <w:rsid w:val="001068C5"/>
    <w:rsid w:val="00106992"/>
    <w:rsid w:val="00106DCB"/>
    <w:rsid w:val="00113DBC"/>
    <w:rsid w:val="00120244"/>
    <w:rsid w:val="001240FD"/>
    <w:rsid w:val="001264A4"/>
    <w:rsid w:val="00130C04"/>
    <w:rsid w:val="00132750"/>
    <w:rsid w:val="00140849"/>
    <w:rsid w:val="00142ACB"/>
    <w:rsid w:val="00142F9C"/>
    <w:rsid w:val="00154BD3"/>
    <w:rsid w:val="00156B41"/>
    <w:rsid w:val="00180373"/>
    <w:rsid w:val="001A2042"/>
    <w:rsid w:val="001A2F83"/>
    <w:rsid w:val="001A5463"/>
    <w:rsid w:val="001A5EE8"/>
    <w:rsid w:val="001B1DBB"/>
    <w:rsid w:val="001B4048"/>
    <w:rsid w:val="001B6DA1"/>
    <w:rsid w:val="001C0544"/>
    <w:rsid w:val="001C50A6"/>
    <w:rsid w:val="001D0B34"/>
    <w:rsid w:val="001D5C97"/>
    <w:rsid w:val="001E17A4"/>
    <w:rsid w:val="001F74B8"/>
    <w:rsid w:val="00204141"/>
    <w:rsid w:val="002053FE"/>
    <w:rsid w:val="00207A4A"/>
    <w:rsid w:val="00213F0C"/>
    <w:rsid w:val="00225C75"/>
    <w:rsid w:val="00226141"/>
    <w:rsid w:val="00226DD3"/>
    <w:rsid w:val="00232E07"/>
    <w:rsid w:val="00242FB1"/>
    <w:rsid w:val="00247C3A"/>
    <w:rsid w:val="00251097"/>
    <w:rsid w:val="0025344D"/>
    <w:rsid w:val="00253C10"/>
    <w:rsid w:val="00257FE9"/>
    <w:rsid w:val="0026033E"/>
    <w:rsid w:val="00273B09"/>
    <w:rsid w:val="002749E9"/>
    <w:rsid w:val="002873AB"/>
    <w:rsid w:val="002B2066"/>
    <w:rsid w:val="002B27DB"/>
    <w:rsid w:val="002B7CA5"/>
    <w:rsid w:val="002C49F8"/>
    <w:rsid w:val="002D01DC"/>
    <w:rsid w:val="002D099A"/>
    <w:rsid w:val="002D6B42"/>
    <w:rsid w:val="002E49DF"/>
    <w:rsid w:val="002F1AEE"/>
    <w:rsid w:val="002F1B90"/>
    <w:rsid w:val="002F679E"/>
    <w:rsid w:val="00303C0F"/>
    <w:rsid w:val="0031005A"/>
    <w:rsid w:val="0031715A"/>
    <w:rsid w:val="0031777F"/>
    <w:rsid w:val="00320B62"/>
    <w:rsid w:val="00323D68"/>
    <w:rsid w:val="0032655A"/>
    <w:rsid w:val="0033323F"/>
    <w:rsid w:val="00333504"/>
    <w:rsid w:val="003421AA"/>
    <w:rsid w:val="00352E7E"/>
    <w:rsid w:val="00356974"/>
    <w:rsid w:val="00365C59"/>
    <w:rsid w:val="00374495"/>
    <w:rsid w:val="0037745D"/>
    <w:rsid w:val="0039008F"/>
    <w:rsid w:val="00392299"/>
    <w:rsid w:val="003953E1"/>
    <w:rsid w:val="00395C61"/>
    <w:rsid w:val="00395CCB"/>
    <w:rsid w:val="003A1BC9"/>
    <w:rsid w:val="003A3151"/>
    <w:rsid w:val="003A678C"/>
    <w:rsid w:val="003C02FE"/>
    <w:rsid w:val="003C38B4"/>
    <w:rsid w:val="003C4512"/>
    <w:rsid w:val="003C5067"/>
    <w:rsid w:val="003D02DC"/>
    <w:rsid w:val="003D194C"/>
    <w:rsid w:val="003D659D"/>
    <w:rsid w:val="003E0FF6"/>
    <w:rsid w:val="003E6644"/>
    <w:rsid w:val="004038F5"/>
    <w:rsid w:val="00405625"/>
    <w:rsid w:val="00420150"/>
    <w:rsid w:val="00430812"/>
    <w:rsid w:val="00432114"/>
    <w:rsid w:val="00434EED"/>
    <w:rsid w:val="00437ABE"/>
    <w:rsid w:val="00444345"/>
    <w:rsid w:val="00450C2E"/>
    <w:rsid w:val="004536D3"/>
    <w:rsid w:val="004566D4"/>
    <w:rsid w:val="00457531"/>
    <w:rsid w:val="004630F2"/>
    <w:rsid w:val="00464366"/>
    <w:rsid w:val="0046571C"/>
    <w:rsid w:val="00467DEE"/>
    <w:rsid w:val="0047156A"/>
    <w:rsid w:val="004822A4"/>
    <w:rsid w:val="00484398"/>
    <w:rsid w:val="00484B9D"/>
    <w:rsid w:val="00493D18"/>
    <w:rsid w:val="00496F6D"/>
    <w:rsid w:val="004B5178"/>
    <w:rsid w:val="004C6D31"/>
    <w:rsid w:val="004D186E"/>
    <w:rsid w:val="004E00D7"/>
    <w:rsid w:val="004E3B58"/>
    <w:rsid w:val="004E420B"/>
    <w:rsid w:val="00502669"/>
    <w:rsid w:val="005113E2"/>
    <w:rsid w:val="005179E6"/>
    <w:rsid w:val="00523C7A"/>
    <w:rsid w:val="00526527"/>
    <w:rsid w:val="00535A6E"/>
    <w:rsid w:val="0054265F"/>
    <w:rsid w:val="00546462"/>
    <w:rsid w:val="00550932"/>
    <w:rsid w:val="005520D4"/>
    <w:rsid w:val="00554F16"/>
    <w:rsid w:val="0057222E"/>
    <w:rsid w:val="005724FE"/>
    <w:rsid w:val="00585B31"/>
    <w:rsid w:val="005A1DD8"/>
    <w:rsid w:val="005B0285"/>
    <w:rsid w:val="005B25F5"/>
    <w:rsid w:val="005B57E4"/>
    <w:rsid w:val="005C2C9C"/>
    <w:rsid w:val="005C4834"/>
    <w:rsid w:val="005C682F"/>
    <w:rsid w:val="005D75B4"/>
    <w:rsid w:val="005E16E9"/>
    <w:rsid w:val="005E456D"/>
    <w:rsid w:val="005F1ADE"/>
    <w:rsid w:val="005F29E0"/>
    <w:rsid w:val="006011F9"/>
    <w:rsid w:val="00607CB9"/>
    <w:rsid w:val="00612478"/>
    <w:rsid w:val="00623C2F"/>
    <w:rsid w:val="00635FDD"/>
    <w:rsid w:val="006362D7"/>
    <w:rsid w:val="006410D0"/>
    <w:rsid w:val="00642170"/>
    <w:rsid w:val="006440D9"/>
    <w:rsid w:val="006505FE"/>
    <w:rsid w:val="00653E74"/>
    <w:rsid w:val="006568B0"/>
    <w:rsid w:val="00657200"/>
    <w:rsid w:val="00660701"/>
    <w:rsid w:val="0066079F"/>
    <w:rsid w:val="006615E4"/>
    <w:rsid w:val="00667A40"/>
    <w:rsid w:val="0067035D"/>
    <w:rsid w:val="0067149E"/>
    <w:rsid w:val="00674748"/>
    <w:rsid w:val="006776DE"/>
    <w:rsid w:val="006A334B"/>
    <w:rsid w:val="006A5735"/>
    <w:rsid w:val="006B6553"/>
    <w:rsid w:val="006B7B8E"/>
    <w:rsid w:val="006D6954"/>
    <w:rsid w:val="006E6CC5"/>
    <w:rsid w:val="006F1BDF"/>
    <w:rsid w:val="006F69A7"/>
    <w:rsid w:val="007011B6"/>
    <w:rsid w:val="00710E05"/>
    <w:rsid w:val="00711355"/>
    <w:rsid w:val="00712B14"/>
    <w:rsid w:val="00723193"/>
    <w:rsid w:val="007233AA"/>
    <w:rsid w:val="00725D2E"/>
    <w:rsid w:val="00725EA6"/>
    <w:rsid w:val="007324A1"/>
    <w:rsid w:val="00734C2A"/>
    <w:rsid w:val="00744AAC"/>
    <w:rsid w:val="00745E92"/>
    <w:rsid w:val="007513B9"/>
    <w:rsid w:val="0075616A"/>
    <w:rsid w:val="00756A19"/>
    <w:rsid w:val="0076355F"/>
    <w:rsid w:val="00763E5C"/>
    <w:rsid w:val="007645A7"/>
    <w:rsid w:val="00766128"/>
    <w:rsid w:val="00772A05"/>
    <w:rsid w:val="00773806"/>
    <w:rsid w:val="00773B52"/>
    <w:rsid w:val="00773BC1"/>
    <w:rsid w:val="00776A9F"/>
    <w:rsid w:val="00776F87"/>
    <w:rsid w:val="007863F0"/>
    <w:rsid w:val="00786982"/>
    <w:rsid w:val="0079087E"/>
    <w:rsid w:val="00793D31"/>
    <w:rsid w:val="00796A0F"/>
    <w:rsid w:val="007A0711"/>
    <w:rsid w:val="007A0D6E"/>
    <w:rsid w:val="007A20E6"/>
    <w:rsid w:val="007B0FA8"/>
    <w:rsid w:val="007B7FDA"/>
    <w:rsid w:val="007C14E1"/>
    <w:rsid w:val="007C1892"/>
    <w:rsid w:val="007D3A8A"/>
    <w:rsid w:val="007D606E"/>
    <w:rsid w:val="007E54D4"/>
    <w:rsid w:val="007F29D6"/>
    <w:rsid w:val="007F4E34"/>
    <w:rsid w:val="007F51FB"/>
    <w:rsid w:val="00801892"/>
    <w:rsid w:val="008030A0"/>
    <w:rsid w:val="00805D2D"/>
    <w:rsid w:val="00823FA5"/>
    <w:rsid w:val="008317DF"/>
    <w:rsid w:val="0084449F"/>
    <w:rsid w:val="00850A17"/>
    <w:rsid w:val="00854050"/>
    <w:rsid w:val="00864554"/>
    <w:rsid w:val="00870F95"/>
    <w:rsid w:val="008713E2"/>
    <w:rsid w:val="00881380"/>
    <w:rsid w:val="00882977"/>
    <w:rsid w:val="008865BF"/>
    <w:rsid w:val="0089232A"/>
    <w:rsid w:val="0089544D"/>
    <w:rsid w:val="008A1082"/>
    <w:rsid w:val="008B1AC8"/>
    <w:rsid w:val="008C63FF"/>
    <w:rsid w:val="008E421A"/>
    <w:rsid w:val="008F3E8B"/>
    <w:rsid w:val="008F3E91"/>
    <w:rsid w:val="00910C78"/>
    <w:rsid w:val="009158F9"/>
    <w:rsid w:val="00915F70"/>
    <w:rsid w:val="0092001A"/>
    <w:rsid w:val="00926A95"/>
    <w:rsid w:val="0092748E"/>
    <w:rsid w:val="00932D8E"/>
    <w:rsid w:val="009332E9"/>
    <w:rsid w:val="00933392"/>
    <w:rsid w:val="00943103"/>
    <w:rsid w:val="009458FC"/>
    <w:rsid w:val="00947089"/>
    <w:rsid w:val="009566A1"/>
    <w:rsid w:val="00967F2A"/>
    <w:rsid w:val="00970E35"/>
    <w:rsid w:val="00977EC0"/>
    <w:rsid w:val="009845C0"/>
    <w:rsid w:val="0098465A"/>
    <w:rsid w:val="00984CCA"/>
    <w:rsid w:val="00986284"/>
    <w:rsid w:val="00987745"/>
    <w:rsid w:val="00990A5D"/>
    <w:rsid w:val="00993002"/>
    <w:rsid w:val="009A2DED"/>
    <w:rsid w:val="009A4BC1"/>
    <w:rsid w:val="009B2F61"/>
    <w:rsid w:val="009B614D"/>
    <w:rsid w:val="009B7B2C"/>
    <w:rsid w:val="009C4062"/>
    <w:rsid w:val="009D01FC"/>
    <w:rsid w:val="009E3E20"/>
    <w:rsid w:val="009E544B"/>
    <w:rsid w:val="009F0DF9"/>
    <w:rsid w:val="00A07B86"/>
    <w:rsid w:val="00A07DC5"/>
    <w:rsid w:val="00A3030B"/>
    <w:rsid w:val="00A673E8"/>
    <w:rsid w:val="00A740A0"/>
    <w:rsid w:val="00A7531B"/>
    <w:rsid w:val="00A76D41"/>
    <w:rsid w:val="00A82211"/>
    <w:rsid w:val="00A853A1"/>
    <w:rsid w:val="00A87F15"/>
    <w:rsid w:val="00AA6B2E"/>
    <w:rsid w:val="00AC69E9"/>
    <w:rsid w:val="00AD52ED"/>
    <w:rsid w:val="00AE091E"/>
    <w:rsid w:val="00AE1640"/>
    <w:rsid w:val="00AE3339"/>
    <w:rsid w:val="00AE4D53"/>
    <w:rsid w:val="00AE7FB7"/>
    <w:rsid w:val="00AF3397"/>
    <w:rsid w:val="00B01A43"/>
    <w:rsid w:val="00B25D31"/>
    <w:rsid w:val="00B267FE"/>
    <w:rsid w:val="00B317FB"/>
    <w:rsid w:val="00B3628D"/>
    <w:rsid w:val="00B37F73"/>
    <w:rsid w:val="00B41650"/>
    <w:rsid w:val="00B41C9A"/>
    <w:rsid w:val="00B471F8"/>
    <w:rsid w:val="00B563CD"/>
    <w:rsid w:val="00B625C6"/>
    <w:rsid w:val="00B667B1"/>
    <w:rsid w:val="00B72E78"/>
    <w:rsid w:val="00B74A5A"/>
    <w:rsid w:val="00B75494"/>
    <w:rsid w:val="00B77CA1"/>
    <w:rsid w:val="00B862DD"/>
    <w:rsid w:val="00B86700"/>
    <w:rsid w:val="00B9508B"/>
    <w:rsid w:val="00BA6D38"/>
    <w:rsid w:val="00BA71FF"/>
    <w:rsid w:val="00BB1B2D"/>
    <w:rsid w:val="00BB2E1B"/>
    <w:rsid w:val="00BB50ED"/>
    <w:rsid w:val="00BB55DD"/>
    <w:rsid w:val="00BC25B7"/>
    <w:rsid w:val="00BC2B97"/>
    <w:rsid w:val="00BC6DEB"/>
    <w:rsid w:val="00BD02E6"/>
    <w:rsid w:val="00BD1D8F"/>
    <w:rsid w:val="00BD367E"/>
    <w:rsid w:val="00BD5156"/>
    <w:rsid w:val="00BD7A29"/>
    <w:rsid w:val="00BE57C5"/>
    <w:rsid w:val="00BF05C0"/>
    <w:rsid w:val="00BF483A"/>
    <w:rsid w:val="00C05E06"/>
    <w:rsid w:val="00C25444"/>
    <w:rsid w:val="00C275A3"/>
    <w:rsid w:val="00C34136"/>
    <w:rsid w:val="00C35B85"/>
    <w:rsid w:val="00C51027"/>
    <w:rsid w:val="00C56D08"/>
    <w:rsid w:val="00C65A07"/>
    <w:rsid w:val="00C70D37"/>
    <w:rsid w:val="00C80764"/>
    <w:rsid w:val="00C8185B"/>
    <w:rsid w:val="00C83D47"/>
    <w:rsid w:val="00C87C87"/>
    <w:rsid w:val="00C91CF0"/>
    <w:rsid w:val="00C94A4E"/>
    <w:rsid w:val="00CA02FF"/>
    <w:rsid w:val="00CA0A80"/>
    <w:rsid w:val="00CA2490"/>
    <w:rsid w:val="00CA7CD7"/>
    <w:rsid w:val="00CB3F29"/>
    <w:rsid w:val="00CB5703"/>
    <w:rsid w:val="00CB644D"/>
    <w:rsid w:val="00CB6C5C"/>
    <w:rsid w:val="00CC6616"/>
    <w:rsid w:val="00CC7538"/>
    <w:rsid w:val="00CD3741"/>
    <w:rsid w:val="00CD4DC7"/>
    <w:rsid w:val="00CE69B5"/>
    <w:rsid w:val="00D01CD8"/>
    <w:rsid w:val="00D05EBE"/>
    <w:rsid w:val="00D10614"/>
    <w:rsid w:val="00D123E8"/>
    <w:rsid w:val="00D14EA1"/>
    <w:rsid w:val="00D1711E"/>
    <w:rsid w:val="00D253EB"/>
    <w:rsid w:val="00D30ED5"/>
    <w:rsid w:val="00D344A7"/>
    <w:rsid w:val="00D34B4B"/>
    <w:rsid w:val="00D373DF"/>
    <w:rsid w:val="00D4204A"/>
    <w:rsid w:val="00D4521F"/>
    <w:rsid w:val="00D50E63"/>
    <w:rsid w:val="00D57D42"/>
    <w:rsid w:val="00D6406C"/>
    <w:rsid w:val="00D6419A"/>
    <w:rsid w:val="00D764DC"/>
    <w:rsid w:val="00D80701"/>
    <w:rsid w:val="00D87799"/>
    <w:rsid w:val="00D90827"/>
    <w:rsid w:val="00D966BA"/>
    <w:rsid w:val="00DA487C"/>
    <w:rsid w:val="00DA48AF"/>
    <w:rsid w:val="00DA4C71"/>
    <w:rsid w:val="00DA5CB6"/>
    <w:rsid w:val="00DB5413"/>
    <w:rsid w:val="00DB7408"/>
    <w:rsid w:val="00DC281C"/>
    <w:rsid w:val="00DC4715"/>
    <w:rsid w:val="00DD5BA4"/>
    <w:rsid w:val="00DD7BCC"/>
    <w:rsid w:val="00DE03A4"/>
    <w:rsid w:val="00DE3741"/>
    <w:rsid w:val="00E028AA"/>
    <w:rsid w:val="00E06859"/>
    <w:rsid w:val="00E073AE"/>
    <w:rsid w:val="00E12851"/>
    <w:rsid w:val="00E131C5"/>
    <w:rsid w:val="00E32AFF"/>
    <w:rsid w:val="00E32B9F"/>
    <w:rsid w:val="00E3482D"/>
    <w:rsid w:val="00E370F7"/>
    <w:rsid w:val="00E502A0"/>
    <w:rsid w:val="00E5504C"/>
    <w:rsid w:val="00E720ED"/>
    <w:rsid w:val="00E72816"/>
    <w:rsid w:val="00E81D72"/>
    <w:rsid w:val="00E82D42"/>
    <w:rsid w:val="00E915A2"/>
    <w:rsid w:val="00E92BD8"/>
    <w:rsid w:val="00E97CD2"/>
    <w:rsid w:val="00EA65FD"/>
    <w:rsid w:val="00EB1013"/>
    <w:rsid w:val="00EB290D"/>
    <w:rsid w:val="00EB375D"/>
    <w:rsid w:val="00EB4308"/>
    <w:rsid w:val="00EC7311"/>
    <w:rsid w:val="00ED1C17"/>
    <w:rsid w:val="00ED6C2D"/>
    <w:rsid w:val="00ED722F"/>
    <w:rsid w:val="00EE69C9"/>
    <w:rsid w:val="00F14F9B"/>
    <w:rsid w:val="00F23C96"/>
    <w:rsid w:val="00F307DA"/>
    <w:rsid w:val="00F31FC2"/>
    <w:rsid w:val="00F34E79"/>
    <w:rsid w:val="00F36475"/>
    <w:rsid w:val="00F4466D"/>
    <w:rsid w:val="00F46341"/>
    <w:rsid w:val="00F46D6D"/>
    <w:rsid w:val="00F527B5"/>
    <w:rsid w:val="00F52A5E"/>
    <w:rsid w:val="00F54807"/>
    <w:rsid w:val="00F567FC"/>
    <w:rsid w:val="00F56935"/>
    <w:rsid w:val="00F6390D"/>
    <w:rsid w:val="00F74B86"/>
    <w:rsid w:val="00F75416"/>
    <w:rsid w:val="00F90398"/>
    <w:rsid w:val="00F95C9D"/>
    <w:rsid w:val="00F95E82"/>
    <w:rsid w:val="00F97C3C"/>
    <w:rsid w:val="00FB19BA"/>
    <w:rsid w:val="00FB21A1"/>
    <w:rsid w:val="00FB5C2A"/>
    <w:rsid w:val="00FC0E21"/>
    <w:rsid w:val="00FC4BDF"/>
    <w:rsid w:val="00FC6A89"/>
    <w:rsid w:val="00FD0504"/>
    <w:rsid w:val="00FD7330"/>
    <w:rsid w:val="00FE13BF"/>
    <w:rsid w:val="00FE1A26"/>
    <w:rsid w:val="00FE1E14"/>
    <w:rsid w:val="00FF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E7E"/>
    <w:pPr>
      <w:spacing w:before="60" w:after="60"/>
    </w:pPr>
    <w:rPr>
      <w:rFonts w:ascii="Arial Narrow" w:hAnsi="Arial Narrow"/>
      <w:sz w:val="24"/>
      <w:lang w:val="es-ES" w:eastAsia="es-ES"/>
    </w:rPr>
  </w:style>
  <w:style w:type="paragraph" w:styleId="Ttulo1">
    <w:name w:val="heading 1"/>
    <w:basedOn w:val="Normal"/>
    <w:next w:val="Normal"/>
    <w:autoRedefine/>
    <w:qFormat/>
    <w:rsid w:val="00933392"/>
    <w:pPr>
      <w:keepNext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qFormat/>
    <w:rsid w:val="00352E7E"/>
    <w:pPr>
      <w:keepNext/>
      <w:numPr>
        <w:ilvl w:val="1"/>
        <w:numId w:val="4"/>
      </w:numPr>
      <w:spacing w:before="0" w:after="0" w:line="228" w:lineRule="auto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352E7E"/>
    <w:pPr>
      <w:keepNext/>
      <w:numPr>
        <w:ilvl w:val="2"/>
        <w:numId w:val="4"/>
      </w:numPr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352E7E"/>
    <w:pPr>
      <w:keepNext/>
      <w:ind w:firstLine="709"/>
      <w:jc w:val="center"/>
      <w:outlineLvl w:val="3"/>
    </w:pPr>
    <w:rPr>
      <w:rFonts w:ascii="Comic Sans MS" w:hAnsi="Comic Sans MS"/>
      <w:b/>
      <w:sz w:val="28"/>
      <w:u w:val="single"/>
      <w:lang w:val="es-MX"/>
    </w:rPr>
  </w:style>
  <w:style w:type="paragraph" w:styleId="Ttulo5">
    <w:name w:val="heading 5"/>
    <w:basedOn w:val="Normal"/>
    <w:next w:val="Normal"/>
    <w:qFormat/>
    <w:rsid w:val="00352E7E"/>
    <w:pPr>
      <w:keepNext/>
      <w:jc w:val="center"/>
      <w:outlineLvl w:val="4"/>
    </w:pPr>
    <w:rPr>
      <w:rFonts w:ascii="Lucida Casual" w:hAnsi="Lucida Casual"/>
      <w:b/>
      <w:lang w:val="es-MX"/>
    </w:rPr>
  </w:style>
  <w:style w:type="paragraph" w:styleId="Ttulo6">
    <w:name w:val="heading 6"/>
    <w:basedOn w:val="Normal"/>
    <w:next w:val="Normal"/>
    <w:qFormat/>
    <w:rsid w:val="00352E7E"/>
    <w:pPr>
      <w:keepNext/>
      <w:jc w:val="center"/>
      <w:outlineLvl w:val="5"/>
    </w:pPr>
    <w:rPr>
      <w:rFonts w:ascii="Arial" w:hAnsi="Arial"/>
      <w:b/>
      <w:snapToGrid w:val="0"/>
      <w:color w:val="000000"/>
    </w:rPr>
  </w:style>
  <w:style w:type="paragraph" w:styleId="Ttulo7">
    <w:name w:val="heading 7"/>
    <w:basedOn w:val="Normal"/>
    <w:next w:val="Normal"/>
    <w:qFormat/>
    <w:rsid w:val="00352E7E"/>
    <w:pPr>
      <w:keepNext/>
      <w:widowControl w:val="0"/>
      <w:tabs>
        <w:tab w:val="left" w:pos="1394"/>
        <w:tab w:val="right" w:pos="6083"/>
      </w:tabs>
      <w:jc w:val="center"/>
      <w:outlineLvl w:val="6"/>
    </w:pPr>
    <w:rPr>
      <w:b/>
      <w:snapToGrid w:val="0"/>
      <w:sz w:val="16"/>
    </w:rPr>
  </w:style>
  <w:style w:type="paragraph" w:styleId="Ttulo8">
    <w:name w:val="heading 8"/>
    <w:basedOn w:val="Normal"/>
    <w:next w:val="Normal"/>
    <w:qFormat/>
    <w:rsid w:val="00352E7E"/>
    <w:pPr>
      <w:keepNext/>
      <w:widowControl w:val="0"/>
      <w:tabs>
        <w:tab w:val="left" w:pos="204"/>
      </w:tabs>
      <w:jc w:val="center"/>
      <w:outlineLvl w:val="7"/>
    </w:pPr>
    <w:rPr>
      <w:rFonts w:ascii="Arial" w:hAnsi="Arial"/>
      <w:b/>
      <w:bCs/>
      <w:snapToGrid w:val="0"/>
    </w:rPr>
  </w:style>
  <w:style w:type="paragraph" w:styleId="Ttulo9">
    <w:name w:val="heading 9"/>
    <w:basedOn w:val="Normal"/>
    <w:next w:val="Normal"/>
    <w:qFormat/>
    <w:rsid w:val="00352E7E"/>
    <w:pPr>
      <w:keepNext/>
      <w:jc w:val="both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52E7E"/>
    <w:pPr>
      <w:numPr>
        <w:numId w:val="3"/>
      </w:numPr>
      <w:tabs>
        <w:tab w:val="left" w:pos="851"/>
      </w:tabs>
      <w:jc w:val="both"/>
    </w:pPr>
    <w:rPr>
      <w:lang w:val="es-MX"/>
    </w:rPr>
  </w:style>
  <w:style w:type="paragraph" w:styleId="Sangradetextonormal">
    <w:name w:val="Body Text Indent"/>
    <w:basedOn w:val="Normal"/>
    <w:rsid w:val="00352E7E"/>
    <w:pPr>
      <w:ind w:left="426"/>
      <w:jc w:val="both"/>
    </w:pPr>
    <w:rPr>
      <w:lang w:val="es-MX"/>
    </w:rPr>
  </w:style>
  <w:style w:type="paragraph" w:styleId="Textoindependiente3">
    <w:name w:val="Body Text 3"/>
    <w:basedOn w:val="Normal"/>
    <w:rsid w:val="00352E7E"/>
    <w:pPr>
      <w:jc w:val="both"/>
    </w:pPr>
    <w:rPr>
      <w:rFonts w:ascii="Comic Sans MS" w:hAnsi="Comic Sans MS"/>
      <w:sz w:val="28"/>
      <w:lang w:val="es-MX"/>
    </w:rPr>
  </w:style>
  <w:style w:type="paragraph" w:styleId="Ttulo">
    <w:name w:val="Title"/>
    <w:basedOn w:val="Normal"/>
    <w:qFormat/>
    <w:rsid w:val="00352E7E"/>
    <w:pPr>
      <w:jc w:val="center"/>
    </w:pPr>
    <w:rPr>
      <w:rFonts w:ascii="Arial" w:hAnsi="Arial"/>
      <w:b/>
      <w:sz w:val="22"/>
    </w:rPr>
  </w:style>
  <w:style w:type="paragraph" w:styleId="Encabezado">
    <w:name w:val="header"/>
    <w:basedOn w:val="Normal"/>
    <w:rsid w:val="00352E7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52E7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52E7E"/>
  </w:style>
  <w:style w:type="paragraph" w:customStyle="1" w:styleId="Textoindepe">
    <w:name w:val="Texto indepe"/>
    <w:basedOn w:val="Normal"/>
    <w:rsid w:val="00DD7BCC"/>
    <w:pPr>
      <w:widowControl w:val="0"/>
      <w:spacing w:before="0" w:after="0"/>
      <w:jc w:val="both"/>
    </w:pPr>
    <w:rPr>
      <w:rFonts w:ascii="Arial" w:hAnsi="Arial"/>
      <w:sz w:val="22"/>
      <w:lang w:val="es-MX"/>
    </w:rPr>
  </w:style>
  <w:style w:type="paragraph" w:styleId="Textoindependiente2">
    <w:name w:val="Body Text 2"/>
    <w:basedOn w:val="Normal"/>
    <w:rsid w:val="00352E7E"/>
    <w:pPr>
      <w:spacing w:line="480" w:lineRule="auto"/>
      <w:jc w:val="both"/>
    </w:pPr>
    <w:rPr>
      <w:rFonts w:ascii="Arial" w:hAnsi="Arial"/>
      <w:sz w:val="22"/>
      <w:lang w:val="es-MX"/>
    </w:rPr>
  </w:style>
  <w:style w:type="paragraph" w:styleId="Lista2">
    <w:name w:val="List 2"/>
    <w:basedOn w:val="Normal"/>
    <w:rsid w:val="00352E7E"/>
    <w:pPr>
      <w:ind w:left="566" w:hanging="283"/>
    </w:pPr>
  </w:style>
  <w:style w:type="paragraph" w:styleId="Listaconvietas">
    <w:name w:val="List Bullet"/>
    <w:basedOn w:val="Normal"/>
    <w:rsid w:val="00352E7E"/>
    <w:pPr>
      <w:numPr>
        <w:ilvl w:val="6"/>
        <w:numId w:val="2"/>
      </w:numPr>
      <w:ind w:right="622"/>
      <w:jc w:val="both"/>
    </w:pPr>
    <w:rPr>
      <w:rFonts w:ascii="Arial" w:hAnsi="Arial"/>
      <w:snapToGrid w:val="0"/>
      <w:sz w:val="16"/>
    </w:rPr>
  </w:style>
  <w:style w:type="paragraph" w:styleId="Sangra2detindependiente">
    <w:name w:val="Body Text Indent 2"/>
    <w:basedOn w:val="Normal"/>
    <w:rsid w:val="00352E7E"/>
    <w:pPr>
      <w:ind w:left="360"/>
    </w:pPr>
    <w:rPr>
      <w:rFonts w:ascii="Arial" w:hAnsi="Arial"/>
      <w:sz w:val="18"/>
    </w:rPr>
  </w:style>
  <w:style w:type="paragraph" w:styleId="Listaconvietas2">
    <w:name w:val="List Bullet 2"/>
    <w:basedOn w:val="Normal"/>
    <w:autoRedefine/>
    <w:rsid w:val="00352E7E"/>
    <w:pPr>
      <w:tabs>
        <w:tab w:val="num" w:pos="360"/>
      </w:tabs>
      <w:ind w:left="360" w:hanging="360"/>
    </w:pPr>
  </w:style>
  <w:style w:type="paragraph" w:customStyle="1" w:styleId="TxBrp2">
    <w:name w:val="TxBr_p2"/>
    <w:basedOn w:val="Normal"/>
    <w:rsid w:val="00352E7E"/>
    <w:pPr>
      <w:widowControl w:val="0"/>
      <w:tabs>
        <w:tab w:val="left" w:pos="204"/>
      </w:tabs>
      <w:spacing w:line="240" w:lineRule="atLeast"/>
    </w:pPr>
    <w:rPr>
      <w:snapToGrid w:val="0"/>
    </w:rPr>
  </w:style>
  <w:style w:type="paragraph" w:customStyle="1" w:styleId="TxBrp3">
    <w:name w:val="TxBr_p3"/>
    <w:basedOn w:val="Normal"/>
    <w:rsid w:val="00352E7E"/>
    <w:pPr>
      <w:widowControl w:val="0"/>
      <w:tabs>
        <w:tab w:val="left" w:pos="204"/>
      </w:tabs>
      <w:spacing w:line="240" w:lineRule="atLeast"/>
    </w:pPr>
    <w:rPr>
      <w:snapToGrid w:val="0"/>
    </w:rPr>
  </w:style>
  <w:style w:type="paragraph" w:customStyle="1" w:styleId="TxBrp5">
    <w:name w:val="TxBr_p5"/>
    <w:basedOn w:val="Normal"/>
    <w:rsid w:val="00352E7E"/>
    <w:pPr>
      <w:widowControl w:val="0"/>
      <w:tabs>
        <w:tab w:val="left" w:pos="357"/>
      </w:tabs>
      <w:spacing w:line="238" w:lineRule="atLeast"/>
      <w:ind w:left="259" w:hanging="357"/>
      <w:jc w:val="both"/>
    </w:pPr>
    <w:rPr>
      <w:snapToGrid w:val="0"/>
    </w:rPr>
  </w:style>
  <w:style w:type="paragraph" w:customStyle="1" w:styleId="TxBrp6">
    <w:name w:val="TxBr_p6"/>
    <w:basedOn w:val="Normal"/>
    <w:rsid w:val="00352E7E"/>
    <w:pPr>
      <w:widowControl w:val="0"/>
      <w:spacing w:line="238" w:lineRule="atLeast"/>
      <w:ind w:left="259"/>
      <w:jc w:val="both"/>
    </w:pPr>
    <w:rPr>
      <w:snapToGrid w:val="0"/>
    </w:rPr>
  </w:style>
  <w:style w:type="paragraph" w:customStyle="1" w:styleId="TxBrp7">
    <w:name w:val="TxBr_p7"/>
    <w:basedOn w:val="Normal"/>
    <w:rsid w:val="00352E7E"/>
    <w:pPr>
      <w:widowControl w:val="0"/>
      <w:tabs>
        <w:tab w:val="left" w:pos="204"/>
      </w:tabs>
      <w:spacing w:line="238" w:lineRule="atLeast"/>
      <w:jc w:val="both"/>
    </w:pPr>
    <w:rPr>
      <w:snapToGrid w:val="0"/>
    </w:rPr>
  </w:style>
  <w:style w:type="paragraph" w:customStyle="1" w:styleId="TxBrp8">
    <w:name w:val="TxBr_p8"/>
    <w:basedOn w:val="Normal"/>
    <w:rsid w:val="00352E7E"/>
    <w:pPr>
      <w:widowControl w:val="0"/>
      <w:tabs>
        <w:tab w:val="left" w:pos="362"/>
      </w:tabs>
      <w:spacing w:line="238" w:lineRule="atLeast"/>
      <w:ind w:left="254" w:hanging="362"/>
      <w:jc w:val="both"/>
    </w:pPr>
    <w:rPr>
      <w:snapToGrid w:val="0"/>
    </w:rPr>
  </w:style>
  <w:style w:type="paragraph" w:customStyle="1" w:styleId="TxBrp9">
    <w:name w:val="TxBr_p9"/>
    <w:basedOn w:val="Normal"/>
    <w:rsid w:val="00352E7E"/>
    <w:pPr>
      <w:widowControl w:val="0"/>
      <w:spacing w:line="238" w:lineRule="atLeast"/>
      <w:jc w:val="both"/>
    </w:pPr>
    <w:rPr>
      <w:snapToGrid w:val="0"/>
    </w:rPr>
  </w:style>
  <w:style w:type="paragraph" w:customStyle="1" w:styleId="TxBrp1">
    <w:name w:val="TxBr_p1"/>
    <w:basedOn w:val="Normal"/>
    <w:rsid w:val="00352E7E"/>
    <w:pPr>
      <w:widowControl w:val="0"/>
      <w:tabs>
        <w:tab w:val="left" w:pos="702"/>
      </w:tabs>
      <w:spacing w:line="232" w:lineRule="atLeast"/>
      <w:ind w:left="216"/>
      <w:jc w:val="both"/>
    </w:pPr>
    <w:rPr>
      <w:snapToGrid w:val="0"/>
    </w:rPr>
  </w:style>
  <w:style w:type="paragraph" w:customStyle="1" w:styleId="TxBrp4">
    <w:name w:val="TxBr_p4"/>
    <w:basedOn w:val="Normal"/>
    <w:rsid w:val="00352E7E"/>
    <w:pPr>
      <w:widowControl w:val="0"/>
      <w:spacing w:line="232" w:lineRule="atLeast"/>
      <w:ind w:left="113"/>
      <w:jc w:val="both"/>
    </w:pPr>
    <w:rPr>
      <w:snapToGrid w:val="0"/>
    </w:rPr>
  </w:style>
  <w:style w:type="paragraph" w:customStyle="1" w:styleId="TxBrt8">
    <w:name w:val="TxBr_t8"/>
    <w:basedOn w:val="Normal"/>
    <w:rsid w:val="00352E7E"/>
    <w:pPr>
      <w:widowControl w:val="0"/>
      <w:spacing w:line="240" w:lineRule="atLeast"/>
    </w:pPr>
    <w:rPr>
      <w:snapToGrid w:val="0"/>
    </w:rPr>
  </w:style>
  <w:style w:type="paragraph" w:customStyle="1" w:styleId="TxBrp13">
    <w:name w:val="TxBr_p13"/>
    <w:basedOn w:val="Normal"/>
    <w:rsid w:val="00352E7E"/>
    <w:pPr>
      <w:widowControl w:val="0"/>
      <w:tabs>
        <w:tab w:val="left" w:pos="204"/>
      </w:tabs>
      <w:spacing w:line="226" w:lineRule="atLeast"/>
      <w:jc w:val="both"/>
    </w:pPr>
    <w:rPr>
      <w:snapToGrid w:val="0"/>
    </w:rPr>
  </w:style>
  <w:style w:type="paragraph" w:customStyle="1" w:styleId="TxBrp14">
    <w:name w:val="TxBr_p14"/>
    <w:basedOn w:val="Normal"/>
    <w:rsid w:val="00352E7E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TxBrp15">
    <w:name w:val="TxBr_p15"/>
    <w:basedOn w:val="Normal"/>
    <w:rsid w:val="00352E7E"/>
    <w:pPr>
      <w:widowControl w:val="0"/>
      <w:tabs>
        <w:tab w:val="left" w:pos="5119"/>
      </w:tabs>
      <w:spacing w:line="240" w:lineRule="atLeast"/>
      <w:ind w:left="4503"/>
      <w:jc w:val="both"/>
    </w:pPr>
    <w:rPr>
      <w:snapToGrid w:val="0"/>
    </w:rPr>
  </w:style>
  <w:style w:type="paragraph" w:customStyle="1" w:styleId="TxBrp16">
    <w:name w:val="TxBr_p16"/>
    <w:basedOn w:val="Normal"/>
    <w:rsid w:val="00352E7E"/>
    <w:pPr>
      <w:widowControl w:val="0"/>
      <w:tabs>
        <w:tab w:val="left" w:pos="357"/>
      </w:tabs>
      <w:spacing w:line="226" w:lineRule="atLeast"/>
      <w:ind w:left="259" w:hanging="357"/>
      <w:jc w:val="both"/>
    </w:pPr>
    <w:rPr>
      <w:snapToGrid w:val="0"/>
    </w:rPr>
  </w:style>
  <w:style w:type="paragraph" w:customStyle="1" w:styleId="TxBrp17">
    <w:name w:val="TxBr_p17"/>
    <w:basedOn w:val="Normal"/>
    <w:rsid w:val="00352E7E"/>
    <w:pPr>
      <w:widowControl w:val="0"/>
      <w:spacing w:line="226" w:lineRule="atLeast"/>
      <w:ind w:left="259"/>
      <w:jc w:val="both"/>
    </w:pPr>
    <w:rPr>
      <w:snapToGrid w:val="0"/>
    </w:rPr>
  </w:style>
  <w:style w:type="paragraph" w:styleId="Sangra3detindependiente">
    <w:name w:val="Body Text Indent 3"/>
    <w:basedOn w:val="Normal"/>
    <w:rsid w:val="00352E7E"/>
    <w:pPr>
      <w:tabs>
        <w:tab w:val="left" w:pos="374"/>
      </w:tabs>
      <w:spacing w:line="232" w:lineRule="exact"/>
      <w:ind w:left="284" w:hanging="284"/>
      <w:jc w:val="both"/>
    </w:pPr>
    <w:rPr>
      <w:rFonts w:ascii="Arial" w:hAnsi="Arial"/>
      <w:snapToGrid w:val="0"/>
    </w:rPr>
  </w:style>
  <w:style w:type="paragraph" w:customStyle="1" w:styleId="TxBrp19">
    <w:name w:val="TxBr_p19"/>
    <w:basedOn w:val="Normal"/>
    <w:rsid w:val="00352E7E"/>
    <w:pPr>
      <w:widowControl w:val="0"/>
      <w:spacing w:line="226" w:lineRule="atLeast"/>
      <w:jc w:val="both"/>
    </w:pPr>
    <w:rPr>
      <w:snapToGrid w:val="0"/>
    </w:rPr>
  </w:style>
  <w:style w:type="paragraph" w:styleId="Textonotapie">
    <w:name w:val="footnote text"/>
    <w:basedOn w:val="Normal"/>
    <w:link w:val="TextonotapieCar"/>
    <w:semiHidden/>
    <w:rsid w:val="00352E7E"/>
    <w:rPr>
      <w:lang w:val="en-US"/>
    </w:rPr>
  </w:style>
  <w:style w:type="character" w:styleId="Refdenotaalpie">
    <w:name w:val="footnote reference"/>
    <w:basedOn w:val="Fuentedeprrafopredeter"/>
    <w:semiHidden/>
    <w:rsid w:val="00352E7E"/>
    <w:rPr>
      <w:vertAlign w:val="superscript"/>
    </w:rPr>
  </w:style>
  <w:style w:type="paragraph" w:customStyle="1" w:styleId="TxBrt23">
    <w:name w:val="TxBr_t23"/>
    <w:basedOn w:val="Normal"/>
    <w:rsid w:val="00352E7E"/>
    <w:pPr>
      <w:widowControl w:val="0"/>
      <w:spacing w:line="240" w:lineRule="atLeast"/>
    </w:pPr>
    <w:rPr>
      <w:snapToGrid w:val="0"/>
    </w:rPr>
  </w:style>
  <w:style w:type="paragraph" w:customStyle="1" w:styleId="TxBrp24">
    <w:name w:val="TxBr_p24"/>
    <w:basedOn w:val="Normal"/>
    <w:rsid w:val="00352E7E"/>
    <w:pPr>
      <w:widowControl w:val="0"/>
      <w:tabs>
        <w:tab w:val="left" w:pos="204"/>
      </w:tabs>
      <w:spacing w:line="413" w:lineRule="atLeast"/>
      <w:jc w:val="both"/>
    </w:pPr>
    <w:rPr>
      <w:snapToGrid w:val="0"/>
    </w:rPr>
  </w:style>
  <w:style w:type="paragraph" w:customStyle="1" w:styleId="TxBrp25">
    <w:name w:val="TxBr_p25"/>
    <w:basedOn w:val="Normal"/>
    <w:rsid w:val="00352E7E"/>
    <w:pPr>
      <w:widowControl w:val="0"/>
      <w:tabs>
        <w:tab w:val="left" w:pos="362"/>
      </w:tabs>
      <w:spacing w:line="413" w:lineRule="atLeast"/>
      <w:ind w:left="254" w:hanging="362"/>
      <w:jc w:val="both"/>
    </w:pPr>
    <w:rPr>
      <w:snapToGrid w:val="0"/>
    </w:rPr>
  </w:style>
  <w:style w:type="character" w:styleId="Refdecomentario">
    <w:name w:val="annotation reference"/>
    <w:basedOn w:val="Fuentedeprrafopredeter"/>
    <w:semiHidden/>
    <w:rsid w:val="00352E7E"/>
    <w:rPr>
      <w:sz w:val="16"/>
    </w:rPr>
  </w:style>
  <w:style w:type="paragraph" w:styleId="Textocomentario">
    <w:name w:val="annotation text"/>
    <w:basedOn w:val="Normal"/>
    <w:semiHidden/>
    <w:rsid w:val="00352E7E"/>
  </w:style>
  <w:style w:type="paragraph" w:styleId="NormalWeb">
    <w:name w:val="Normal (Web)"/>
    <w:basedOn w:val="Normal"/>
    <w:rsid w:val="00352E7E"/>
    <w:pPr>
      <w:spacing w:before="100" w:beforeAutospacing="1" w:after="100" w:afterAutospacing="1"/>
    </w:pPr>
    <w:rPr>
      <w:szCs w:val="24"/>
    </w:rPr>
  </w:style>
  <w:style w:type="paragraph" w:customStyle="1" w:styleId="Estilo1">
    <w:name w:val="Estilo1"/>
    <w:basedOn w:val="Normal"/>
    <w:rsid w:val="00A87F15"/>
    <w:pPr>
      <w:numPr>
        <w:numId w:val="4"/>
      </w:numPr>
    </w:pPr>
  </w:style>
  <w:style w:type="paragraph" w:styleId="Textodeglobo">
    <w:name w:val="Balloon Text"/>
    <w:basedOn w:val="Normal"/>
    <w:semiHidden/>
    <w:rsid w:val="00612478"/>
    <w:rPr>
      <w:rFonts w:ascii="Tahoma" w:hAnsi="Tahoma" w:cs="Tahoma"/>
      <w:sz w:val="16"/>
      <w:szCs w:val="16"/>
    </w:rPr>
  </w:style>
  <w:style w:type="paragraph" w:customStyle="1" w:styleId="EstiloTtulo2Izquierda0cmPrimeralnea0cm">
    <w:name w:val="Estilo Título 2 + Izquierda:  0 cm Primera línea:  0 cm"/>
    <w:basedOn w:val="Ttulo2"/>
    <w:rsid w:val="00776A9F"/>
    <w:pPr>
      <w:numPr>
        <w:numId w:val="0"/>
      </w:numPr>
      <w:tabs>
        <w:tab w:val="num" w:pos="576"/>
      </w:tabs>
      <w:spacing w:before="180" w:after="180" w:line="240" w:lineRule="auto"/>
      <w:ind w:left="576" w:hanging="576"/>
      <w:jc w:val="both"/>
    </w:pPr>
    <w:rPr>
      <w:bCs/>
      <w:sz w:val="22"/>
      <w:lang w:val="es-SV"/>
    </w:rPr>
  </w:style>
  <w:style w:type="paragraph" w:styleId="ndice1">
    <w:name w:val="index 1"/>
    <w:basedOn w:val="Normal"/>
    <w:next w:val="Normal"/>
    <w:autoRedefine/>
    <w:semiHidden/>
    <w:rsid w:val="00BD1D8F"/>
    <w:pPr>
      <w:ind w:left="240" w:hanging="240"/>
    </w:pPr>
  </w:style>
  <w:style w:type="paragraph" w:styleId="Ttulodendice">
    <w:name w:val="index heading"/>
    <w:basedOn w:val="Normal"/>
    <w:next w:val="ndice1"/>
    <w:semiHidden/>
    <w:rsid w:val="00BD1D8F"/>
    <w:pPr>
      <w:spacing w:before="0" w:after="0"/>
    </w:pPr>
    <w:rPr>
      <w:rFonts w:ascii="Times New Roman" w:hAnsi="Times New Roman"/>
      <w:sz w:val="20"/>
      <w:lang w:val="en-US"/>
    </w:rPr>
  </w:style>
  <w:style w:type="paragraph" w:styleId="Asuntodelcomentario">
    <w:name w:val="annotation subject"/>
    <w:basedOn w:val="Textocomentario"/>
    <w:next w:val="Textocomentario"/>
    <w:semiHidden/>
    <w:rsid w:val="003C5067"/>
    <w:rPr>
      <w:b/>
      <w:bCs/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locked/>
    <w:rsid w:val="00E720ED"/>
    <w:rPr>
      <w:rFonts w:ascii="Arial Narrow" w:hAnsi="Arial Narrow"/>
      <w:sz w:val="24"/>
      <w:lang w:val="en-US" w:eastAsia="es-ES" w:bidi="ar-SA"/>
    </w:rPr>
  </w:style>
  <w:style w:type="character" w:styleId="Hipervnculo">
    <w:name w:val="Hyperlink"/>
    <w:basedOn w:val="Fuentedeprrafopredeter"/>
    <w:rsid w:val="00E720ED"/>
    <w:rPr>
      <w:color w:val="0000FF"/>
      <w:u w:val="single"/>
    </w:rPr>
  </w:style>
  <w:style w:type="table" w:styleId="Tablaconcuadrcula">
    <w:name w:val="Table Grid"/>
    <w:basedOn w:val="Tablanormal"/>
    <w:rsid w:val="00257FE9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SOBRE OBLIGACIONES DE LAS</vt:lpstr>
    </vt:vector>
  </TitlesOfParts>
  <Company>BANCO CENTRAL DE RESERVA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SOBRE OBLIGACIONES DE LAS</dc:title>
  <dc:subject/>
  <dc:creator>SUPERINTENDENCIA DE VALORES</dc:creator>
  <cp:keywords/>
  <cp:lastModifiedBy>Jessica Marelin Castro Figueroa</cp:lastModifiedBy>
  <cp:revision>4</cp:revision>
  <cp:lastPrinted>2010-09-28T19:17:00Z</cp:lastPrinted>
  <dcterms:created xsi:type="dcterms:W3CDTF">2010-09-28T16:54:00Z</dcterms:created>
  <dcterms:modified xsi:type="dcterms:W3CDTF">2010-09-28T19:21:00Z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-1820729048</vt:i4>
  </property>
  <property fmtid="{D5CDD505-2E9C-101B-9397-08002B2CF9AE}" pid="3" name="_EmailEntryID">
    <vt:lpwstr>00000000DA003D1031B59C4A88D129000590963D0700108DF865E2912A48A6195EC61A3FD03500000079B840000007E6CA637336924F93FF8B20C966522800000000646F0000</vt:lpwstr>
  </property>
  <property fmtid="{D5CDD505-2E9C-101B-9397-08002B2CF9AE}" pid="4" name="_ReviewingToolsShownOnce">
    <vt:lpwstr/>
  </property>
</Properties>
</file>