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624FED" w:rsidRPr="00B46DEF" w14:paraId="29A38F5F" w14:textId="77777777" w:rsidTr="00554F85">
        <w:trPr>
          <w:jc w:val="center"/>
        </w:trPr>
        <w:tc>
          <w:tcPr>
            <w:tcW w:w="2802" w:type="dxa"/>
            <w:vAlign w:val="center"/>
          </w:tcPr>
          <w:p w14:paraId="65285FA5" w14:textId="5AA2922B" w:rsidR="00624FED" w:rsidRPr="0047765B" w:rsidRDefault="00624FED" w:rsidP="00554F85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D7697B"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07" w:type="dxa"/>
            <w:gridSpan w:val="2"/>
            <w:vAlign w:val="center"/>
          </w:tcPr>
          <w:p w14:paraId="58EA253E" w14:textId="1FEF8234" w:rsidR="00624FED" w:rsidRPr="00B46DEF" w:rsidRDefault="00624FED" w:rsidP="00554F85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AUTORIZACIÓN DE FUSION DE ENTIDADES</w:t>
            </w:r>
          </w:p>
        </w:tc>
      </w:tr>
      <w:tr w:rsidR="00624FED" w:rsidRPr="00B46DEF" w14:paraId="62DDBE32" w14:textId="77777777" w:rsidTr="00554F85">
        <w:trPr>
          <w:jc w:val="center"/>
        </w:trPr>
        <w:tc>
          <w:tcPr>
            <w:tcW w:w="2802" w:type="dxa"/>
            <w:vAlign w:val="center"/>
          </w:tcPr>
          <w:p w14:paraId="02BFECCF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17EC64A5" w14:textId="77777777" w:rsidR="00624FED" w:rsidRPr="00B46DEF" w:rsidRDefault="00624FED" w:rsidP="00554F85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624FED" w:rsidRPr="00B46DEF" w14:paraId="18680C43" w14:textId="77777777" w:rsidTr="00554F85">
        <w:trPr>
          <w:jc w:val="center"/>
        </w:trPr>
        <w:tc>
          <w:tcPr>
            <w:tcW w:w="2802" w:type="dxa"/>
            <w:vAlign w:val="center"/>
          </w:tcPr>
          <w:p w14:paraId="6FD6741B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113117E3" w14:textId="7A25B881" w:rsidR="00624FED" w:rsidRPr="00624FED" w:rsidRDefault="00624FED" w:rsidP="00624FED">
            <w:pPr>
              <w:pStyle w:val="Prrafodelista"/>
              <w:numPr>
                <w:ilvl w:val="0"/>
                <w:numId w:val="14"/>
              </w:numPr>
              <w:ind w:left="395"/>
              <w:jc w:val="both"/>
              <w:rPr>
                <w:rFonts w:ascii="Museo Sans 300" w:hAnsi="Museo Sans 300"/>
                <w:b/>
                <w:bCs/>
                <w:iCs/>
                <w:color w:val="0F243E" w:themeColor="text2" w:themeShade="80"/>
                <w:sz w:val="20"/>
                <w:szCs w:val="20"/>
              </w:rPr>
            </w:pPr>
            <w:r w:rsidRPr="00624FED">
              <w:rPr>
                <w:rFonts w:ascii="Museo Sans 300" w:hAnsi="Museo Sans 300"/>
                <w:b/>
                <w:bCs/>
                <w:iCs/>
                <w:color w:val="0F243E" w:themeColor="text2" w:themeShade="80"/>
                <w:sz w:val="20"/>
                <w:szCs w:val="20"/>
              </w:rPr>
              <w:t>Sociedades de Ahorro y Crédito.</w:t>
            </w:r>
          </w:p>
          <w:p w14:paraId="236E1E7B" w14:textId="77777777" w:rsidR="00624FED" w:rsidRPr="00207B6B" w:rsidRDefault="00624FED" w:rsidP="00554F85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5294254E" w14:textId="77777777" w:rsidR="00624FED" w:rsidRPr="00B46DEF" w:rsidRDefault="00624FED" w:rsidP="00554F85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60 días hábiles</w:t>
            </w:r>
          </w:p>
        </w:tc>
      </w:tr>
      <w:tr w:rsidR="00624FED" w:rsidRPr="00B46DEF" w14:paraId="1E7EB9B6" w14:textId="77777777" w:rsidTr="00554F85">
        <w:trPr>
          <w:jc w:val="center"/>
        </w:trPr>
        <w:tc>
          <w:tcPr>
            <w:tcW w:w="2802" w:type="dxa"/>
            <w:vAlign w:val="center"/>
          </w:tcPr>
          <w:p w14:paraId="6AAB2188" w14:textId="77777777" w:rsidR="00624FED" w:rsidRPr="00B46DEF" w:rsidRDefault="00624FED" w:rsidP="00554F85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42324B47" w14:textId="77777777" w:rsidR="00624FED" w:rsidRPr="0047765B" w:rsidRDefault="00624FED" w:rsidP="00554F85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06/04/2022</w:t>
            </w:r>
          </w:p>
        </w:tc>
      </w:tr>
      <w:bookmarkEnd w:id="0"/>
    </w:tbl>
    <w:p w14:paraId="2396D41B" w14:textId="77777777" w:rsidR="00624FED" w:rsidRPr="007E6314" w:rsidRDefault="00624FED" w:rsidP="002F5492">
      <w:pPr>
        <w:spacing w:after="0" w:line="240" w:lineRule="auto"/>
        <w:jc w:val="both"/>
        <w:rPr>
          <w:rFonts w:ascii="Museo Sans 300" w:hAnsi="Museo Sans 300"/>
          <w:b/>
          <w:iCs/>
          <w:color w:val="FF0000"/>
        </w:rPr>
      </w:pPr>
    </w:p>
    <w:p w14:paraId="223B03CE" w14:textId="77777777" w:rsidR="002F5492" w:rsidRPr="00624FED" w:rsidRDefault="001C38C8" w:rsidP="002F5492">
      <w:pPr>
        <w:spacing w:after="0" w:line="240" w:lineRule="auto"/>
        <w:jc w:val="both"/>
        <w:rPr>
          <w:rFonts w:ascii="Museo Sans 300" w:hAnsi="Museo Sans 300"/>
          <w:b/>
          <w:iCs/>
          <w:szCs w:val="20"/>
          <w:u w:val="single"/>
        </w:rPr>
      </w:pPr>
      <w:r w:rsidRPr="00624FED">
        <w:rPr>
          <w:rFonts w:ascii="Museo Sans 300" w:hAnsi="Museo Sans 300"/>
          <w:b/>
          <w:iCs/>
          <w:szCs w:val="20"/>
          <w:u w:val="single"/>
        </w:rPr>
        <w:t>Base Legal</w:t>
      </w:r>
    </w:p>
    <w:p w14:paraId="4D0DAAF6" w14:textId="77777777" w:rsidR="002F5492" w:rsidRPr="007E6314" w:rsidRDefault="002F5492" w:rsidP="002F5492">
      <w:pPr>
        <w:spacing w:after="0" w:line="240" w:lineRule="auto"/>
        <w:jc w:val="both"/>
        <w:rPr>
          <w:rFonts w:ascii="Museo Sans 300" w:hAnsi="Museo Sans 300"/>
          <w:b/>
          <w:iCs/>
          <w:szCs w:val="20"/>
        </w:rPr>
      </w:pPr>
    </w:p>
    <w:p w14:paraId="206470E4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Código de Com</w:t>
      </w:r>
      <w:r>
        <w:rPr>
          <w:rFonts w:ascii="Museo Sans 300" w:hAnsi="Museo Sans 300"/>
          <w:lang w:val="es-SV"/>
        </w:rPr>
        <w:t>ercio: Artículos del 315 al 321</w:t>
      </w:r>
    </w:p>
    <w:p w14:paraId="484BA648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Supervisión y Regulación del Sistema Fin</w:t>
      </w:r>
      <w:r>
        <w:rPr>
          <w:rFonts w:ascii="Museo Sans 300" w:hAnsi="Museo Sans 300"/>
          <w:lang w:val="es-SV"/>
        </w:rPr>
        <w:t>anciero: Artículo 15 Literal d)</w:t>
      </w:r>
    </w:p>
    <w:p w14:paraId="1936EEA0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Bancos: Artículos 21 y 229</w:t>
      </w:r>
    </w:p>
    <w:p w14:paraId="6B6D3B20" w14:textId="77777777" w:rsidR="005876D4" w:rsidRPr="005876D4" w:rsidRDefault="005876D4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Ley contra el Lavado de Dinero y Activos</w:t>
      </w:r>
    </w:p>
    <w:p w14:paraId="58823402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Competencia</w:t>
      </w:r>
      <w:r>
        <w:rPr>
          <w:rFonts w:ascii="Museo Sans 300" w:hAnsi="Museo Sans 300"/>
          <w:lang w:val="es-SV"/>
        </w:rPr>
        <w:t>: Artículos 31 al 36</w:t>
      </w:r>
    </w:p>
    <w:p w14:paraId="16121476" w14:textId="77777777" w:rsidR="002F5492" w:rsidRDefault="002F5492" w:rsidP="00624FED">
      <w:pPr>
        <w:pStyle w:val="Prrafodelista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Normas para la modificación de pactos sociales de los Bancos (NPB4-34) (Arts. del 7 al 11).</w:t>
      </w:r>
    </w:p>
    <w:p w14:paraId="4EA79D47" w14:textId="77777777" w:rsidR="00224F8A" w:rsidRDefault="00224F8A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0F497F4B" w14:textId="77777777" w:rsidR="002F5492" w:rsidRPr="002F5492" w:rsidRDefault="00B02EBB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>
        <w:rPr>
          <w:rFonts w:ascii="Museo Sans 300" w:hAnsi="Museo Sans 300"/>
          <w:b/>
          <w:szCs w:val="20"/>
          <w:u w:val="single"/>
          <w:lang w:val="es-SV"/>
        </w:rPr>
        <w:t xml:space="preserve">Requisitos </w:t>
      </w:r>
    </w:p>
    <w:p w14:paraId="11A51333" w14:textId="77777777"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/>
        </w:rPr>
      </w:pPr>
    </w:p>
    <w:p w14:paraId="04DE52CA" w14:textId="77777777" w:rsidR="002F5492" w:rsidRPr="002F5492" w:rsidRDefault="002F5492" w:rsidP="004A679B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b/>
          <w:lang w:val="es-SV"/>
        </w:rPr>
        <w:t xml:space="preserve">AUTORIZACIÓN PARA EL INICIO DEL PROCESO DE FUSIÓN </w:t>
      </w:r>
    </w:p>
    <w:p w14:paraId="601AB8E4" w14:textId="77777777"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7C33F4CA" w14:textId="77777777" w:rsidR="00224F8A" w:rsidRPr="00224F8A" w:rsidRDefault="00224F8A" w:rsidP="00224F8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useo Sans 300" w:hAnsi="Museo Sans 300"/>
        </w:rPr>
      </w:pPr>
      <w:r w:rsidRPr="00224F8A">
        <w:rPr>
          <w:rFonts w:ascii="Museo Sans 300" w:hAnsi="Museo Sans 300"/>
        </w:rPr>
        <w:t xml:space="preserve">Solicitud de autorización para dar inicio al proceso de </w:t>
      </w:r>
      <w:proofErr w:type="gramStart"/>
      <w:r w:rsidRPr="00224F8A">
        <w:rPr>
          <w:rFonts w:ascii="Museo Sans 300" w:hAnsi="Museo Sans 300"/>
        </w:rPr>
        <w:t>fusión  dirigida</w:t>
      </w:r>
      <w:proofErr w:type="gramEnd"/>
      <w:r w:rsidRPr="00224F8A">
        <w:rPr>
          <w:rFonts w:ascii="Museo Sans 300" w:hAnsi="Museo Sans 300"/>
        </w:rPr>
        <w:t xml:space="preserve"> al Superintendente del Sistema Financiero, suscrita por la persona designada para ejecutar el acuerdo o por el Representante Legal, indicando lo siguiente:</w:t>
      </w:r>
    </w:p>
    <w:p w14:paraId="7042F426" w14:textId="77777777" w:rsidR="00224F8A" w:rsidRPr="00224F8A" w:rsidRDefault="00224F8A" w:rsidP="00224F8A">
      <w:pPr>
        <w:spacing w:after="0" w:line="240" w:lineRule="auto"/>
        <w:jc w:val="both"/>
        <w:rPr>
          <w:rFonts w:ascii="Museo Sans 300" w:hAnsi="Museo Sans 300"/>
        </w:rPr>
      </w:pPr>
    </w:p>
    <w:p w14:paraId="539D3EEE" w14:textId="77777777" w:rsidR="00224F8A" w:rsidRPr="00224F8A" w:rsidRDefault="00224F8A" w:rsidP="00224F8A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Museo Sans 300" w:hAnsi="Museo Sans 300"/>
        </w:rPr>
      </w:pPr>
      <w:r w:rsidRPr="00224F8A">
        <w:rPr>
          <w:rFonts w:ascii="Museo Sans 300" w:hAnsi="Museo Sans 300"/>
        </w:rPr>
        <w:t>El tipo de fusión a realizar.</w:t>
      </w:r>
    </w:p>
    <w:p w14:paraId="5284044E" w14:textId="77777777" w:rsidR="00224F8A" w:rsidRPr="00224F8A" w:rsidRDefault="00224F8A" w:rsidP="00224F8A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Museo Sans 300" w:hAnsi="Museo Sans 300"/>
        </w:rPr>
      </w:pPr>
      <w:r w:rsidRPr="00224F8A">
        <w:rPr>
          <w:rFonts w:ascii="Museo Sans 300" w:hAnsi="Museo Sans 300"/>
        </w:rPr>
        <w:t>Sociedades involucradas.</w:t>
      </w:r>
    </w:p>
    <w:p w14:paraId="2DA607FE" w14:textId="77777777" w:rsidR="00224F8A" w:rsidRPr="00224F8A" w:rsidRDefault="00224F8A" w:rsidP="00224F8A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224F8A">
        <w:rPr>
          <w:rFonts w:ascii="Museo Sans 300" w:hAnsi="Museo Sans 300"/>
        </w:rPr>
        <w:t>Solicitud expresa para que esta Superintendencia autorice el respectivo acuerdo de fusión y el Superintendente anote la razón correspondiente en el mismo.</w:t>
      </w:r>
    </w:p>
    <w:p w14:paraId="558D6514" w14:textId="77777777"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2C6B86E2" w14:textId="3F999137" w:rsidR="002F5492" w:rsidRPr="00224F8A" w:rsidRDefault="00F63643" w:rsidP="00224F8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Museo Sans 300" w:hAnsi="Museo Sans 300"/>
          <w:b/>
        </w:rPr>
      </w:pPr>
      <w:r w:rsidRPr="00224F8A">
        <w:rPr>
          <w:rFonts w:ascii="Museo Sans 300" w:hAnsi="Museo Sans 300"/>
        </w:rPr>
        <w:t>Copia </w:t>
      </w:r>
      <w:r w:rsidR="002F5492" w:rsidRPr="00224F8A">
        <w:rPr>
          <w:rFonts w:ascii="Museo Sans 300" w:hAnsi="Museo Sans 300"/>
        </w:rPr>
        <w:t>de las publicaciones de la convocatoria para la junta general extraordina</w:t>
      </w:r>
      <w:r w:rsidRPr="00224F8A">
        <w:rPr>
          <w:rFonts w:ascii="Museo Sans 300" w:hAnsi="Museo Sans 300"/>
        </w:rPr>
        <w:t>ria de accionistas, las cuales </w:t>
      </w:r>
      <w:r w:rsidR="002F5492" w:rsidRPr="00224F8A">
        <w:rPr>
          <w:rFonts w:ascii="Museo Sans 300" w:hAnsi="Museo Sans 300"/>
        </w:rPr>
        <w:t>deberán haberse publicado en el Diario Oficial y en un diario de circula</w:t>
      </w:r>
      <w:r w:rsidR="0099171E" w:rsidRPr="00224F8A">
        <w:rPr>
          <w:rFonts w:ascii="Museo Sans 300" w:hAnsi="Museo Sans 300"/>
        </w:rPr>
        <w:t>ción nacional, por tres veces, </w:t>
      </w:r>
      <w:r w:rsidR="002F5492" w:rsidRPr="00224F8A">
        <w:rPr>
          <w:rFonts w:ascii="Museo Sans 300" w:hAnsi="Museo Sans 300"/>
        </w:rPr>
        <w:t>con quince días de anticipación a la fecha de realización de la referida junta. Las publicaciones deberán ser en forma alterna.</w:t>
      </w:r>
      <w:r w:rsidR="006B28F6">
        <w:rPr>
          <w:rFonts w:ascii="Museo Sans 300" w:hAnsi="Museo Sans 300"/>
        </w:rPr>
        <w:t xml:space="preserve"> </w:t>
      </w:r>
      <w:r w:rsidR="006B28F6" w:rsidRPr="006B28F6">
        <w:rPr>
          <w:rFonts w:ascii="Museo Sans 300" w:hAnsi="Museo Sans 300"/>
        </w:rPr>
        <w:t>Para el caso de las Asociaciones Cooperativas, las convocatorias se harán de conformidad a lo que establece la Ley General de Asociaciones Cooperativas y su Reglamento</w:t>
      </w:r>
      <w:r w:rsidR="006B28F6">
        <w:rPr>
          <w:rFonts w:ascii="Museo Sans 300" w:hAnsi="Museo Sans 300"/>
        </w:rPr>
        <w:t>.</w:t>
      </w:r>
    </w:p>
    <w:p w14:paraId="3422650B" w14:textId="77777777"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b/>
          <w:lang w:val="es-SV"/>
        </w:rPr>
      </w:pPr>
    </w:p>
    <w:p w14:paraId="268B21C7" w14:textId="77777777" w:rsidR="002F5492" w:rsidRPr="002F5492" w:rsidRDefault="002F5492" w:rsidP="006B28F6">
      <w:pPr>
        <w:pStyle w:val="Prrafode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lastRenderedPageBreak/>
        <w:t>Certificación del Punto de Acta tomado por la Junta General</w:t>
      </w:r>
      <w:r w:rsidR="003F0484">
        <w:rPr>
          <w:rFonts w:ascii="Museo Sans 300" w:hAnsi="Museo Sans 300"/>
          <w:lang w:val="es-SV"/>
        </w:rPr>
        <w:t xml:space="preserve"> Extraordinaria</w:t>
      </w:r>
      <w:r w:rsidRPr="002F5492">
        <w:rPr>
          <w:rFonts w:ascii="Museo Sans 300" w:hAnsi="Museo Sans 300"/>
          <w:lang w:val="es-SV"/>
        </w:rPr>
        <w:t xml:space="preserve"> de Accionistas, en el que se acordó llevar a cabo la fusión;</w:t>
      </w:r>
    </w:p>
    <w:p w14:paraId="429B8D69" w14:textId="77777777"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648CBEDF" w14:textId="77777777" w:rsidR="002F5492" w:rsidRPr="002F5492" w:rsidRDefault="002F5492" w:rsidP="006B28F6">
      <w:pPr>
        <w:pStyle w:val="Prrafodelist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 xml:space="preserve">Plan de fusión que contenga un cronograma proyectado de actividades a desarrollar para ejecutar la fusión.  </w:t>
      </w:r>
    </w:p>
    <w:p w14:paraId="06836707" w14:textId="77777777"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7A142E3D" w14:textId="77777777" w:rsidR="002F5492" w:rsidRPr="002F5492" w:rsidRDefault="000B79F9" w:rsidP="002F5492">
      <w:pPr>
        <w:spacing w:after="0" w:line="240" w:lineRule="auto"/>
        <w:jc w:val="both"/>
        <w:rPr>
          <w:rFonts w:ascii="Museo Sans 300" w:hAnsi="Museo Sans 300"/>
          <w:i/>
        </w:rPr>
      </w:pPr>
      <w:r>
        <w:rPr>
          <w:rFonts w:ascii="Museo Sans 300" w:hAnsi="Museo Sans 300"/>
        </w:rPr>
        <w:t xml:space="preserve">Nota: </w:t>
      </w:r>
      <w:r w:rsidR="002F5492" w:rsidRPr="002F5492">
        <w:rPr>
          <w:rFonts w:ascii="Museo Sans 300" w:hAnsi="Museo Sans 300"/>
        </w:rPr>
        <w:t xml:space="preserve">La información antes señalada deberá ser presentada en </w:t>
      </w:r>
      <w:r w:rsidR="000E7CB6">
        <w:rPr>
          <w:rFonts w:ascii="Museo Sans 300" w:hAnsi="Museo Sans 300"/>
        </w:rPr>
        <w:t xml:space="preserve">forma individual, </w:t>
      </w:r>
      <w:r w:rsidR="002F5492" w:rsidRPr="002F5492">
        <w:rPr>
          <w:rFonts w:ascii="Museo Sans 300" w:hAnsi="Museo Sans 300"/>
        </w:rPr>
        <w:t xml:space="preserve">por cada una de las entidades a fusionarse. </w:t>
      </w:r>
    </w:p>
    <w:p w14:paraId="733ECAED" w14:textId="77777777"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/>
        </w:rPr>
      </w:pPr>
    </w:p>
    <w:p w14:paraId="4AFBCE2C" w14:textId="77777777" w:rsidR="002F5492" w:rsidRPr="00EB0ADD" w:rsidRDefault="002F5492" w:rsidP="004A679B">
      <w:pPr>
        <w:pStyle w:val="Prrafodelista"/>
        <w:numPr>
          <w:ilvl w:val="0"/>
          <w:numId w:val="4"/>
        </w:numPr>
        <w:spacing w:after="0" w:line="240" w:lineRule="auto"/>
        <w:ind w:left="567" w:hanging="501"/>
        <w:jc w:val="both"/>
        <w:rPr>
          <w:rFonts w:ascii="Museo Sans 300" w:hAnsi="Museo Sans 300"/>
          <w:b/>
          <w:u w:val="single"/>
          <w:lang w:val="es-SV"/>
        </w:rPr>
      </w:pPr>
      <w:r w:rsidRPr="00EB0ADD">
        <w:rPr>
          <w:rFonts w:ascii="Museo Sans 300" w:hAnsi="Museo Sans 300"/>
          <w:b/>
          <w:lang w:val="es-SV"/>
        </w:rPr>
        <w:t>AUTORIZACIÓN DEL PROCESO DE FUSIÓN</w:t>
      </w:r>
    </w:p>
    <w:p w14:paraId="3921535D" w14:textId="77777777" w:rsidR="002F5492" w:rsidRPr="002F5492" w:rsidRDefault="002F5492" w:rsidP="002F5492">
      <w:pPr>
        <w:spacing w:after="0" w:line="240" w:lineRule="auto"/>
        <w:ind w:left="66"/>
        <w:jc w:val="both"/>
        <w:rPr>
          <w:rFonts w:ascii="Museo Sans 300" w:hAnsi="Museo Sans 300"/>
          <w:b/>
          <w:i/>
          <w:u w:val="single"/>
        </w:rPr>
      </w:pPr>
    </w:p>
    <w:p w14:paraId="4E87E768" w14:textId="5634EAA8" w:rsidR="002F5492" w:rsidRPr="002F5492" w:rsidRDefault="000E7CB6" w:rsidP="002F5492">
      <w:pPr>
        <w:spacing w:after="0" w:line="240" w:lineRule="auto"/>
        <w:jc w:val="both"/>
        <w:rPr>
          <w:rFonts w:ascii="Museo Sans 300" w:hAnsi="Museo Sans 300"/>
          <w:i/>
        </w:rPr>
      </w:pPr>
      <w:r>
        <w:rPr>
          <w:rFonts w:ascii="Museo Sans 300" w:hAnsi="Museo Sans 300"/>
        </w:rPr>
        <w:t xml:space="preserve">Una vez obtenida </w:t>
      </w:r>
      <w:r w:rsidR="002F5492" w:rsidRPr="002F5492">
        <w:rPr>
          <w:rFonts w:ascii="Museo Sans 300" w:hAnsi="Museo Sans 300"/>
        </w:rPr>
        <w:t>la autorización para el inicio del proceso de fusión con la razón suscrita por el Superintendente del Sistema Financier</w:t>
      </w:r>
      <w:r w:rsidR="00B31CD5">
        <w:rPr>
          <w:rFonts w:ascii="Museo Sans 300" w:hAnsi="Museo Sans 300"/>
        </w:rPr>
        <w:t xml:space="preserve">o en los respectivos acuerdos, </w:t>
      </w:r>
      <w:r w:rsidR="002F5492" w:rsidRPr="002F5492">
        <w:rPr>
          <w:rFonts w:ascii="Museo Sans 300" w:hAnsi="Museo Sans 300"/>
        </w:rPr>
        <w:t xml:space="preserve">así como la inscripción en el Registro de Comercio, deberá remitir a esta Superintendencia: </w:t>
      </w:r>
    </w:p>
    <w:p w14:paraId="06C1B9F3" w14:textId="77777777" w:rsidR="00856A35" w:rsidRPr="002D7102" w:rsidRDefault="00856A35" w:rsidP="002D7102">
      <w:pPr>
        <w:spacing w:after="0" w:line="240" w:lineRule="auto"/>
        <w:jc w:val="both"/>
        <w:rPr>
          <w:rFonts w:ascii="Museo Sans 300" w:hAnsi="Museo Sans 300"/>
          <w:iCs/>
        </w:rPr>
      </w:pPr>
    </w:p>
    <w:p w14:paraId="510765C9" w14:textId="77777777" w:rsidR="002F5492" w:rsidRDefault="002F5492" w:rsidP="006B28F6">
      <w:pPr>
        <w:pStyle w:val="Prrafodelista"/>
        <w:numPr>
          <w:ilvl w:val="0"/>
          <w:numId w:val="5"/>
        </w:numPr>
        <w:spacing w:after="0" w:line="240" w:lineRule="auto"/>
        <w:ind w:left="426" w:hanging="568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Solicitud dirigida al Superintendente del Sistema Financiero suscrita por la persona designada para ejecutar la fusión o el Representante Legal, en la que solicite autorización de:</w:t>
      </w:r>
    </w:p>
    <w:p w14:paraId="23D8A6F0" w14:textId="77777777" w:rsidR="00EB564C" w:rsidRPr="00EB564C" w:rsidRDefault="00EB564C" w:rsidP="00EB564C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498913A3" w14:textId="77777777" w:rsidR="002F5492" w:rsidRPr="002F5492" w:rsidRDefault="002F5492" w:rsidP="002F5492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Llevar a cabo la fusión;</w:t>
      </w:r>
    </w:p>
    <w:p w14:paraId="2AC334E0" w14:textId="77777777" w:rsidR="002F5492" w:rsidRPr="002F5492" w:rsidRDefault="002F5492" w:rsidP="002F5492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14:paraId="1DD034FE" w14:textId="77777777" w:rsidR="002F5492" w:rsidRDefault="000B79F9" w:rsidP="002F5492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Modificar el</w:t>
      </w:r>
      <w:r w:rsidR="002F5492" w:rsidRPr="002F5492">
        <w:rPr>
          <w:rFonts w:ascii="Museo Sans 300" w:hAnsi="Museo Sans 300"/>
          <w:lang w:val="es-SV"/>
        </w:rPr>
        <w:t xml:space="preserve"> del Pacto Social o Estatutos;</w:t>
      </w:r>
    </w:p>
    <w:p w14:paraId="578DAFEA" w14:textId="77777777" w:rsidR="000B79F9" w:rsidRPr="000B79F9" w:rsidRDefault="000B79F9" w:rsidP="000B79F9">
      <w:pPr>
        <w:pStyle w:val="Prrafodelista"/>
        <w:rPr>
          <w:rFonts w:ascii="Museo Sans 300" w:hAnsi="Museo Sans 300"/>
          <w:lang w:val="es-SV"/>
        </w:rPr>
      </w:pPr>
    </w:p>
    <w:p w14:paraId="71A29453" w14:textId="77777777" w:rsidR="00856A35" w:rsidRDefault="00856A35" w:rsidP="006B28F6">
      <w:pPr>
        <w:pStyle w:val="Prrafodelista"/>
        <w:numPr>
          <w:ilvl w:val="0"/>
          <w:numId w:val="5"/>
        </w:numPr>
        <w:spacing w:after="0" w:line="240" w:lineRule="auto"/>
        <w:ind w:left="426" w:hanging="567"/>
        <w:jc w:val="both"/>
        <w:rPr>
          <w:rFonts w:ascii="Museo Sans 300" w:hAnsi="Museo Sans 300"/>
          <w:lang w:val="es-SV"/>
        </w:rPr>
      </w:pPr>
      <w:r w:rsidRPr="00856A35">
        <w:rPr>
          <w:rFonts w:ascii="Museo Sans 300" w:hAnsi="Museo Sans 300"/>
          <w:lang w:val="es-SV"/>
        </w:rPr>
        <w:t>Constancia de la inscripción de los acuerdos de Junta General Extraordinaria de Accionistas en el Registro de Comercio.</w:t>
      </w:r>
    </w:p>
    <w:p w14:paraId="052118B6" w14:textId="77777777" w:rsidR="00856A35" w:rsidRDefault="00856A35" w:rsidP="006B28F6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61BDA89A" w14:textId="77777777" w:rsidR="002F5492" w:rsidRPr="002F5492" w:rsidRDefault="002F5492" w:rsidP="006B28F6">
      <w:pPr>
        <w:pStyle w:val="Prrafodelista"/>
        <w:numPr>
          <w:ilvl w:val="0"/>
          <w:numId w:val="5"/>
        </w:numPr>
        <w:spacing w:after="0" w:line="240" w:lineRule="auto"/>
        <w:ind w:left="426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Copia de las publicaciones del acuerdo de fusión inscrito y último balance auditado de las sociedades a fusionar, por una sola vez en dos diarios de circulación nacional;</w:t>
      </w:r>
    </w:p>
    <w:p w14:paraId="43F9F569" w14:textId="77777777" w:rsidR="002F5492" w:rsidRPr="002F5492" w:rsidRDefault="002F5492" w:rsidP="006B28F6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b/>
          <w:u w:val="single"/>
          <w:lang w:val="es-SV"/>
        </w:rPr>
      </w:pPr>
    </w:p>
    <w:p w14:paraId="67489256" w14:textId="77777777" w:rsidR="00856A35" w:rsidRPr="00856A35" w:rsidRDefault="00856A35" w:rsidP="006B28F6">
      <w:pPr>
        <w:pStyle w:val="Prrafodelista"/>
        <w:numPr>
          <w:ilvl w:val="0"/>
          <w:numId w:val="5"/>
        </w:numPr>
        <w:spacing w:after="0" w:line="240" w:lineRule="auto"/>
        <w:ind w:left="426" w:hanging="567"/>
        <w:jc w:val="both"/>
        <w:rPr>
          <w:rFonts w:ascii="Museo Sans 300" w:hAnsi="Museo Sans 300"/>
          <w:lang w:val="es-SV"/>
        </w:rPr>
      </w:pPr>
      <w:r w:rsidRPr="00856A35">
        <w:rPr>
          <w:rFonts w:ascii="Museo Sans 300" w:hAnsi="Museo Sans 300"/>
          <w:lang w:val="es-SV"/>
        </w:rPr>
        <w:t>Proyecto de la escritura del nuevo Pacto Social con las modificaciones por fusión de sociedades.</w:t>
      </w:r>
    </w:p>
    <w:p w14:paraId="6622DB3C" w14:textId="77777777" w:rsidR="00856A35" w:rsidRPr="00856A35" w:rsidRDefault="00856A35" w:rsidP="006B28F6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62417F83" w14:textId="77777777" w:rsidR="00856A35" w:rsidRPr="00856A35" w:rsidRDefault="00856A35" w:rsidP="006B28F6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Nota aclaratoria:</w:t>
      </w:r>
      <w:r w:rsidRPr="00856A35">
        <w:rPr>
          <w:rFonts w:ascii="Museo Sans 300" w:hAnsi="Museo Sans 300"/>
          <w:lang w:val="es-SV"/>
        </w:rPr>
        <w:t xml:space="preserve"> La revisión de este documento se efectuará en el trámite de </w:t>
      </w:r>
      <w:r w:rsidR="002A0229" w:rsidRPr="00856A35">
        <w:rPr>
          <w:rFonts w:ascii="Museo Sans 300" w:hAnsi="Museo Sans 300"/>
          <w:lang w:val="es-SV"/>
        </w:rPr>
        <w:t>Modificación</w:t>
      </w:r>
      <w:r w:rsidRPr="00856A35">
        <w:rPr>
          <w:rFonts w:ascii="Museo Sans 300" w:hAnsi="Museo Sans 300"/>
          <w:lang w:val="es-SV"/>
        </w:rPr>
        <w:t xml:space="preserve"> de pacto social.</w:t>
      </w:r>
    </w:p>
    <w:p w14:paraId="05C5A1F4" w14:textId="77777777" w:rsidR="00856A35" w:rsidRDefault="00856A35" w:rsidP="00856A35">
      <w:pPr>
        <w:pStyle w:val="Prrafodelista"/>
        <w:rPr>
          <w:rFonts w:ascii="Museo Sans 300" w:hAnsi="Museo Sans 300"/>
          <w:lang w:val="es-SV"/>
        </w:rPr>
      </w:pPr>
    </w:p>
    <w:p w14:paraId="09E2CD8F" w14:textId="16B1674F" w:rsidR="00F64B93" w:rsidRDefault="00A4129E" w:rsidP="006B28F6">
      <w:pPr>
        <w:pStyle w:val="Prrafodelista"/>
        <w:numPr>
          <w:ilvl w:val="0"/>
          <w:numId w:val="5"/>
        </w:numPr>
        <w:spacing w:after="0" w:line="240" w:lineRule="auto"/>
        <w:ind w:left="426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Cuadro que contenga la composición</w:t>
      </w:r>
      <w:r w:rsidR="00F64B93" w:rsidRPr="00F64B93">
        <w:rPr>
          <w:rFonts w:ascii="Museo Sans 300" w:hAnsi="Museo Sans 300"/>
          <w:lang w:val="es-SV"/>
        </w:rPr>
        <w:t xml:space="preserve"> accionaria de la entidad después de la fusión, detallando el porcentaje de participación accionaria de cada una de las entidades fusionada</w:t>
      </w:r>
      <w:r>
        <w:rPr>
          <w:rFonts w:ascii="Museo Sans 300" w:hAnsi="Museo Sans 300"/>
          <w:lang w:val="es-SV"/>
        </w:rPr>
        <w:t>s</w:t>
      </w:r>
      <w:r w:rsidR="00F64B93" w:rsidRPr="00F64B93">
        <w:rPr>
          <w:rFonts w:ascii="Museo Sans 300" w:hAnsi="Museo Sans 300"/>
          <w:lang w:val="es-SV"/>
        </w:rPr>
        <w:t xml:space="preserve">, número de acciones y monto de capital social; detalle del valor nominal de cada </w:t>
      </w:r>
      <w:r w:rsidR="006B28F6" w:rsidRPr="00F64B93">
        <w:rPr>
          <w:rFonts w:ascii="Museo Sans 300" w:hAnsi="Museo Sans 300"/>
          <w:lang w:val="es-SV"/>
        </w:rPr>
        <w:t>acción,</w:t>
      </w:r>
      <w:r w:rsidR="00F64B93" w:rsidRPr="00F64B93">
        <w:rPr>
          <w:rFonts w:ascii="Museo Sans 300" w:hAnsi="Museo Sans 300"/>
          <w:lang w:val="es-SV"/>
        </w:rPr>
        <w:t xml:space="preserve"> así como el valor al que se negoció la misma.</w:t>
      </w:r>
    </w:p>
    <w:p w14:paraId="5CF4981A" w14:textId="77777777" w:rsidR="00A4129E" w:rsidRPr="003D5D86" w:rsidRDefault="00A4129E" w:rsidP="006B28F6">
      <w:pPr>
        <w:pStyle w:val="Prrafodelista"/>
        <w:spacing w:after="0" w:line="240" w:lineRule="auto"/>
        <w:ind w:left="426" w:firstLine="207"/>
        <w:jc w:val="both"/>
        <w:rPr>
          <w:rFonts w:ascii="Museo Sans 300" w:hAnsi="Museo Sans 300"/>
          <w:color w:val="FF0000"/>
          <w:lang w:val="es-SV"/>
        </w:rPr>
      </w:pPr>
      <w:r>
        <w:rPr>
          <w:rFonts w:ascii="Museo Sans 300" w:hAnsi="Museo Sans 300"/>
          <w:color w:val="FF0000"/>
          <w:lang w:val="es-SV"/>
        </w:rPr>
        <w:t>.</w:t>
      </w:r>
    </w:p>
    <w:p w14:paraId="2E7BFD48" w14:textId="77777777" w:rsidR="00A4129E" w:rsidRDefault="00A4129E" w:rsidP="00A4129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65B072D8" w14:textId="77777777" w:rsid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lastRenderedPageBreak/>
        <w:t>Estructura organizacional del nuevo Grupo Financiero una vez se lleve a cabo la fusión, en los casos en que aplique;</w:t>
      </w:r>
    </w:p>
    <w:p w14:paraId="3D32B172" w14:textId="77777777"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5CCE283F" w14:textId="77777777" w:rsidR="002F5492" w:rsidRPr="00A4129E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Estados Financieros proyectados de la sociedad absorbente consolidado con las sociedades absorbidas;</w:t>
      </w:r>
      <w:r w:rsidR="00A4129E">
        <w:rPr>
          <w:rFonts w:ascii="Museo Sans 300" w:hAnsi="Museo Sans 300"/>
          <w:lang w:val="es-SV"/>
        </w:rPr>
        <w:t xml:space="preserve"> </w:t>
      </w:r>
    </w:p>
    <w:p w14:paraId="6BEADDD0" w14:textId="77777777" w:rsidR="003D5D86" w:rsidRPr="002F5492" w:rsidRDefault="003D5D86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2C4C681A" w14:textId="77777777" w:rsidR="002F5492" w:rsidRPr="00A4129E" w:rsidRDefault="002F5492" w:rsidP="00A4129E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Fondo patrimonial proyectado de la sociedad absorbente consolidado con las sociedades absorbidas;</w:t>
      </w:r>
    </w:p>
    <w:p w14:paraId="0A428AE2" w14:textId="77777777" w:rsidR="00A4129E" w:rsidRPr="002F5492" w:rsidRDefault="00A4129E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35D6C6FC" w14:textId="77777777" w:rsidR="002F5492" w:rsidRPr="00624FED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624FED">
        <w:rPr>
          <w:rFonts w:ascii="Museo Sans 300" w:hAnsi="Museo Sans 300"/>
          <w:lang w:val="es-SV"/>
        </w:rPr>
        <w:t>Documentación en la cual se establezca no objeción de la Casa Matri</w:t>
      </w:r>
      <w:r w:rsidR="00D61868" w:rsidRPr="00624FED">
        <w:rPr>
          <w:rFonts w:ascii="Museo Sans 300" w:hAnsi="Museo Sans 300"/>
          <w:lang w:val="es-SV"/>
        </w:rPr>
        <w:t>z para llevar a cabo la fusión,</w:t>
      </w:r>
      <w:r w:rsidRPr="00624FED">
        <w:rPr>
          <w:rFonts w:ascii="Museo Sans 300" w:hAnsi="Museo Sans 300"/>
          <w:lang w:val="es-SV"/>
        </w:rPr>
        <w:t xml:space="preserve"> en los casos que aplique;</w:t>
      </w:r>
    </w:p>
    <w:p w14:paraId="0B9C84F2" w14:textId="77777777" w:rsidR="002F5492" w:rsidRPr="00624FED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b/>
          <w:u w:val="single"/>
          <w:lang w:val="es-SV"/>
        </w:rPr>
      </w:pPr>
    </w:p>
    <w:p w14:paraId="0EA4F1C3" w14:textId="77777777" w:rsidR="003C3243" w:rsidRPr="00624FED" w:rsidRDefault="002F5492" w:rsidP="00930250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u w:val="single"/>
          <w:lang w:val="es-SV"/>
        </w:rPr>
      </w:pPr>
      <w:r w:rsidRPr="00624FED">
        <w:rPr>
          <w:rFonts w:ascii="Museo Sans 300" w:hAnsi="Museo Sans 300"/>
          <w:lang w:val="es-SV"/>
        </w:rPr>
        <w:t>Certificaciones emitidas por los Auditores Externos de las sociedades involucradas referentes a que el capital social se encuentra totalmente suscrito y pagado;</w:t>
      </w:r>
    </w:p>
    <w:p w14:paraId="68DB8201" w14:textId="77777777" w:rsidR="003C3243" w:rsidRPr="003C3243" w:rsidRDefault="003C3243" w:rsidP="003C3243">
      <w:pPr>
        <w:rPr>
          <w:rFonts w:ascii="Museo Sans 300" w:hAnsi="Museo Sans 300"/>
        </w:rPr>
      </w:pPr>
    </w:p>
    <w:p w14:paraId="48175B18" w14:textId="77777777" w:rsid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Requerimientos tecnológicos:</w:t>
      </w:r>
      <w:r w:rsidR="00A4129E">
        <w:rPr>
          <w:rFonts w:ascii="Museo Sans 300" w:hAnsi="Museo Sans 300"/>
          <w:lang w:val="es-SV"/>
        </w:rPr>
        <w:t xml:space="preserve"> </w:t>
      </w:r>
    </w:p>
    <w:p w14:paraId="430E95CA" w14:textId="77777777" w:rsidR="000F607D" w:rsidRPr="000F607D" w:rsidRDefault="000F607D" w:rsidP="000F607D">
      <w:pPr>
        <w:pStyle w:val="Prrafodelista"/>
        <w:rPr>
          <w:rFonts w:ascii="Museo Sans 300" w:hAnsi="Museo Sans 300"/>
          <w:lang w:val="es-SV"/>
        </w:rPr>
      </w:pPr>
    </w:p>
    <w:p w14:paraId="219539B5" w14:textId="77777777" w:rsidR="002F5492" w:rsidRDefault="002F5492" w:rsidP="00E21D84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 xml:space="preserve">Proceso de fusión a nivel tecnológico y validación del funcionamiento </w:t>
      </w:r>
      <w:proofErr w:type="gramStart"/>
      <w:r w:rsidRPr="000F607D">
        <w:rPr>
          <w:rFonts w:ascii="Museo Sans 300" w:hAnsi="Museo Sans 300"/>
          <w:lang w:val="es-SV"/>
        </w:rPr>
        <w:t>del mismo</w:t>
      </w:r>
      <w:proofErr w:type="gramEnd"/>
      <w:r w:rsidRPr="000F607D">
        <w:rPr>
          <w:rFonts w:ascii="Museo Sans 300" w:hAnsi="Museo Sans 300"/>
          <w:lang w:val="es-SV"/>
        </w:rPr>
        <w:t>;</w:t>
      </w:r>
    </w:p>
    <w:p w14:paraId="74D387A1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Descripción de la nueva área de tecnología de información que como mínimo incluya: organigrama del área, plan estratégico, cronograma del proyecto de fusión, herramientas de seguridad, ubicación física del centro de datos y sitio alterno;</w:t>
      </w:r>
    </w:p>
    <w:p w14:paraId="72071223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Descripción de todos los servicios informáticos imp</w:t>
      </w:r>
      <w:r w:rsidR="00AE1BE1" w:rsidRPr="00930250">
        <w:rPr>
          <w:rFonts w:ascii="Museo Sans 300" w:hAnsi="Museo Sans 300"/>
          <w:lang w:val="es-SV"/>
        </w:rPr>
        <w:t xml:space="preserve">lementados incluyendo para los </w:t>
      </w:r>
      <w:r w:rsidRPr="00930250">
        <w:rPr>
          <w:rFonts w:ascii="Museo Sans 300" w:hAnsi="Museo Sans 300"/>
          <w:lang w:val="es-SV"/>
        </w:rPr>
        <w:t>tercerizados, la información del proveedor;</w:t>
      </w:r>
    </w:p>
    <w:p w14:paraId="144FC33A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Inventario de aplicaciones que se mantendrán en producción, en donde se incluya descripción y características;</w:t>
      </w:r>
    </w:p>
    <w:p w14:paraId="53013AF2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Plan de migración de datos;</w:t>
      </w:r>
    </w:p>
    <w:p w14:paraId="713F3C90" w14:textId="77777777" w:rsidR="00930250" w:rsidRP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</w:rPr>
        <w:t>Diagramas de comunicaciones (en el que se pueda visualizar como está conformada la infraestructura de red de las entidades), que incluya los enlaces o conexi</w:t>
      </w:r>
      <w:r w:rsidR="00833C29" w:rsidRPr="00930250">
        <w:rPr>
          <w:rFonts w:ascii="Museo Sans 300" w:hAnsi="Museo Sans 300"/>
        </w:rPr>
        <w:t xml:space="preserve">ones hacia entidades externas, </w:t>
      </w:r>
      <w:r w:rsidRPr="00930250">
        <w:rPr>
          <w:rFonts w:ascii="Museo Sans 300" w:hAnsi="Museo Sans 300"/>
        </w:rPr>
        <w:t>así como si los equipos son servidores físicos y virtuales;</w:t>
      </w:r>
    </w:p>
    <w:p w14:paraId="22035AAC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Análisis de riesgos y el sistema de gestión de seguridad de la información implementado o por implementar, que incluya como mínimo la Política de Seguridad Informática;</w:t>
      </w:r>
    </w:p>
    <w:p w14:paraId="75BA43C9" w14:textId="77777777" w:rsidR="00930250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>Manuales y Políticas de gestión de riesgos: crédito, operacional, mercado y liquidez, LA-FT;</w:t>
      </w:r>
    </w:p>
    <w:p w14:paraId="05C764EB" w14:textId="77777777" w:rsidR="002F5492" w:rsidRDefault="002F5492" w:rsidP="00930250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930250">
        <w:rPr>
          <w:rFonts w:ascii="Museo Sans 300" w:hAnsi="Museo Sans 300"/>
          <w:lang w:val="es-SV"/>
        </w:rPr>
        <w:t xml:space="preserve">Documentación de </w:t>
      </w:r>
      <w:r w:rsidR="001F6A5F" w:rsidRPr="00930250">
        <w:rPr>
          <w:rFonts w:ascii="Museo Sans 300" w:hAnsi="Museo Sans 300"/>
          <w:lang w:val="es-SV"/>
        </w:rPr>
        <w:t>las pruebas de TI efectuadas en</w:t>
      </w:r>
      <w:r w:rsidRPr="00930250">
        <w:rPr>
          <w:rFonts w:ascii="Museo Sans 300" w:hAnsi="Museo Sans 300"/>
          <w:lang w:val="es-SV"/>
        </w:rPr>
        <w:t xml:space="preserve"> el proceso de fusión, así como las actas o certificación de usuario y los informes de revisión por parte de auditoría interna;</w:t>
      </w:r>
    </w:p>
    <w:p w14:paraId="4D773841" w14:textId="77777777" w:rsidR="00930250" w:rsidRPr="00930250" w:rsidRDefault="00930250" w:rsidP="00930250">
      <w:pPr>
        <w:pStyle w:val="Prrafodelista"/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</w:p>
    <w:p w14:paraId="71B5E7E2" w14:textId="77777777" w:rsidR="006A77B5" w:rsidRDefault="006A77B5" w:rsidP="006A77B5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6A8DB3DF" w14:textId="77777777" w:rsidR="00EC0D4C" w:rsidRPr="006A77B5" w:rsidRDefault="00EC0D4C" w:rsidP="006A77B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7B5">
        <w:rPr>
          <w:rFonts w:ascii="Museo Sans 300" w:hAnsi="Museo Sans 300"/>
        </w:rPr>
        <w:lastRenderedPageBreak/>
        <w:t xml:space="preserve">Actualizaciones realizadas debido al proceso de fusión. </w:t>
      </w:r>
    </w:p>
    <w:p w14:paraId="593A6C12" w14:textId="77777777" w:rsidR="00EC0D4C" w:rsidRPr="00EC0D4C" w:rsidRDefault="00EC0D4C" w:rsidP="00EC0D4C">
      <w:pPr>
        <w:pStyle w:val="Prrafodelista"/>
        <w:spacing w:after="0" w:line="240" w:lineRule="auto"/>
        <w:ind w:left="993"/>
        <w:jc w:val="both"/>
        <w:rPr>
          <w:rFonts w:ascii="Museo Sans 300" w:hAnsi="Museo Sans 300"/>
          <w:lang w:val="es-SV"/>
        </w:rPr>
      </w:pPr>
      <w:r w:rsidRPr="00EC0D4C">
        <w:rPr>
          <w:rFonts w:ascii="Museo Sans 300" w:hAnsi="Museo Sans 300"/>
          <w:lang w:val="es-SV"/>
        </w:rPr>
        <w:t>a. Análisis de impacto en el Negocio (BIA)</w:t>
      </w:r>
    </w:p>
    <w:p w14:paraId="3150C442" w14:textId="77777777" w:rsidR="00EC0D4C" w:rsidRPr="00A4129E" w:rsidRDefault="00EC0D4C" w:rsidP="00EC0D4C">
      <w:pPr>
        <w:pStyle w:val="Prrafodelista"/>
        <w:spacing w:after="0" w:line="240" w:lineRule="auto"/>
        <w:ind w:left="993"/>
        <w:jc w:val="both"/>
        <w:rPr>
          <w:rFonts w:ascii="Museo Sans 300" w:hAnsi="Museo Sans 300"/>
          <w:lang w:val="es-SV"/>
        </w:rPr>
      </w:pPr>
      <w:r w:rsidRPr="00A4129E">
        <w:rPr>
          <w:rFonts w:ascii="Museo Sans 300" w:hAnsi="Museo Sans 300"/>
          <w:lang w:val="es-SV"/>
        </w:rPr>
        <w:t>b. Plan de continuidad del Negocio (BCP)</w:t>
      </w:r>
    </w:p>
    <w:p w14:paraId="0285EA07" w14:textId="77777777" w:rsidR="00EC0D4C" w:rsidRPr="00930250" w:rsidRDefault="00EC0D4C" w:rsidP="00930250">
      <w:pPr>
        <w:pStyle w:val="Prrafodelista"/>
        <w:spacing w:after="0" w:line="240" w:lineRule="auto"/>
        <w:ind w:left="993"/>
        <w:jc w:val="both"/>
        <w:rPr>
          <w:rFonts w:ascii="Museo Sans 300" w:hAnsi="Museo Sans 300"/>
          <w:lang w:val="es-SV"/>
        </w:rPr>
      </w:pPr>
      <w:r w:rsidRPr="00A4129E">
        <w:rPr>
          <w:rFonts w:ascii="Museo Sans 300" w:hAnsi="Museo Sans 300"/>
          <w:lang w:val="es-SV"/>
        </w:rPr>
        <w:t>c. Plan de recuperación ante Desastres (DRP)</w:t>
      </w:r>
    </w:p>
    <w:p w14:paraId="666FBE0C" w14:textId="77777777" w:rsidR="00EC0D4C" w:rsidRDefault="00EC0D4C" w:rsidP="00EC0D4C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</w:rPr>
      </w:pPr>
    </w:p>
    <w:p w14:paraId="67DAB258" w14:textId="77777777" w:rsidR="00EC0D4C" w:rsidRDefault="00EC0D4C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EC0D4C">
        <w:rPr>
          <w:rFonts w:ascii="Museo Sans 300" w:hAnsi="Museo Sans 300"/>
          <w:lang w:val="es-SV"/>
        </w:rPr>
        <w:t>Plan de acción con fechas y responsables definidos sobre el cumplimiento y la gestión de los r</w:t>
      </w:r>
      <w:r>
        <w:rPr>
          <w:rFonts w:ascii="Museo Sans 300" w:hAnsi="Museo Sans 300"/>
          <w:lang w:val="es-SV"/>
        </w:rPr>
        <w:t>ies</w:t>
      </w:r>
      <w:r w:rsidRPr="00EC0D4C">
        <w:rPr>
          <w:rFonts w:ascii="Museo Sans 300" w:hAnsi="Museo Sans 300"/>
          <w:lang w:val="es-SV"/>
        </w:rPr>
        <w:t xml:space="preserve">gos de: LA/FT, crédito, operacional, mercado y </w:t>
      </w:r>
      <w:proofErr w:type="gramStart"/>
      <w:r w:rsidRPr="00EC0D4C">
        <w:rPr>
          <w:rFonts w:ascii="Museo Sans 300" w:hAnsi="Museo Sans 300"/>
          <w:lang w:val="es-SV"/>
        </w:rPr>
        <w:t>liquidez;  a</w:t>
      </w:r>
      <w:proofErr w:type="gramEnd"/>
      <w:r w:rsidRPr="00EC0D4C">
        <w:rPr>
          <w:rFonts w:ascii="Museo Sans 300" w:hAnsi="Museo Sans 300"/>
          <w:lang w:val="es-SV"/>
        </w:rPr>
        <w:t xml:space="preserve"> impleme</w:t>
      </w:r>
      <w:r w:rsidR="006A77B5">
        <w:rPr>
          <w:rFonts w:ascii="Museo Sans 300" w:hAnsi="Museo Sans 300"/>
          <w:lang w:val="es-SV"/>
        </w:rPr>
        <w:t>n</w:t>
      </w:r>
      <w:r w:rsidRPr="00EC0D4C">
        <w:rPr>
          <w:rFonts w:ascii="Museo Sans 300" w:hAnsi="Museo Sans 300"/>
          <w:lang w:val="es-SV"/>
        </w:rPr>
        <w:t xml:space="preserve">tar para la entidad </w:t>
      </w:r>
      <w:r w:rsidR="006A77B5" w:rsidRPr="00EC0D4C">
        <w:rPr>
          <w:rFonts w:ascii="Museo Sans 300" w:hAnsi="Museo Sans 300"/>
          <w:lang w:val="es-SV"/>
        </w:rPr>
        <w:t>absorbente</w:t>
      </w:r>
    </w:p>
    <w:p w14:paraId="4BF8BE99" w14:textId="77777777" w:rsidR="002A0229" w:rsidRPr="00930250" w:rsidRDefault="002A0229" w:rsidP="00930250">
      <w:pPr>
        <w:spacing w:after="0" w:line="240" w:lineRule="auto"/>
        <w:jc w:val="both"/>
        <w:rPr>
          <w:rFonts w:ascii="Museo Sans 300" w:hAnsi="Museo Sans 300"/>
        </w:rPr>
      </w:pPr>
    </w:p>
    <w:p w14:paraId="20B4CB40" w14:textId="77777777"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Detalle del número de agencias y/o establecimientos, cajeros aut</w:t>
      </w:r>
      <w:r w:rsidR="00C10A0F">
        <w:rPr>
          <w:rFonts w:ascii="Museo Sans 300" w:hAnsi="Museo Sans 300"/>
          <w:lang w:val="es-SV"/>
        </w:rPr>
        <w:t xml:space="preserve">omáticos y número de empleados </w:t>
      </w:r>
      <w:r w:rsidRPr="002F5492">
        <w:rPr>
          <w:rFonts w:ascii="Museo Sans 300" w:hAnsi="Museo Sans 300"/>
          <w:lang w:val="es-SV"/>
        </w:rPr>
        <w:t>de las entidades antes y después de la fusión; y</w:t>
      </w:r>
    </w:p>
    <w:p w14:paraId="52E61DA8" w14:textId="77777777"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10C93D7" w14:textId="77777777" w:rsidR="0084253C" w:rsidRPr="002A0229" w:rsidRDefault="002F5492" w:rsidP="003D2C1B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9D2C43">
        <w:rPr>
          <w:rFonts w:ascii="Museo Sans 300" w:hAnsi="Museo Sans 300"/>
          <w:lang w:val="es-SV"/>
        </w:rPr>
        <w:t>Detallar el proceso de cambio de imagen y sustitución de papelería si es procedente.</w:t>
      </w:r>
    </w:p>
    <w:p w14:paraId="3A9088D4" w14:textId="77777777" w:rsidR="002A0229" w:rsidRPr="002A0229" w:rsidRDefault="002A0229" w:rsidP="002A0229">
      <w:pPr>
        <w:pStyle w:val="Prrafodelista"/>
        <w:rPr>
          <w:rFonts w:ascii="Museo Sans 300" w:hAnsi="Museo Sans 300"/>
        </w:rPr>
      </w:pPr>
    </w:p>
    <w:sectPr w:rsidR="002A0229" w:rsidRPr="002A0229" w:rsidSect="00BF6DD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304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AD2D" w14:textId="77777777" w:rsidR="00AF7CB5" w:rsidRDefault="00AF7CB5" w:rsidP="005E5D6F">
      <w:pPr>
        <w:spacing w:after="0" w:line="240" w:lineRule="auto"/>
      </w:pPr>
      <w:r>
        <w:separator/>
      </w:r>
    </w:p>
  </w:endnote>
  <w:endnote w:type="continuationSeparator" w:id="0">
    <w:p w14:paraId="25FFD61E" w14:textId="77777777" w:rsidR="00AF7CB5" w:rsidRDefault="00AF7CB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EEA7" w14:textId="1A4F4B3C"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516C77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516C77" w:rsidRPr="000F5232">
      <w:rPr>
        <w:rFonts w:ascii="Calibri" w:hAnsi="Calibri"/>
        <w:i/>
      </w:rPr>
      <w:fldChar w:fldCharType="separate"/>
    </w:r>
    <w:r w:rsidR="00930250">
      <w:rPr>
        <w:rFonts w:ascii="Calibri" w:hAnsi="Calibri"/>
        <w:noProof/>
      </w:rPr>
      <w:t>1</w:t>
    </w:r>
    <w:r w:rsidR="00516C77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516C77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516C77" w:rsidRPr="000F5232">
      <w:rPr>
        <w:rFonts w:ascii="Calibri" w:hAnsi="Calibri"/>
        <w:i/>
      </w:rPr>
      <w:fldChar w:fldCharType="separate"/>
    </w:r>
    <w:r w:rsidR="002D7102">
      <w:rPr>
        <w:rFonts w:ascii="Calibri" w:hAnsi="Calibri"/>
        <w:noProof/>
      </w:rPr>
      <w:t>4</w:t>
    </w:r>
    <w:r w:rsidR="00516C77" w:rsidRPr="000F5232">
      <w:rPr>
        <w:rFonts w:ascii="Calibri" w:hAnsi="Calibri"/>
        <w:i/>
      </w:rPr>
      <w:fldChar w:fldCharType="end"/>
    </w:r>
  </w:p>
  <w:p w14:paraId="4DED845D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3EA0" w14:textId="77777777" w:rsidR="00AF7CB5" w:rsidRDefault="00AF7CB5" w:rsidP="005E5D6F">
      <w:pPr>
        <w:spacing w:after="0" w:line="240" w:lineRule="auto"/>
      </w:pPr>
      <w:r>
        <w:separator/>
      </w:r>
    </w:p>
  </w:footnote>
  <w:footnote w:type="continuationSeparator" w:id="0">
    <w:p w14:paraId="4EAFF8D1" w14:textId="77777777" w:rsidR="00AF7CB5" w:rsidRDefault="00AF7CB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5165" w14:textId="77777777" w:rsidR="001B0B08" w:rsidRDefault="00AF7CB5">
    <w:pPr>
      <w:pStyle w:val="Encabezado"/>
    </w:pPr>
    <w:r>
      <w:rPr>
        <w:noProof/>
        <w:lang w:eastAsia="es-SV"/>
      </w:rPr>
      <w:pict w14:anchorId="37142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18E9" w14:textId="77777777" w:rsidR="00D901E5" w:rsidRDefault="001C38C8" w:rsidP="001C38C8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1C38C8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1C1F0624" wp14:editId="6D3B4341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D1804E" w14:textId="281AB72C" w:rsidR="00D901E5" w:rsidRDefault="00AF7CB5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4D9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42.8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E6" w14:textId="77777777" w:rsidR="001B0B08" w:rsidRDefault="00AF7CB5">
    <w:pPr>
      <w:pStyle w:val="Encabezado"/>
    </w:pPr>
    <w:r>
      <w:rPr>
        <w:noProof/>
        <w:lang w:eastAsia="es-SV"/>
      </w:rPr>
      <w:pict w14:anchorId="05668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8B0"/>
    <w:multiLevelType w:val="multilevel"/>
    <w:tmpl w:val="AB6CD6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3E217DC"/>
    <w:multiLevelType w:val="multilevel"/>
    <w:tmpl w:val="86B67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07965"/>
    <w:multiLevelType w:val="multilevel"/>
    <w:tmpl w:val="C344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07558"/>
    <w:multiLevelType w:val="hybridMultilevel"/>
    <w:tmpl w:val="9B881C38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E247D09"/>
    <w:multiLevelType w:val="multilevel"/>
    <w:tmpl w:val="0CE636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E61562"/>
    <w:multiLevelType w:val="multilevel"/>
    <w:tmpl w:val="14A0B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55F8"/>
    <w:multiLevelType w:val="hybridMultilevel"/>
    <w:tmpl w:val="C6A2D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3354"/>
    <w:multiLevelType w:val="multilevel"/>
    <w:tmpl w:val="DBA8727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51881985"/>
    <w:multiLevelType w:val="multilevel"/>
    <w:tmpl w:val="813A3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5DC109DD"/>
    <w:multiLevelType w:val="hybridMultilevel"/>
    <w:tmpl w:val="2B887A28"/>
    <w:lvl w:ilvl="0" w:tplc="44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FA75BD"/>
    <w:multiLevelType w:val="hybridMultilevel"/>
    <w:tmpl w:val="5520FF36"/>
    <w:lvl w:ilvl="0" w:tplc="40740F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1D15D3"/>
    <w:multiLevelType w:val="hybridMultilevel"/>
    <w:tmpl w:val="C2BE6D4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9F3D8B"/>
    <w:multiLevelType w:val="hybridMultilevel"/>
    <w:tmpl w:val="AF6EAE96"/>
    <w:lvl w:ilvl="0" w:tplc="1220B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0835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CA0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4EFF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9F9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48C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1E70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CB6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07D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83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8C8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4D4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A5F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8C2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4F8A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C7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714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29"/>
    <w:rsid w:val="002A02A4"/>
    <w:rsid w:val="002A0533"/>
    <w:rsid w:val="002A0BED"/>
    <w:rsid w:val="002A0C7B"/>
    <w:rsid w:val="002A0E2F"/>
    <w:rsid w:val="002A0F92"/>
    <w:rsid w:val="002A131F"/>
    <w:rsid w:val="002A141C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6CB2"/>
    <w:rsid w:val="002D7102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49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339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267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243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5D86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15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4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35C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79B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0FDE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07C74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C77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2AC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375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6D4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7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4FED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EC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2A0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7B5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8F6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547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9C5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B6E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4F08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5C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5746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314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2F8D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3C29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288"/>
    <w:rsid w:val="0085546D"/>
    <w:rsid w:val="008555F6"/>
    <w:rsid w:val="0085567B"/>
    <w:rsid w:val="008557DA"/>
    <w:rsid w:val="008558B2"/>
    <w:rsid w:val="00856152"/>
    <w:rsid w:val="00856479"/>
    <w:rsid w:val="00856500"/>
    <w:rsid w:val="00856A35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6B8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250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52C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71E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2C43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9E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3BB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3B0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11F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BE1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AF7CB5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EBB"/>
    <w:rsid w:val="00B02F9A"/>
    <w:rsid w:val="00B03141"/>
    <w:rsid w:val="00B0350E"/>
    <w:rsid w:val="00B037DD"/>
    <w:rsid w:val="00B039A9"/>
    <w:rsid w:val="00B03A44"/>
    <w:rsid w:val="00B03CD4"/>
    <w:rsid w:val="00B03FD7"/>
    <w:rsid w:val="00B043BD"/>
    <w:rsid w:val="00B04808"/>
    <w:rsid w:val="00B04985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7D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1CD5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AF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3E9"/>
    <w:rsid w:val="00B46BBF"/>
    <w:rsid w:val="00B46E10"/>
    <w:rsid w:val="00B46F14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54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4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0A0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6DD4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A0F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334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E4F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2FE"/>
    <w:rsid w:val="00CF3456"/>
    <w:rsid w:val="00CF34AD"/>
    <w:rsid w:val="00CF358F"/>
    <w:rsid w:val="00CF35F8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DA1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868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97B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BF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2ECB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94B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1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D84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ADD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64C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4C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BA8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643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93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088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BD3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AA7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F3E4EDD"/>
  <w15:docId w15:val="{9842BE1C-98EC-4F03-B0E6-FFE0AA2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2F5492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2F5492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624FED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2DE8EB-61D0-445B-A535-9C083B5BDF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16</cp:revision>
  <cp:lastPrinted>2019-09-13T15:27:00Z</cp:lastPrinted>
  <dcterms:created xsi:type="dcterms:W3CDTF">2021-03-15T00:37:00Z</dcterms:created>
  <dcterms:modified xsi:type="dcterms:W3CDTF">2022-04-22T14:56:00Z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