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BA1" w:rsidRPr="001B3BA1" w:rsidRDefault="000211DE" w:rsidP="001B3BA1">
      <w:pPr>
        <w:tabs>
          <w:tab w:val="left" w:pos="960"/>
        </w:tabs>
        <w:rPr>
          <w:rFonts w:ascii="Museo Sans 300" w:hAnsi="Museo Sans 300"/>
          <w:b/>
          <w:i w:val="0"/>
        </w:rPr>
      </w:pPr>
      <w:r>
        <w:rPr>
          <w:rFonts w:ascii="Museo Sans 300" w:hAnsi="Museo Sans 300"/>
          <w:b/>
          <w:i w:val="0"/>
          <w:noProof/>
          <w:lang w:eastAsia="es-SV"/>
        </w:rPr>
        <w:pict>
          <v:roundrect id="_x0000_s1026" style="position:absolute;margin-left:-19.95pt;margin-top:10.45pt;width:493.55pt;height:79.95pt;z-index:251658240" arcsize="10923f">
            <v:textbox style="mso-next-textbox:#_x0000_s1026">
              <w:txbxContent>
                <w:p w:rsidR="001B3BA1" w:rsidRDefault="001B3BA1" w:rsidP="001B3BA1">
                  <w:pPr>
                    <w:pStyle w:val="Encabezado"/>
                    <w:jc w:val="center"/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</w:pPr>
                  <w:r w:rsidRPr="009727A0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BCF-00</w:t>
                  </w:r>
                  <w:r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3</w:t>
                  </w:r>
                  <w:r w:rsidR="00B33B63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 xml:space="preserve"> </w:t>
                  </w:r>
                  <w:r w:rsidRPr="009727A0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 xml:space="preserve">Autorización </w:t>
                  </w:r>
                  <w:r w:rsidR="00B33B63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de prórroga para</w:t>
                  </w:r>
                  <w:r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 xml:space="preserve"> inicio de operaciones</w:t>
                  </w:r>
                </w:p>
                <w:p w:rsidR="009F6C88" w:rsidRPr="009727A0" w:rsidRDefault="009F6C88" w:rsidP="001B3BA1">
                  <w:pPr>
                    <w:pStyle w:val="Encabezado"/>
                    <w:jc w:val="center"/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</w:pPr>
                </w:p>
                <w:p w:rsidR="001B3BA1" w:rsidRDefault="001B3BA1" w:rsidP="001B3BA1">
                  <w:pPr>
                    <w:spacing w:after="0" w:line="240" w:lineRule="auto"/>
                    <w:ind w:left="2835" w:hanging="2835"/>
                    <w:jc w:val="center"/>
                    <w:rPr>
                      <w:rFonts w:ascii="Museo Sans 300" w:hAnsi="Museo Sans 300"/>
                      <w:i w:val="0"/>
                    </w:rPr>
                  </w:pPr>
                  <w:r w:rsidRPr="009727A0">
                    <w:rPr>
                      <w:rFonts w:ascii="Museo Sans 300" w:hAnsi="Museo Sans 300"/>
                      <w:i w:val="0"/>
                    </w:rPr>
                    <w:t>Intendencia de Bancos y Conglomerados</w:t>
                  </w:r>
                </w:p>
                <w:p w:rsidR="009F6C88" w:rsidRPr="009727A0" w:rsidRDefault="009F6C88" w:rsidP="001B3BA1">
                  <w:pPr>
                    <w:spacing w:after="0" w:line="240" w:lineRule="auto"/>
                    <w:ind w:left="2835" w:hanging="2835"/>
                    <w:jc w:val="center"/>
                    <w:rPr>
                      <w:rFonts w:ascii="Museo Sans 300" w:hAnsi="Museo Sans 300"/>
                      <w:i w:val="0"/>
                    </w:rPr>
                  </w:pPr>
                </w:p>
                <w:p w:rsidR="001B3BA1" w:rsidRPr="009727A0" w:rsidRDefault="001B3BA1" w:rsidP="001B3BA1">
                  <w:pPr>
                    <w:spacing w:after="0" w:line="240" w:lineRule="auto"/>
                    <w:jc w:val="center"/>
                    <w:rPr>
                      <w:rFonts w:ascii="Museo Sans 300" w:hAnsi="Museo Sans 300"/>
                      <w:i w:val="0"/>
                    </w:rPr>
                  </w:pPr>
                  <w:r w:rsidRPr="009727A0">
                    <w:rPr>
                      <w:rFonts w:ascii="Museo Sans 300" w:hAnsi="Museo Sans 300"/>
                      <w:i w:val="0"/>
                    </w:rPr>
                    <w:t>F</w:t>
                  </w:r>
                  <w:r w:rsidR="00187310">
                    <w:rPr>
                      <w:rFonts w:ascii="Museo Sans 300" w:hAnsi="Museo Sans 300"/>
                      <w:i w:val="0"/>
                    </w:rPr>
                    <w:t>echa de última actualización: 13/07</w:t>
                  </w:r>
                  <w:r w:rsidRPr="009727A0">
                    <w:rPr>
                      <w:rFonts w:ascii="Museo Sans 300" w:hAnsi="Museo Sans 300"/>
                      <w:i w:val="0"/>
                    </w:rPr>
                    <w:t>/2020</w:t>
                  </w:r>
                </w:p>
              </w:txbxContent>
            </v:textbox>
          </v:roundrect>
        </w:pict>
      </w:r>
    </w:p>
    <w:p w:rsidR="001B3BA1" w:rsidRPr="001B3BA1" w:rsidRDefault="001B3BA1" w:rsidP="001B3BA1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1B3BA1" w:rsidRPr="001B3BA1" w:rsidRDefault="001B3BA1" w:rsidP="001B3BA1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1B3BA1" w:rsidRPr="001B3BA1" w:rsidRDefault="001B3BA1" w:rsidP="001B3BA1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1B3BA1" w:rsidRPr="001B3BA1" w:rsidRDefault="001B3BA1" w:rsidP="001B3BA1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D70E24" w:rsidRPr="001B3BA1" w:rsidRDefault="00D70E24" w:rsidP="00D70E24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9F6C88" w:rsidRDefault="009F6C88" w:rsidP="00D70E24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D70E24" w:rsidRPr="001B3BA1" w:rsidRDefault="00D70E24" w:rsidP="00D70E24">
      <w:pPr>
        <w:spacing w:after="0" w:line="240" w:lineRule="auto"/>
        <w:jc w:val="both"/>
        <w:rPr>
          <w:rFonts w:ascii="Museo Sans 300" w:hAnsi="Museo Sans 300"/>
          <w:b/>
          <w:i w:val="0"/>
        </w:rPr>
      </w:pPr>
      <w:r w:rsidRPr="001B3BA1">
        <w:rPr>
          <w:rFonts w:ascii="Museo Sans 300" w:hAnsi="Museo Sans 300"/>
          <w:b/>
          <w:i w:val="0"/>
        </w:rPr>
        <w:t xml:space="preserve">Sujetos a que aplica el trámite específico: </w:t>
      </w:r>
    </w:p>
    <w:p w:rsidR="000211DE" w:rsidRDefault="000211DE" w:rsidP="00D70E24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D70E24" w:rsidRPr="001B3BA1" w:rsidRDefault="00D70E24" w:rsidP="00D70E24">
      <w:pPr>
        <w:spacing w:after="0" w:line="240" w:lineRule="auto"/>
        <w:jc w:val="both"/>
        <w:rPr>
          <w:rFonts w:ascii="Museo Sans 300" w:hAnsi="Museo Sans 300"/>
          <w:i w:val="0"/>
        </w:rPr>
      </w:pPr>
      <w:r w:rsidRPr="001B3BA1">
        <w:rPr>
          <w:rFonts w:ascii="Museo Sans 300" w:hAnsi="Museo Sans 300"/>
          <w:i w:val="0"/>
        </w:rPr>
        <w:t>Bancos</w:t>
      </w:r>
    </w:p>
    <w:p w:rsidR="00D70E24" w:rsidRPr="001B3BA1" w:rsidRDefault="00D70E24" w:rsidP="00D70E24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D70E24" w:rsidRPr="001B3BA1" w:rsidRDefault="00D70E24" w:rsidP="00D70E24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</w:rPr>
      </w:pPr>
      <w:r w:rsidRPr="001B3BA1">
        <w:rPr>
          <w:rFonts w:ascii="Museo Sans 300" w:hAnsi="Museo Sans 300"/>
          <w:b/>
          <w:i w:val="0"/>
          <w:szCs w:val="20"/>
        </w:rPr>
        <w:t xml:space="preserve">Base Legal: </w:t>
      </w:r>
    </w:p>
    <w:p w:rsidR="00D70E24" w:rsidRPr="001B3BA1" w:rsidRDefault="00D70E24" w:rsidP="00D70E24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</w:rPr>
      </w:pPr>
    </w:p>
    <w:p w:rsidR="00D70E24" w:rsidRPr="001B3BA1" w:rsidRDefault="00D70E24" w:rsidP="00D70E2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hAnsi="Museo Sans 300"/>
          <w:szCs w:val="20"/>
          <w:lang w:val="es-SV"/>
        </w:rPr>
      </w:pPr>
      <w:r w:rsidRPr="001B3BA1">
        <w:rPr>
          <w:rFonts w:ascii="Museo Sans 300" w:hAnsi="Museo Sans 300"/>
          <w:szCs w:val="20"/>
          <w:lang w:val="es-SV"/>
        </w:rPr>
        <w:t>Ley de Bancos.</w:t>
      </w:r>
    </w:p>
    <w:p w:rsidR="00D70E24" w:rsidRPr="001B3BA1" w:rsidRDefault="00D70E24" w:rsidP="00D70E2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hAnsi="Museo Sans 300"/>
          <w:szCs w:val="20"/>
          <w:lang w:val="es-SV"/>
        </w:rPr>
      </w:pPr>
      <w:r w:rsidRPr="001B3BA1">
        <w:rPr>
          <w:rFonts w:ascii="Museo Sans 300" w:hAnsi="Museo Sans 300"/>
          <w:szCs w:val="20"/>
          <w:lang w:val="es-SV"/>
        </w:rPr>
        <w:t>Reglamento para Constituir y Operar Nuevos Bancos y Financieras en El Salvador (NPB1-04).</w:t>
      </w:r>
    </w:p>
    <w:p w:rsidR="00D70E24" w:rsidRPr="001B3BA1" w:rsidRDefault="00D70E24" w:rsidP="00D70E24">
      <w:pPr>
        <w:spacing w:after="0" w:line="240" w:lineRule="auto"/>
        <w:jc w:val="both"/>
        <w:rPr>
          <w:rFonts w:ascii="Museo Sans 300" w:hAnsi="Museo Sans 300"/>
          <w:i w:val="0"/>
          <w:szCs w:val="20"/>
        </w:rPr>
      </w:pPr>
    </w:p>
    <w:p w:rsidR="00D70E24" w:rsidRPr="001B3BA1" w:rsidRDefault="00D70E24" w:rsidP="00D70E24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lang w:val="es-SV"/>
        </w:rPr>
      </w:pPr>
      <w:r w:rsidRPr="001B3BA1">
        <w:rPr>
          <w:rFonts w:ascii="Museo Sans 300" w:hAnsi="Museo Sans 300"/>
          <w:b/>
          <w:szCs w:val="20"/>
          <w:lang w:val="es-SV"/>
        </w:rPr>
        <w:t>Bancos:</w:t>
      </w:r>
    </w:p>
    <w:p w:rsidR="00D70E24" w:rsidRPr="001B3BA1" w:rsidRDefault="00D70E24" w:rsidP="00D70E24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szCs w:val="20"/>
          <w:lang w:val="es-SV"/>
        </w:rPr>
      </w:pPr>
      <w:r w:rsidRPr="001B3BA1">
        <w:rPr>
          <w:rFonts w:ascii="Museo Sans 300" w:hAnsi="Museo Sans 300"/>
          <w:szCs w:val="20"/>
          <w:lang w:val="es-SV"/>
        </w:rPr>
        <w:t>La certificación extendida por la Superintendencia para iniciar operaciones tiene validez para un período de un año, el cual podrá ser prorrogad</w:t>
      </w:r>
      <w:r w:rsidR="001B3BA1">
        <w:rPr>
          <w:rFonts w:ascii="Museo Sans 300" w:hAnsi="Museo Sans 300"/>
          <w:szCs w:val="20"/>
          <w:lang w:val="es-SV"/>
        </w:rPr>
        <w:t>a</w:t>
      </w:r>
      <w:r w:rsidRPr="001B3BA1">
        <w:rPr>
          <w:rFonts w:ascii="Museo Sans 300" w:hAnsi="Museo Sans 300"/>
          <w:szCs w:val="20"/>
          <w:lang w:val="es-SV"/>
        </w:rPr>
        <w:t xml:space="preserve"> hasta por 180 días. Para tales efectos deberá presentar a la Superintendencia del Sistema Financiero dicha prórroga con al menos 30 días de anticipación al vencimiento original.</w:t>
      </w:r>
    </w:p>
    <w:p w:rsidR="00D70E24" w:rsidRPr="001B3BA1" w:rsidRDefault="00D70E24" w:rsidP="00D70E24">
      <w:pPr>
        <w:spacing w:after="0" w:line="240" w:lineRule="auto"/>
        <w:jc w:val="both"/>
        <w:rPr>
          <w:rFonts w:ascii="Museo Sans 300" w:hAnsi="Museo Sans 300"/>
          <w:i w:val="0"/>
          <w:szCs w:val="20"/>
        </w:rPr>
      </w:pPr>
    </w:p>
    <w:p w:rsidR="00D70E24" w:rsidRPr="001B3BA1" w:rsidRDefault="00D70E24" w:rsidP="00D70E24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u w:val="single"/>
          <w:lang w:val="es-SV"/>
        </w:rPr>
      </w:pPr>
      <w:r w:rsidRPr="001B3BA1">
        <w:rPr>
          <w:rFonts w:ascii="Museo Sans 300" w:hAnsi="Museo Sans 300"/>
          <w:b/>
          <w:szCs w:val="20"/>
          <w:u w:val="single"/>
          <w:lang w:val="es-SV"/>
        </w:rPr>
        <w:t>Requisitos a presentar:</w:t>
      </w:r>
    </w:p>
    <w:p w:rsidR="00D70E24" w:rsidRPr="001B3BA1" w:rsidRDefault="00D70E24" w:rsidP="00D70E24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szCs w:val="20"/>
          <w:u w:val="single"/>
          <w:lang w:val="es-SV"/>
        </w:rPr>
      </w:pPr>
    </w:p>
    <w:p w:rsidR="00D70E24" w:rsidRPr="001B3BA1" w:rsidRDefault="00D70E24" w:rsidP="00F2555A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szCs w:val="20"/>
          <w:lang w:val="es-SV"/>
        </w:rPr>
      </w:pPr>
      <w:r w:rsidRPr="001B3BA1">
        <w:rPr>
          <w:rFonts w:ascii="Museo Sans 300" w:hAnsi="Museo Sans 300"/>
          <w:szCs w:val="20"/>
          <w:lang w:val="es-SV"/>
        </w:rPr>
        <w:t>Solicitud de autorización dirigida al Superintendente del Sistema Financiero, suscrita por el Presidente de la ent</w:t>
      </w:r>
      <w:r w:rsidR="00F64087">
        <w:rPr>
          <w:rFonts w:ascii="Museo Sans 300" w:hAnsi="Museo Sans 300"/>
          <w:szCs w:val="20"/>
          <w:lang w:val="es-SV"/>
        </w:rPr>
        <w:t xml:space="preserve">idad que deberá ser presentada </w:t>
      </w:r>
      <w:r w:rsidRPr="001B3BA1">
        <w:rPr>
          <w:rFonts w:ascii="Museo Sans 300" w:hAnsi="Museo Sans 300"/>
          <w:szCs w:val="20"/>
          <w:lang w:val="es-SV"/>
        </w:rPr>
        <w:t>por lo menos con 30 días de anticipación al vencimiento original;</w:t>
      </w:r>
    </w:p>
    <w:p w:rsidR="00D70E24" w:rsidRPr="001B3BA1" w:rsidRDefault="00D70E24" w:rsidP="00D70E24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szCs w:val="20"/>
          <w:lang w:val="es-SV"/>
        </w:rPr>
      </w:pPr>
    </w:p>
    <w:p w:rsidR="00D70E24" w:rsidRPr="001B3BA1" w:rsidRDefault="00F64087" w:rsidP="00F2555A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szCs w:val="20"/>
          <w:lang w:val="es-SV"/>
        </w:rPr>
      </w:pPr>
      <w:r>
        <w:rPr>
          <w:rFonts w:ascii="Museo Sans 300" w:hAnsi="Museo Sans 300"/>
          <w:szCs w:val="20"/>
          <w:lang w:val="es-SV"/>
        </w:rPr>
        <w:t xml:space="preserve">Deberá detallarse </w:t>
      </w:r>
      <w:r w:rsidR="00D70E24" w:rsidRPr="001B3BA1">
        <w:rPr>
          <w:rFonts w:ascii="Museo Sans 300" w:hAnsi="Museo Sans 300"/>
          <w:szCs w:val="20"/>
          <w:lang w:val="es-SV"/>
        </w:rPr>
        <w:t>las justificaciones correspondientes debidamente documentado; y</w:t>
      </w:r>
    </w:p>
    <w:p w:rsidR="00D70E24" w:rsidRPr="001B3BA1" w:rsidRDefault="00D70E24" w:rsidP="00D70E24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szCs w:val="20"/>
          <w:lang w:val="es-SV"/>
        </w:rPr>
      </w:pPr>
    </w:p>
    <w:p w:rsidR="00D70E24" w:rsidRPr="001B3BA1" w:rsidRDefault="00D70E24" w:rsidP="00F2555A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szCs w:val="20"/>
          <w:lang w:val="es-SV"/>
        </w:rPr>
      </w:pPr>
      <w:r w:rsidRPr="001B3BA1">
        <w:rPr>
          <w:rFonts w:ascii="Museo Sans 300" w:hAnsi="Museo Sans 300"/>
          <w:szCs w:val="20"/>
          <w:lang w:val="es-SV"/>
        </w:rPr>
        <w:t>Cronograma proyectado de las actividades a realizar hasta llegar a la nueva fecha de inicio de operaciones estimada por el banco.</w:t>
      </w:r>
    </w:p>
    <w:p w:rsidR="00D70E24" w:rsidRPr="001B3BA1" w:rsidRDefault="00D70E24" w:rsidP="00D70E24">
      <w:pPr>
        <w:tabs>
          <w:tab w:val="left" w:pos="960"/>
        </w:tabs>
        <w:rPr>
          <w:rFonts w:ascii="Museo Sans 300" w:hAnsi="Museo Sans 300"/>
          <w:i w:val="0"/>
        </w:rPr>
      </w:pPr>
    </w:p>
    <w:p w:rsidR="0084253C" w:rsidRPr="001B3BA1" w:rsidRDefault="0084253C" w:rsidP="003D2C1B">
      <w:pPr>
        <w:rPr>
          <w:rFonts w:ascii="Museo Sans 300" w:hAnsi="Museo Sans 300"/>
          <w:i w:val="0"/>
        </w:rPr>
      </w:pPr>
      <w:bookmarkStart w:id="0" w:name="_GoBack"/>
      <w:bookmarkEnd w:id="0"/>
    </w:p>
    <w:sectPr w:rsidR="0084253C" w:rsidRPr="001B3BA1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CCE" w:rsidRDefault="00851CCE" w:rsidP="005E5D6F">
      <w:pPr>
        <w:spacing w:after="0" w:line="240" w:lineRule="auto"/>
      </w:pPr>
      <w:r>
        <w:separator/>
      </w:r>
    </w:p>
  </w:endnote>
  <w:endnote w:type="continuationSeparator" w:id="0">
    <w:p w:rsidR="00851CCE" w:rsidRDefault="00851CCE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1E5" w:rsidRPr="00F22C75" w:rsidRDefault="00D901E5" w:rsidP="00D901E5">
    <w:pPr>
      <w:pStyle w:val="Piedepgina"/>
      <w:jc w:val="right"/>
      <w:rPr>
        <w:rFonts w:ascii="Calibri" w:hAnsi="Calibri"/>
        <w:i w:val="0"/>
      </w:rPr>
    </w:pPr>
    <w:r w:rsidRPr="000F5232">
      <w:rPr>
        <w:rFonts w:ascii="Calibri" w:hAnsi="Calibri"/>
      </w:rPr>
      <w:t xml:space="preserve">Página </w:t>
    </w:r>
    <w:r w:rsidR="00536E60" w:rsidRPr="000F5232">
      <w:rPr>
        <w:rFonts w:ascii="Calibri" w:hAnsi="Calibri"/>
        <w:i w:val="0"/>
      </w:rPr>
      <w:fldChar w:fldCharType="begin"/>
    </w:r>
    <w:r w:rsidRPr="000F5232">
      <w:rPr>
        <w:rFonts w:ascii="Calibri" w:hAnsi="Calibri"/>
      </w:rPr>
      <w:instrText>PAGE</w:instrText>
    </w:r>
    <w:r w:rsidR="00536E60" w:rsidRPr="000F5232">
      <w:rPr>
        <w:rFonts w:ascii="Calibri" w:hAnsi="Calibri"/>
        <w:i w:val="0"/>
      </w:rPr>
      <w:fldChar w:fldCharType="separate"/>
    </w:r>
    <w:r w:rsidR="000211DE">
      <w:rPr>
        <w:rFonts w:ascii="Calibri" w:hAnsi="Calibri"/>
        <w:noProof/>
      </w:rPr>
      <w:t>1</w:t>
    </w:r>
    <w:r w:rsidR="00536E60" w:rsidRPr="000F5232">
      <w:rPr>
        <w:rFonts w:ascii="Calibri" w:hAnsi="Calibri"/>
        <w:i w:val="0"/>
      </w:rPr>
      <w:fldChar w:fldCharType="end"/>
    </w:r>
    <w:r w:rsidRPr="000F5232">
      <w:rPr>
        <w:rFonts w:ascii="Calibri" w:hAnsi="Calibri"/>
      </w:rPr>
      <w:t xml:space="preserve"> de </w:t>
    </w:r>
    <w:r w:rsidR="00536E60" w:rsidRPr="000F5232">
      <w:rPr>
        <w:rFonts w:ascii="Calibri" w:hAnsi="Calibri"/>
        <w:i w:val="0"/>
      </w:rPr>
      <w:fldChar w:fldCharType="begin"/>
    </w:r>
    <w:r w:rsidRPr="000F5232">
      <w:rPr>
        <w:rFonts w:ascii="Calibri" w:hAnsi="Calibri"/>
      </w:rPr>
      <w:instrText xml:space="preserve"> SECTIONPAGES  </w:instrText>
    </w:r>
    <w:r w:rsidR="00536E60" w:rsidRPr="000F5232">
      <w:rPr>
        <w:rFonts w:ascii="Calibri" w:hAnsi="Calibri"/>
        <w:i w:val="0"/>
      </w:rPr>
      <w:fldChar w:fldCharType="separate"/>
    </w:r>
    <w:r w:rsidR="000211DE">
      <w:rPr>
        <w:rFonts w:ascii="Calibri" w:hAnsi="Calibri"/>
        <w:noProof/>
      </w:rPr>
      <w:t>1</w:t>
    </w:r>
    <w:r w:rsidR="00536E60" w:rsidRPr="000F5232">
      <w:rPr>
        <w:rFonts w:ascii="Calibri" w:hAnsi="Calibri"/>
        <w:i w:val="0"/>
      </w:rPr>
      <w:fldChar w:fldCharType="end"/>
    </w:r>
  </w:p>
  <w:p w:rsidR="00D901E5" w:rsidRDefault="00D901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CCE" w:rsidRDefault="00851CCE" w:rsidP="005E5D6F">
      <w:pPr>
        <w:spacing w:after="0" w:line="240" w:lineRule="auto"/>
      </w:pPr>
      <w:r>
        <w:separator/>
      </w:r>
    </w:p>
  </w:footnote>
  <w:footnote w:type="continuationSeparator" w:id="0">
    <w:p w:rsidR="00851CCE" w:rsidRDefault="00851CCE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08" w:rsidRDefault="000211DE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2051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1E5" w:rsidRDefault="00236C57" w:rsidP="004950FF">
    <w:pPr>
      <w:pStyle w:val="Encabezado"/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noProof/>
        <w:color w:val="2B3137"/>
        <w:sz w:val="24"/>
        <w:lang w:eastAsia="es-SV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1501140</wp:posOffset>
          </wp:positionH>
          <wp:positionV relativeFrom="paragraph">
            <wp:posOffset>-231140</wp:posOffset>
          </wp:positionV>
          <wp:extent cx="2552700" cy="1543050"/>
          <wp:effectExtent l="19050" t="0" r="0" b="0"/>
          <wp:wrapNone/>
          <wp:docPr id="2" name="Imagen 1" descr="F:\SSF COMUNICACIONES\2019\SEPTIEMBRE\COMUNICADO OFICIAL\LOGO 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SF COMUNICACIONES\2019\SEPTIEMBRE\COMUNICADO OFICIAL\LOGO COMUNIC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54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1E5" w:rsidRDefault="00D901E5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D901E5" w:rsidRDefault="001B0B08" w:rsidP="001B0B08">
    <w:pPr>
      <w:pStyle w:val="Encabezado"/>
      <w:tabs>
        <w:tab w:val="left" w:pos="4875"/>
      </w:tabs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color w:val="2B3137"/>
        <w:sz w:val="24"/>
      </w:rPr>
      <w:tab/>
    </w:r>
    <w:r>
      <w:rPr>
        <w:rFonts w:eastAsia="Arial Unicode MS" w:cs="Arial Unicode MS"/>
        <w:b/>
        <w:color w:val="2B3137"/>
        <w:sz w:val="24"/>
      </w:rPr>
      <w:tab/>
    </w: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D901E5" w:rsidRDefault="00836B82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  <w:r w:rsidRPr="00836B82">
      <w:rPr>
        <w:rFonts w:eastAsia="Arial Unicode MS" w:cs="Arial Unicode MS"/>
        <w:b/>
        <w:color w:val="2B3137"/>
        <w:sz w:val="24"/>
      </w:rPr>
      <w:t xml:space="preserve"> </w:t>
    </w:r>
  </w:p>
  <w:p w:rsidR="004950FF" w:rsidRDefault="004950FF" w:rsidP="000E1B15">
    <w:pPr>
      <w:pStyle w:val="Encabezado"/>
      <w:jc w:val="center"/>
      <w:rPr>
        <w:rFonts w:ascii="Bembo Std" w:eastAsia="Arial Unicode MS" w:hAnsi="Bembo Std" w:cs="Arial Unicode MS"/>
        <w:b/>
        <w:color w:val="2B3137"/>
      </w:rPr>
    </w:pPr>
  </w:p>
  <w:p w:rsidR="00D901E5" w:rsidRDefault="000211DE" w:rsidP="000E1B15">
    <w:pPr>
      <w:pStyle w:val="Encabezado"/>
      <w:jc w:val="center"/>
    </w:pPr>
    <w:r>
      <w:rPr>
        <w:rFonts w:eastAsia="Arial Unicode MS" w:cs="Arial Unicode MS"/>
        <w:b/>
        <w:noProof/>
        <w:color w:val="2B3137"/>
        <w:sz w:val="24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2052" type="#_x0000_t75" style="position:absolute;left:0;text-align:left;margin-left:85.6pt;margin-top:13.5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08" w:rsidRDefault="000211DE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2050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74A58"/>
    <w:multiLevelType w:val="hybridMultilevel"/>
    <w:tmpl w:val="9DB0186A"/>
    <w:lvl w:ilvl="0" w:tplc="D9426A34">
      <w:start w:val="1"/>
      <w:numFmt w:val="decimal"/>
      <w:lvlText w:val="%1."/>
      <w:lvlJc w:val="left"/>
      <w:pPr>
        <w:ind w:left="1080" w:hanging="360"/>
      </w:pPr>
      <w:rPr>
        <w:rFonts w:ascii="Museo Sans 300" w:eastAsiaTheme="minorHAnsi" w:hAnsi="Museo Sans 300" w:cstheme="minorBidi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DB67DF"/>
    <w:multiLevelType w:val="hybridMultilevel"/>
    <w:tmpl w:val="F2E287D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u w:val="non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hyphenationZone w:val="425"/>
  <w:characterSpacingControl w:val="doNotCompress"/>
  <w:hdrShapeDefaults>
    <o:shapedefaults v:ext="edit" spidmax="205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1DE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5A"/>
    <w:rsid w:val="00125AD0"/>
    <w:rsid w:val="00125DF4"/>
    <w:rsid w:val="00126906"/>
    <w:rsid w:val="00126ED4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310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3BA1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A0C"/>
    <w:rsid w:val="00263B4C"/>
    <w:rsid w:val="00263DDB"/>
    <w:rsid w:val="0026418D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185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EAF"/>
    <w:rsid w:val="00470613"/>
    <w:rsid w:val="00470BF7"/>
    <w:rsid w:val="004718D6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D06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D3"/>
    <w:rsid w:val="00533EE6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6E60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80309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0DB9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EB"/>
    <w:rsid w:val="0077258D"/>
    <w:rsid w:val="00772ABE"/>
    <w:rsid w:val="00773020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65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548A"/>
    <w:rsid w:val="007E5624"/>
    <w:rsid w:val="007E5635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1CCE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1B65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C88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1B7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ADF"/>
    <w:rsid w:val="00AB3E81"/>
    <w:rsid w:val="00AB407E"/>
    <w:rsid w:val="00AB41F5"/>
    <w:rsid w:val="00AB4206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63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E32"/>
    <w:rsid w:val="00B54675"/>
    <w:rsid w:val="00B54906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B3E"/>
    <w:rsid w:val="00CC3DDC"/>
    <w:rsid w:val="00CC48D5"/>
    <w:rsid w:val="00CC4B4A"/>
    <w:rsid w:val="00CC4D85"/>
    <w:rsid w:val="00CC4E5B"/>
    <w:rsid w:val="00CC50E2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85D"/>
    <w:rsid w:val="00D01991"/>
    <w:rsid w:val="00D019E9"/>
    <w:rsid w:val="00D01B34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60FA"/>
    <w:rsid w:val="00D46968"/>
    <w:rsid w:val="00D469FE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0E24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A4A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FAD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436"/>
    <w:rsid w:val="00F24544"/>
    <w:rsid w:val="00F248C1"/>
    <w:rsid w:val="00F24DF8"/>
    <w:rsid w:val="00F24EB9"/>
    <w:rsid w:val="00F2555A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087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" strokecolor="none"/>
    </o:shapedefaults>
    <o:shapelayout v:ext="edit">
      <o:idmap v:ext="edit" data="1"/>
    </o:shapelayout>
  </w:shapeDefaults>
  <w:decimalSymbol w:val="."/>
  <w:listSeparator w:val=";"/>
  <w14:docId w14:val="29D49D45"/>
  <w15:docId w15:val="{D18F0072-2CA4-423D-B956-88A37324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semiHidden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D70E24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D70E24"/>
    <w:rPr>
      <w:rFonts w:cstheme="minorBidi"/>
      <w:i w:val="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4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04A4928-6C69-4860-A00F-2C2D5D107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José Antonio Ramirez Cruz</cp:lastModifiedBy>
  <cp:revision>10</cp:revision>
  <cp:lastPrinted>2019-09-13T15:27:00Z</cp:lastPrinted>
  <dcterms:created xsi:type="dcterms:W3CDTF">2020-04-28T16:23:00Z</dcterms:created>
  <dcterms:modified xsi:type="dcterms:W3CDTF">2020-07-13T21:20:00Z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