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09" w:rsidRPr="00DA0268" w:rsidRDefault="00A376D7" w:rsidP="00AB3909">
      <w:pPr>
        <w:tabs>
          <w:tab w:val="left" w:pos="960"/>
        </w:tabs>
        <w:rPr>
          <w:rFonts w:ascii="Museo Sans 300" w:hAnsi="Museo Sans 300"/>
          <w:b/>
          <w:i w:val="0"/>
        </w:rPr>
      </w:pPr>
      <w:r>
        <w:rPr>
          <w:rFonts w:ascii="Museo Sans 300" w:hAnsi="Museo Sans 300"/>
          <w:b/>
          <w:i w:val="0"/>
          <w:noProof/>
          <w:lang w:eastAsia="es-SV"/>
        </w:rPr>
        <w:pict>
          <v:roundrect id="_x0000_s1026" style="position:absolute;margin-left:-19.95pt;margin-top:-13.1pt;width:493.55pt;height:83.25pt;z-index:251658240" arcsize="10923f">
            <v:textbox style="mso-next-textbox:#_x0000_s1026">
              <w:txbxContent>
                <w:p w:rsidR="00AB3909" w:rsidRDefault="00AB3909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  <w:r w:rsidRPr="009727A0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BCF-00</w:t>
                  </w:r>
                  <w:r w:rsidR="00FD2853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6</w:t>
                  </w:r>
                  <w:r w:rsidR="00B07DB9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 xml:space="preserve"> </w:t>
                  </w:r>
                  <w:r w:rsidR="002F170A"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  <w:t>Apertura de Oficina de Información y Renovaciones</w:t>
                  </w:r>
                </w:p>
                <w:p w:rsidR="00485905" w:rsidRPr="009727A0" w:rsidRDefault="00485905" w:rsidP="00AB3909">
                  <w:pPr>
                    <w:pStyle w:val="Encabezado"/>
                    <w:jc w:val="center"/>
                    <w:rPr>
                      <w:rFonts w:ascii="Museo Sans 300" w:hAnsi="Museo Sans 300"/>
                      <w:b/>
                      <w:i w:val="0"/>
                      <w:sz w:val="24"/>
                      <w:szCs w:val="24"/>
                    </w:rPr>
                  </w:pPr>
                </w:p>
                <w:p w:rsidR="00AB3909" w:rsidRDefault="00AB3909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  <w:r w:rsidRPr="009727A0">
                    <w:rPr>
                      <w:rFonts w:ascii="Museo Sans 300" w:hAnsi="Museo Sans 300"/>
                      <w:i w:val="0"/>
                    </w:rPr>
                    <w:t>Intendencia de Bancos y Conglomerados</w:t>
                  </w:r>
                </w:p>
                <w:p w:rsidR="00485905" w:rsidRPr="009727A0" w:rsidRDefault="00485905" w:rsidP="00AB3909">
                  <w:pPr>
                    <w:spacing w:after="0" w:line="240" w:lineRule="auto"/>
                    <w:ind w:left="2835" w:hanging="2835"/>
                    <w:jc w:val="center"/>
                    <w:rPr>
                      <w:rFonts w:ascii="Museo Sans 300" w:hAnsi="Museo Sans 300"/>
                      <w:i w:val="0"/>
                    </w:rPr>
                  </w:pPr>
                </w:p>
                <w:p w:rsidR="00AB3909" w:rsidRPr="009727A0" w:rsidRDefault="00FA04DD" w:rsidP="00AB3909">
                  <w:pPr>
                    <w:spacing w:after="0" w:line="240" w:lineRule="auto"/>
                    <w:jc w:val="center"/>
                    <w:rPr>
                      <w:rFonts w:ascii="Museo Sans 300" w:hAnsi="Museo Sans 300"/>
                      <w:i w:val="0"/>
                    </w:rPr>
                  </w:pPr>
                  <w:r>
                    <w:rPr>
                      <w:rFonts w:ascii="Museo Sans 300" w:hAnsi="Museo Sans 300"/>
                      <w:i w:val="0"/>
                    </w:rPr>
                    <w:t>Fecha de última actualización: 1</w:t>
                  </w:r>
                  <w:r w:rsidR="00AB433E">
                    <w:rPr>
                      <w:rFonts w:ascii="Museo Sans 300" w:hAnsi="Museo Sans 300"/>
                      <w:i w:val="0"/>
                    </w:rPr>
                    <w:t>3/07</w:t>
                  </w:r>
                  <w:r w:rsidR="00AB3909" w:rsidRPr="009727A0">
                    <w:rPr>
                      <w:rFonts w:ascii="Museo Sans 300" w:hAnsi="Museo Sans 300"/>
                      <w:i w:val="0"/>
                    </w:rPr>
                    <w:t>/2020</w:t>
                  </w:r>
                </w:p>
              </w:txbxContent>
            </v:textbox>
          </v:roundrect>
        </w:pict>
      </w:r>
    </w:p>
    <w:p w:rsidR="00AB3909" w:rsidRPr="00DA0268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DA0268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DA0268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AB3909" w:rsidRPr="00DA0268" w:rsidRDefault="00AB3909" w:rsidP="00AB3909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b/>
          <w:i w:val="0"/>
        </w:rPr>
      </w:pPr>
      <w:r w:rsidRPr="00DA0268">
        <w:rPr>
          <w:rFonts w:ascii="Museo Sans 300" w:hAnsi="Museo Sans 300"/>
          <w:b/>
          <w:i w:val="0"/>
        </w:rPr>
        <w:t xml:space="preserve">Sujetos a que aplica el trámite específico: </w:t>
      </w:r>
    </w:p>
    <w:p w:rsidR="00A376D7" w:rsidRDefault="00A376D7" w:rsidP="004C47BE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i w:val="0"/>
        </w:rPr>
      </w:pPr>
      <w:bookmarkStart w:id="0" w:name="_GoBack"/>
      <w:bookmarkEnd w:id="0"/>
      <w:r w:rsidRPr="00DA0268">
        <w:rPr>
          <w:rFonts w:ascii="Museo Sans 300" w:hAnsi="Museo Sans 300"/>
          <w:i w:val="0"/>
        </w:rPr>
        <w:t>Bancos</w:t>
      </w:r>
      <w:r w:rsidR="00B8776C">
        <w:rPr>
          <w:rFonts w:ascii="Museo Sans 300" w:hAnsi="Museo Sans 300"/>
          <w:i w:val="0"/>
        </w:rPr>
        <w:t xml:space="preserve"> Extranjeros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DA0268">
        <w:rPr>
          <w:rFonts w:ascii="Museo Sans 300" w:hAnsi="Museo Sans 300"/>
          <w:b/>
          <w:i w:val="0"/>
          <w:szCs w:val="20"/>
        </w:rPr>
        <w:t xml:space="preserve">Base Legal: 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:rsidR="004C47BE" w:rsidRPr="00DA0268" w:rsidRDefault="00B07DB9" w:rsidP="004C47B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b/>
          <w:szCs w:val="20"/>
          <w:lang w:val="es-SV"/>
        </w:rPr>
      </w:pPr>
      <w:r>
        <w:rPr>
          <w:rFonts w:ascii="Museo Sans 300" w:hAnsi="Museo Sans 300"/>
        </w:rPr>
        <w:t xml:space="preserve">Ley de Bancos: Artículos </w:t>
      </w:r>
      <w:r w:rsidR="004C47BE" w:rsidRPr="00DA0268">
        <w:rPr>
          <w:rFonts w:ascii="Museo Sans 300" w:hAnsi="Museo Sans 300"/>
        </w:rPr>
        <w:t>26, 27 y 28.</w:t>
      </w:r>
    </w:p>
    <w:p w:rsidR="004C47BE" w:rsidRPr="00DA0268" w:rsidRDefault="004C47BE" w:rsidP="004C47B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Museo Sans 300" w:hAnsi="Museo Sans 300"/>
          <w:b/>
          <w:szCs w:val="20"/>
          <w:lang w:val="es-SV"/>
        </w:rPr>
      </w:pPr>
      <w:r w:rsidRPr="00DA0268">
        <w:rPr>
          <w:rFonts w:ascii="Museo Sans 300" w:hAnsi="Museo Sans 300"/>
        </w:rPr>
        <w:t>Normas Para Autorizar El Establecimiento de Oficinas de Información de Bancos Extranjeros (NPB1-12)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DA0268">
        <w:rPr>
          <w:rFonts w:ascii="Museo Sans 300" w:hAnsi="Museo Sans 300"/>
          <w:b/>
          <w:i w:val="0"/>
          <w:szCs w:val="20"/>
          <w:u w:val="single"/>
        </w:rPr>
        <w:t>Requisitos a presentar: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C47BE" w:rsidRPr="00DA0268" w:rsidRDefault="004C47BE" w:rsidP="004C47BE">
      <w:pPr>
        <w:pStyle w:val="Prrafodelista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Museo Sans 300" w:hAnsi="Museo Sans 300"/>
          <w:b/>
          <w:lang w:val="es-SV"/>
        </w:rPr>
      </w:pPr>
      <w:r w:rsidRPr="00DA0268">
        <w:rPr>
          <w:rFonts w:ascii="Museo Sans 300" w:hAnsi="Museo Sans 300"/>
          <w:b/>
          <w:lang w:val="es-SV"/>
        </w:rPr>
        <w:t>APERTURA DE OFICINA DE INFORMACION</w:t>
      </w:r>
    </w:p>
    <w:p w:rsidR="004C47BE" w:rsidRPr="00DA0268" w:rsidRDefault="004C47BE" w:rsidP="004C47BE">
      <w:pPr>
        <w:pStyle w:val="Prrafodelista"/>
        <w:spacing w:after="0" w:line="240" w:lineRule="auto"/>
        <w:ind w:left="786"/>
        <w:jc w:val="both"/>
        <w:rPr>
          <w:rFonts w:ascii="Museo Sans 300" w:hAnsi="Museo Sans 300"/>
          <w:b/>
          <w:u w:val="single"/>
          <w:lang w:val="es-SV"/>
        </w:rPr>
      </w:pPr>
    </w:p>
    <w:p w:rsidR="004C47BE" w:rsidRPr="00DA0268" w:rsidRDefault="004C47BE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  <w:lang w:val="es-SV"/>
        </w:rPr>
        <w:t>Solicitud dirigida al Superintendente del Sistema financiero, suscrita por el Presidente o por el Representante Legal;</w:t>
      </w:r>
    </w:p>
    <w:p w:rsidR="004C47BE" w:rsidRPr="00DA0268" w:rsidRDefault="004C47BE" w:rsidP="004C47BE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4C47BE" w:rsidRDefault="004C47BE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170A">
        <w:rPr>
          <w:rFonts w:ascii="Museo Sans 300" w:hAnsi="Museo Sans 300"/>
          <w:lang w:val="es-SV"/>
        </w:rPr>
        <w:t>Escritura de constitución, estatutos y cualquier otro documento que compruebe la existencia legal de la casa matriz y la facultad de esta</w:t>
      </w:r>
      <w:r w:rsidR="002757AF">
        <w:rPr>
          <w:rFonts w:ascii="Museo Sans 300" w:hAnsi="Museo Sans 300"/>
          <w:lang w:val="es-SV"/>
        </w:rPr>
        <w:t xml:space="preserve">blecer oficinas de información </w:t>
      </w:r>
      <w:r w:rsidRPr="002F170A">
        <w:rPr>
          <w:rFonts w:ascii="Museo Sans 300" w:hAnsi="Museo Sans 300"/>
          <w:lang w:val="es-SV"/>
        </w:rPr>
        <w:t>en el exterior;</w:t>
      </w:r>
    </w:p>
    <w:p w:rsidR="002F170A" w:rsidRPr="002F170A" w:rsidRDefault="002F170A" w:rsidP="002F170A">
      <w:pPr>
        <w:pStyle w:val="Prrafodelista"/>
        <w:rPr>
          <w:rFonts w:ascii="Museo Sans 300" w:hAnsi="Museo Sans 300"/>
          <w:lang w:val="es-SV"/>
        </w:rPr>
      </w:pPr>
    </w:p>
    <w:p w:rsidR="002F170A" w:rsidRDefault="004C47BE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170A">
        <w:rPr>
          <w:rFonts w:ascii="Museo Sans 300" w:hAnsi="Museo Sans 300"/>
          <w:lang w:val="es-SV"/>
        </w:rPr>
        <w:t>Constancia extendida por la autoridad competente, de que la entidad solicitante está facultada para operar como banco en el país de origen;</w:t>
      </w:r>
    </w:p>
    <w:p w:rsidR="002F170A" w:rsidRPr="002F170A" w:rsidRDefault="002F170A" w:rsidP="002F170A">
      <w:pPr>
        <w:pStyle w:val="Prrafodelista"/>
        <w:rPr>
          <w:rFonts w:ascii="Museo Sans 300" w:hAnsi="Museo Sans 300"/>
          <w:lang w:val="es-SV"/>
        </w:rPr>
      </w:pPr>
    </w:p>
    <w:p w:rsidR="004C47BE" w:rsidRDefault="004C47BE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170A">
        <w:rPr>
          <w:rFonts w:ascii="Museo Sans 300" w:hAnsi="Museo Sans 300"/>
          <w:lang w:val="es-SV"/>
        </w:rPr>
        <w:t>Acuerdo de la casa matriz, en el que se autoriza el establecimiento de la oficina;</w:t>
      </w:r>
    </w:p>
    <w:p w:rsidR="002F170A" w:rsidRPr="002F170A" w:rsidRDefault="002F170A" w:rsidP="002F170A">
      <w:pPr>
        <w:pStyle w:val="Prrafodelista"/>
        <w:rPr>
          <w:rFonts w:ascii="Museo Sans 300" w:hAnsi="Museo Sans 300"/>
          <w:lang w:val="es-SV"/>
        </w:rPr>
      </w:pPr>
    </w:p>
    <w:p w:rsidR="004C47BE" w:rsidRDefault="004C47BE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170A">
        <w:rPr>
          <w:rFonts w:ascii="Museo Sans 300" w:hAnsi="Museo Sans 300"/>
          <w:lang w:val="es-SV"/>
        </w:rPr>
        <w:t>Estructura del Grupo Financiero, en el que se incluyan los países en los cuales dicho Grupo tiene presencia;</w:t>
      </w:r>
    </w:p>
    <w:p w:rsidR="002F170A" w:rsidRPr="002F170A" w:rsidRDefault="002F170A" w:rsidP="002F170A">
      <w:pPr>
        <w:pStyle w:val="Prrafodelista"/>
        <w:rPr>
          <w:rFonts w:ascii="Museo Sans 300" w:hAnsi="Museo Sans 300"/>
          <w:lang w:val="es-SV"/>
        </w:rPr>
      </w:pPr>
    </w:p>
    <w:p w:rsidR="004C47BE" w:rsidRDefault="004C47BE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170A">
        <w:rPr>
          <w:rFonts w:ascii="Museo Sans 300" w:hAnsi="Museo Sans 300"/>
          <w:lang w:val="es-SV"/>
        </w:rPr>
        <w:t>Autorización emitida por el organismo responsable de la fiscalización de la casa matriz para el est</w:t>
      </w:r>
      <w:r w:rsidR="002757AF">
        <w:rPr>
          <w:rFonts w:ascii="Museo Sans 300" w:hAnsi="Museo Sans 300"/>
          <w:lang w:val="es-SV"/>
        </w:rPr>
        <w:t>ablecimiento de la</w:t>
      </w:r>
      <w:r w:rsidRPr="002F170A">
        <w:rPr>
          <w:rFonts w:ascii="Museo Sans 300" w:hAnsi="Museo Sans 300"/>
          <w:lang w:val="es-SV"/>
        </w:rPr>
        <w:t xml:space="preserve"> oficina en El Salvador, cuando corresponda;</w:t>
      </w:r>
    </w:p>
    <w:p w:rsidR="002F170A" w:rsidRPr="002F170A" w:rsidRDefault="002F170A" w:rsidP="002F170A">
      <w:pPr>
        <w:pStyle w:val="Prrafodelista"/>
        <w:rPr>
          <w:rFonts w:ascii="Museo Sans 300" w:hAnsi="Museo Sans 300"/>
          <w:lang w:val="es-SV"/>
        </w:rPr>
      </w:pPr>
    </w:p>
    <w:p w:rsidR="004C47BE" w:rsidRDefault="004C47BE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170A">
        <w:rPr>
          <w:rFonts w:ascii="Museo Sans 300" w:hAnsi="Museo Sans 300"/>
          <w:lang w:val="es-SV"/>
        </w:rPr>
        <w:t>Informe del organismo supervisor de la casa matriz, que contenga descripción de las normas prudenciales a que está sometida;</w:t>
      </w:r>
    </w:p>
    <w:p w:rsidR="002F170A" w:rsidRPr="002F170A" w:rsidRDefault="002F170A" w:rsidP="002F170A">
      <w:pPr>
        <w:pStyle w:val="Prrafodelista"/>
        <w:rPr>
          <w:rFonts w:ascii="Museo Sans 300" w:hAnsi="Museo Sans 300"/>
          <w:lang w:val="es-SV"/>
        </w:rPr>
      </w:pPr>
    </w:p>
    <w:p w:rsidR="004C47BE" w:rsidRPr="002F170A" w:rsidRDefault="004C47BE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2F170A">
        <w:rPr>
          <w:rFonts w:ascii="Museo Sans 300" w:hAnsi="Museo Sans 300"/>
          <w:lang w:val="es-SV"/>
        </w:rPr>
        <w:lastRenderedPageBreak/>
        <w:t>Certificación del acuerdo del órgano correspondiente de la institución solicitante, en el cual se hace declaración expresa de que se compromete a: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4C47BE" w:rsidRPr="00DA0268" w:rsidRDefault="004C47BE" w:rsidP="00151D7E">
      <w:pPr>
        <w:pStyle w:val="Prrafodelista"/>
        <w:numPr>
          <w:ilvl w:val="1"/>
          <w:numId w:val="5"/>
        </w:numPr>
        <w:spacing w:after="0" w:line="240" w:lineRule="auto"/>
        <w:ind w:left="851" w:hanging="283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  <w:lang w:val="es-SV"/>
        </w:rPr>
        <w:t xml:space="preserve">Mantener permanentemente en la República de El Salvador, al menos un representante con facultades amplias y suficientes para realizar todos los actos y contratos que tengan que celebrarse y surtir efectos en el territorio nacional. </w:t>
      </w:r>
    </w:p>
    <w:p w:rsidR="004C47BE" w:rsidRPr="00DA0268" w:rsidRDefault="004C47BE" w:rsidP="004C47BE">
      <w:pPr>
        <w:pStyle w:val="Prrafodelista"/>
        <w:spacing w:after="0" w:line="240" w:lineRule="auto"/>
        <w:ind w:left="1440"/>
        <w:jc w:val="both"/>
        <w:rPr>
          <w:rFonts w:ascii="Museo Sans 300" w:hAnsi="Museo Sans 300"/>
          <w:lang w:val="es-SV"/>
        </w:rPr>
      </w:pPr>
    </w:p>
    <w:p w:rsidR="004C47BE" w:rsidRPr="00DA0268" w:rsidRDefault="004C47BE" w:rsidP="002F170A">
      <w:pPr>
        <w:spacing w:after="0" w:line="240" w:lineRule="auto"/>
        <w:ind w:left="709"/>
        <w:jc w:val="both"/>
        <w:rPr>
          <w:rFonts w:ascii="Museo Sans 300" w:hAnsi="Museo Sans 300"/>
          <w:i w:val="0"/>
        </w:rPr>
      </w:pPr>
      <w:r w:rsidRPr="00DA0268">
        <w:rPr>
          <w:rFonts w:ascii="Museo Sans 300" w:hAnsi="Museo Sans 300"/>
          <w:i w:val="0"/>
        </w:rPr>
        <w:t xml:space="preserve">El poder que se emita para tales efectos deberá:  </w:t>
      </w:r>
    </w:p>
    <w:p w:rsidR="004C47BE" w:rsidRPr="002F170A" w:rsidRDefault="004C47BE" w:rsidP="002F170A">
      <w:pPr>
        <w:pStyle w:val="Prrafodelista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</w:rPr>
        <w:t>Otorgarse en forma clara y precisa para obligar a la institución representada a responder ilimitadamente dentro y fuera del país por los actos y contratos que se celebren en El Salvador;</w:t>
      </w:r>
    </w:p>
    <w:p w:rsidR="004C47BE" w:rsidRPr="002F170A" w:rsidRDefault="004C47BE" w:rsidP="002F170A">
      <w:pPr>
        <w:pStyle w:val="Prrafodelista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Museo Sans 300" w:hAnsi="Museo Sans 300"/>
          <w:lang w:val="es-SV"/>
        </w:rPr>
      </w:pPr>
      <w:r w:rsidRPr="002F170A">
        <w:rPr>
          <w:rFonts w:ascii="Museo Sans 300" w:hAnsi="Museo Sans 300"/>
        </w:rPr>
        <w:t>Deberá cumplirse con las formalidades requeridas por la ley salvadoreña y las del país de origen de la casa matriz; y</w:t>
      </w:r>
    </w:p>
    <w:p w:rsidR="004C47BE" w:rsidRPr="002F170A" w:rsidRDefault="004C47BE" w:rsidP="002F170A">
      <w:pPr>
        <w:pStyle w:val="Prrafodelista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Museo Sans 300" w:hAnsi="Museo Sans 300"/>
          <w:lang w:val="es-SV"/>
        </w:rPr>
      </w:pPr>
      <w:r w:rsidRPr="002F170A">
        <w:rPr>
          <w:rFonts w:ascii="Museo Sans 300" w:hAnsi="Museo Sans 300"/>
          <w:lang w:val="es-SV"/>
        </w:rPr>
        <w:t>El Poder otorgado con facultades amplias y suficientes, deberá estar  inscrito en el Registro de Comercio.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C47BE" w:rsidRPr="00DA0268" w:rsidRDefault="004C47BE" w:rsidP="00151D7E">
      <w:pPr>
        <w:pStyle w:val="Prrafodelista"/>
        <w:numPr>
          <w:ilvl w:val="1"/>
          <w:numId w:val="5"/>
        </w:numPr>
        <w:ind w:left="851" w:hanging="283"/>
        <w:jc w:val="both"/>
        <w:rPr>
          <w:rFonts w:ascii="Museo Sans 300" w:hAnsi="Museo Sans 300"/>
        </w:rPr>
      </w:pPr>
      <w:r w:rsidRPr="00DA0268">
        <w:rPr>
          <w:rFonts w:ascii="Museo Sans 300" w:hAnsi="Museo Sans 300"/>
        </w:rPr>
        <w:t>Someterse expresamente a las leyes, tribunales y autoridades de El Salvador, con relación a los actos y contratos que celebre en el territorio salvadoreño y que hayan de surtir efecto en el mismo.</w:t>
      </w:r>
    </w:p>
    <w:p w:rsidR="004C47BE" w:rsidRPr="00DA0268" w:rsidRDefault="004C47BE" w:rsidP="007774B4">
      <w:pPr>
        <w:pStyle w:val="Prrafodelista"/>
        <w:tabs>
          <w:tab w:val="left" w:pos="426"/>
        </w:tabs>
        <w:spacing w:after="0" w:line="240" w:lineRule="auto"/>
        <w:ind w:left="792"/>
        <w:jc w:val="both"/>
        <w:rPr>
          <w:rFonts w:ascii="Museo Sans 300" w:hAnsi="Museo Sans 300"/>
        </w:rPr>
      </w:pPr>
    </w:p>
    <w:p w:rsidR="004C47BE" w:rsidRDefault="00127D22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>
        <w:rPr>
          <w:rFonts w:ascii="Museo Sans 300" w:hAnsi="Museo Sans 300"/>
          <w:lang w:val="es-SV"/>
        </w:rPr>
        <w:t xml:space="preserve">Estados financieros básicos </w:t>
      </w:r>
      <w:r w:rsidR="004C47BE" w:rsidRPr="00DA0268">
        <w:rPr>
          <w:rFonts w:ascii="Museo Sans 300" w:hAnsi="Museo Sans 300"/>
          <w:lang w:val="es-SV"/>
        </w:rPr>
        <w:t>de los últimos cinco años, con el correspondiente dictamen del auditor externo;</w:t>
      </w:r>
    </w:p>
    <w:p w:rsidR="007774B4" w:rsidRDefault="007774B4" w:rsidP="007774B4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</w:p>
    <w:p w:rsidR="004C47BE" w:rsidRDefault="004C47BE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774B4">
        <w:rPr>
          <w:rFonts w:ascii="Museo Sans 300" w:hAnsi="Museo Sans 300"/>
          <w:lang w:val="es-SV"/>
        </w:rPr>
        <w:t>Informe de la entidad supervisora de la casa matriz, respecto a la situación financiera de esta, por los últimos cinco años; y</w:t>
      </w:r>
    </w:p>
    <w:p w:rsidR="007774B4" w:rsidRPr="007774B4" w:rsidRDefault="007774B4" w:rsidP="007774B4">
      <w:pPr>
        <w:pStyle w:val="Prrafodelista"/>
        <w:rPr>
          <w:rFonts w:ascii="Museo Sans 300" w:hAnsi="Museo Sans 300"/>
          <w:lang w:val="es-SV"/>
        </w:rPr>
      </w:pPr>
    </w:p>
    <w:p w:rsidR="004C47BE" w:rsidRPr="007774B4" w:rsidRDefault="004C47BE" w:rsidP="00151D7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7774B4">
        <w:rPr>
          <w:rFonts w:ascii="Museo Sans 300" w:hAnsi="Museo Sans 300"/>
          <w:lang w:val="es-SV"/>
        </w:rPr>
        <w:t>Calificaciones de los últimos cinco años, emitidas por clasificadoras de riesgo internacionalmente reconocidas.</w:t>
      </w:r>
    </w:p>
    <w:p w:rsidR="004C47BE" w:rsidRPr="00DA0268" w:rsidRDefault="004C47BE" w:rsidP="004C47BE">
      <w:pPr>
        <w:tabs>
          <w:tab w:val="left" w:pos="709"/>
        </w:tabs>
        <w:spacing w:after="0" w:line="240" w:lineRule="auto"/>
        <w:jc w:val="both"/>
        <w:rPr>
          <w:rFonts w:ascii="Museo Sans 300" w:hAnsi="Museo Sans 300"/>
          <w:i w:val="0"/>
        </w:rPr>
      </w:pPr>
    </w:p>
    <w:p w:rsidR="004C47BE" w:rsidRPr="007774B4" w:rsidRDefault="004C47BE" w:rsidP="007774B4">
      <w:pPr>
        <w:spacing w:after="0" w:line="240" w:lineRule="auto"/>
        <w:jc w:val="both"/>
        <w:rPr>
          <w:rFonts w:ascii="Museo Sans 300" w:hAnsi="Museo Sans 300"/>
          <w:i w:val="0"/>
        </w:rPr>
      </w:pPr>
      <w:r w:rsidRPr="007774B4">
        <w:rPr>
          <w:rFonts w:ascii="Museo Sans 300" w:hAnsi="Museo Sans 300"/>
          <w:i w:val="0"/>
        </w:rPr>
        <w:t>Los documentos deberán cumplir con el trámite de apostille y en idioma castellano.</w:t>
      </w:r>
    </w:p>
    <w:p w:rsidR="004C47BE" w:rsidRPr="00DA0268" w:rsidRDefault="004C47BE" w:rsidP="004C47BE">
      <w:pPr>
        <w:pStyle w:val="Prrafodelista"/>
        <w:spacing w:after="0" w:line="240" w:lineRule="auto"/>
        <w:ind w:left="360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  <w:lang w:val="es-SV"/>
        </w:rPr>
        <w:t xml:space="preserve">  </w:t>
      </w:r>
    </w:p>
    <w:p w:rsidR="004C47BE" w:rsidRPr="00DA0268" w:rsidRDefault="00B651F4" w:rsidP="004C47BE">
      <w:pPr>
        <w:pStyle w:val="Prrafodelista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Museo Sans 300" w:hAnsi="Museo Sans 300"/>
          <w:b/>
          <w:lang w:val="es-SV"/>
        </w:rPr>
      </w:pPr>
      <w:r>
        <w:rPr>
          <w:rFonts w:ascii="Museo Sans 300" w:hAnsi="Museo Sans 300"/>
          <w:b/>
          <w:lang w:val="es-SV"/>
        </w:rPr>
        <w:t>RENOVACIÓN DE OFICINA DE INFORMACIÓ</w:t>
      </w:r>
      <w:r w:rsidR="004C47BE" w:rsidRPr="00DA0268">
        <w:rPr>
          <w:rFonts w:ascii="Museo Sans 300" w:hAnsi="Museo Sans 300"/>
          <w:b/>
          <w:lang w:val="es-SV"/>
        </w:rPr>
        <w:t>N</w:t>
      </w:r>
    </w:p>
    <w:p w:rsidR="004C47BE" w:rsidRPr="00DA0268" w:rsidRDefault="004C47BE" w:rsidP="004C47BE">
      <w:pPr>
        <w:pStyle w:val="Prrafodelista"/>
        <w:spacing w:after="0" w:line="240" w:lineRule="auto"/>
        <w:ind w:left="786"/>
        <w:jc w:val="both"/>
        <w:rPr>
          <w:rFonts w:ascii="Museo Sans 300" w:hAnsi="Museo Sans 300"/>
          <w:b/>
          <w:sz w:val="16"/>
          <w:szCs w:val="16"/>
          <w:u w:val="single"/>
          <w:lang w:val="es-SV"/>
        </w:rPr>
      </w:pPr>
    </w:p>
    <w:p w:rsidR="004C47BE" w:rsidRPr="00DA0268" w:rsidRDefault="004C47BE" w:rsidP="004C47BE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  <w:lang w:val="es-SV"/>
        </w:rPr>
        <w:t>Solicitud dirigida al Superintendente del Sistema Financiero, suscrita por el Representante Legal;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C47BE" w:rsidRPr="00DA0268" w:rsidRDefault="004C47BE" w:rsidP="004C47BE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  <w:lang w:val="es-SV"/>
        </w:rPr>
        <w:t>Acuerdo de la casa matriz de prorrogar el establecimiento de la oficina de información acreditada en el país;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C47BE" w:rsidRPr="00DA0268" w:rsidRDefault="004C47BE" w:rsidP="004C47BE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  <w:lang w:val="es-SV"/>
        </w:rPr>
        <w:t>Calificación actualizada de la casa matriz, como banco de primera línea, emitida por una calificadora de riesgo reconocida internacionalmente;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C47BE" w:rsidRPr="00DA0268" w:rsidRDefault="004C47BE" w:rsidP="004C47BE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  <w:lang w:val="es-SV"/>
        </w:rPr>
        <w:t>Certificación o constancia del órgano supervisor de la casa matriz, si fuere procedente, para prorrogar por dos años las operaciones de la oficina en El Salvador;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i w:val="0"/>
        </w:rPr>
      </w:pPr>
    </w:p>
    <w:p w:rsidR="004C47BE" w:rsidRPr="00DA0268" w:rsidRDefault="004C47BE" w:rsidP="004C47BE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  <w:lang w:val="es-SV"/>
        </w:rPr>
        <w:t xml:space="preserve">Renovación de la declaración de la casa matriz y poder correspondiente en la cual se hace declaración expresa de que se compromete a:  </w:t>
      </w:r>
    </w:p>
    <w:p w:rsidR="004C47BE" w:rsidRPr="00DA0268" w:rsidRDefault="004C47BE" w:rsidP="004C47BE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lang w:val="es-SV"/>
        </w:rPr>
      </w:pPr>
    </w:p>
    <w:p w:rsidR="004C47BE" w:rsidRPr="007774B4" w:rsidRDefault="004C47BE" w:rsidP="004C47BE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DA0268">
        <w:rPr>
          <w:rFonts w:ascii="Museo Sans 300" w:hAnsi="Museo Sans 300"/>
          <w:lang w:val="es-SV"/>
        </w:rPr>
        <w:t>Mantener permanentemente en la República de El Salvador, al menos un representante con facultades amplias y suficientes   para realizar todos los actos y contratos que tengan que celebrarse y surtir efectos en el territorio nacional.</w:t>
      </w:r>
    </w:p>
    <w:p w:rsidR="007774B4" w:rsidRPr="00DA0268" w:rsidRDefault="007774B4" w:rsidP="007774B4">
      <w:pPr>
        <w:pStyle w:val="Prrafodelista"/>
        <w:spacing w:after="0" w:line="240" w:lineRule="auto"/>
        <w:ind w:left="927"/>
        <w:jc w:val="both"/>
        <w:rPr>
          <w:rFonts w:ascii="Museo Sans 300" w:hAnsi="Museo Sans 300"/>
          <w:b/>
          <w:szCs w:val="20"/>
          <w:u w:val="single"/>
          <w:lang w:val="es-SV"/>
        </w:rPr>
      </w:pPr>
    </w:p>
    <w:p w:rsidR="004C47BE" w:rsidRPr="00DA0268" w:rsidRDefault="004C47BE" w:rsidP="004C47BE">
      <w:pPr>
        <w:spacing w:after="0" w:line="240" w:lineRule="auto"/>
        <w:ind w:left="219" w:firstLine="708"/>
        <w:jc w:val="both"/>
        <w:rPr>
          <w:rFonts w:ascii="Museo Sans 300" w:hAnsi="Museo Sans 300"/>
          <w:i w:val="0"/>
        </w:rPr>
      </w:pPr>
      <w:r w:rsidRPr="00DA0268">
        <w:rPr>
          <w:rFonts w:ascii="Museo Sans 300" w:hAnsi="Museo Sans 300"/>
          <w:i w:val="0"/>
        </w:rPr>
        <w:t xml:space="preserve">El poder que se emita para tales efectos deberá:  </w:t>
      </w:r>
    </w:p>
    <w:p w:rsidR="004C47BE" w:rsidRPr="00DA0268" w:rsidRDefault="004C47BE" w:rsidP="004C47B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</w:rPr>
        <w:t>otorgarse en forma clara y precisa para obligar a la institución representada a responder ilimitadamente dentro y fuera del país por los actos y contratos que se celebren en El Salvador;</w:t>
      </w:r>
    </w:p>
    <w:p w:rsidR="004C47BE" w:rsidRPr="00DA0268" w:rsidRDefault="004C47BE" w:rsidP="004C47B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</w:rPr>
        <w:t>Deberá cumplirse con las formalidades requeridas por la ley salvadoreña y las del país de origen de la casa matriz.</w:t>
      </w:r>
    </w:p>
    <w:p w:rsidR="004C47BE" w:rsidRPr="00DA0268" w:rsidRDefault="004C47BE" w:rsidP="004C47BE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sz w:val="16"/>
          <w:szCs w:val="16"/>
          <w:lang w:val="es-SV"/>
        </w:rPr>
      </w:pPr>
    </w:p>
    <w:p w:rsidR="004C47BE" w:rsidRPr="00DA0268" w:rsidRDefault="004C47BE" w:rsidP="004C47BE">
      <w:pPr>
        <w:pStyle w:val="Prrafodelista"/>
        <w:numPr>
          <w:ilvl w:val="1"/>
          <w:numId w:val="4"/>
        </w:numPr>
        <w:spacing w:after="0" w:line="240" w:lineRule="auto"/>
        <w:jc w:val="both"/>
        <w:rPr>
          <w:rFonts w:ascii="Museo Sans 300" w:hAnsi="Museo Sans 300"/>
        </w:rPr>
      </w:pPr>
      <w:r w:rsidRPr="00DA0268">
        <w:rPr>
          <w:rFonts w:ascii="Museo Sans 300" w:hAnsi="Museo Sans 300"/>
        </w:rPr>
        <w:t>Someterse expresamente a las leyes, tribunales y autoridades de El Salvador, con relación a los actos y contratos que celebre en el territorio salvadoreño y que hayan de surtir efecto en el mismo.</w:t>
      </w:r>
    </w:p>
    <w:p w:rsidR="004C47BE" w:rsidRPr="00DA0268" w:rsidRDefault="004C47BE" w:rsidP="004C47BE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sz w:val="16"/>
          <w:szCs w:val="16"/>
        </w:rPr>
      </w:pPr>
    </w:p>
    <w:p w:rsidR="004C47BE" w:rsidRPr="00DA0268" w:rsidRDefault="004C47BE" w:rsidP="004C47BE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DA0268">
        <w:rPr>
          <w:rFonts w:ascii="Museo Sans 300" w:hAnsi="Museo Sans 300"/>
          <w:szCs w:val="20"/>
          <w:lang w:val="es-SV"/>
        </w:rPr>
        <w:t>Comproban</w:t>
      </w:r>
      <w:r w:rsidR="000943A0">
        <w:rPr>
          <w:rFonts w:ascii="Museo Sans 300" w:hAnsi="Museo Sans 300"/>
          <w:szCs w:val="20"/>
          <w:lang w:val="es-SV"/>
        </w:rPr>
        <w:t xml:space="preserve">te de la inscripción del Poder en el </w:t>
      </w:r>
      <w:r w:rsidRPr="00DA0268">
        <w:rPr>
          <w:rFonts w:ascii="Museo Sans 300" w:hAnsi="Museo Sans 300"/>
          <w:szCs w:val="20"/>
          <w:lang w:val="es-SV"/>
        </w:rPr>
        <w:t>Registro de Comercio de la República de El Salvador;</w:t>
      </w:r>
    </w:p>
    <w:p w:rsidR="004C47BE" w:rsidRPr="00DA0268" w:rsidRDefault="004C47BE" w:rsidP="004C47BE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b/>
          <w:szCs w:val="20"/>
          <w:u w:val="single"/>
          <w:lang w:val="es-SV"/>
        </w:rPr>
      </w:pPr>
    </w:p>
    <w:p w:rsidR="004C47BE" w:rsidRPr="00DA0268" w:rsidRDefault="007774B4" w:rsidP="004C47BE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Museo Sans 300" w:hAnsi="Museo Sans 300"/>
          <w:b/>
          <w:szCs w:val="20"/>
          <w:u w:val="single"/>
          <w:lang w:val="es-SV"/>
        </w:rPr>
      </w:pPr>
      <w:r>
        <w:rPr>
          <w:rFonts w:ascii="Museo Sans 300" w:hAnsi="Museo Sans 300"/>
          <w:szCs w:val="20"/>
          <w:lang w:val="es-SV"/>
        </w:rPr>
        <w:t xml:space="preserve">En caso </w:t>
      </w:r>
      <w:r w:rsidR="004C47BE" w:rsidRPr="00DA0268">
        <w:rPr>
          <w:rFonts w:ascii="Museo Sans 300" w:hAnsi="Museo Sans 300"/>
          <w:szCs w:val="20"/>
          <w:lang w:val="es-SV"/>
        </w:rPr>
        <w:t xml:space="preserve">de mantenerse el mismo Apoderado, deberá presentar </w:t>
      </w:r>
      <w:r w:rsidR="000943A0">
        <w:rPr>
          <w:rFonts w:ascii="Museo Sans 300" w:hAnsi="Museo Sans 300"/>
          <w:szCs w:val="20"/>
          <w:lang w:val="es-SV"/>
        </w:rPr>
        <w:t xml:space="preserve">constancia </w:t>
      </w:r>
      <w:r w:rsidR="004C47BE" w:rsidRPr="00DA0268">
        <w:rPr>
          <w:rFonts w:ascii="Museo Sans 300" w:hAnsi="Museo Sans 300"/>
          <w:szCs w:val="20"/>
          <w:lang w:val="es-SV"/>
        </w:rPr>
        <w:t>del Registro de Co</w:t>
      </w:r>
      <w:r w:rsidR="000943A0">
        <w:rPr>
          <w:rFonts w:ascii="Museo Sans 300" w:hAnsi="Museo Sans 300"/>
          <w:szCs w:val="20"/>
          <w:lang w:val="es-SV"/>
        </w:rPr>
        <w:t>mercio en el que se indique que</w:t>
      </w:r>
      <w:r w:rsidR="004C47BE" w:rsidRPr="00DA0268">
        <w:rPr>
          <w:rFonts w:ascii="Museo Sans 300" w:hAnsi="Museo Sans 300"/>
          <w:szCs w:val="20"/>
          <w:lang w:val="es-SV"/>
        </w:rPr>
        <w:t xml:space="preserve"> </w:t>
      </w:r>
      <w:r w:rsidR="000943A0">
        <w:rPr>
          <w:rFonts w:ascii="Museo Sans 300" w:hAnsi="Museo Sans 300"/>
          <w:szCs w:val="20"/>
          <w:lang w:val="es-SV"/>
        </w:rPr>
        <w:t xml:space="preserve">el Poder otorgado se encuentra </w:t>
      </w:r>
      <w:r w:rsidR="004C47BE" w:rsidRPr="00DA0268">
        <w:rPr>
          <w:rFonts w:ascii="Museo Sans 300" w:hAnsi="Museo Sans 300"/>
          <w:szCs w:val="20"/>
          <w:lang w:val="es-SV"/>
        </w:rPr>
        <w:t>vigente por no haber presentado posterior a su inscripción, ninguna renuncia de los apoderados ni revocatoria del poderdante;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</w:p>
    <w:p w:rsidR="004C47BE" w:rsidRPr="00DA0268" w:rsidRDefault="004C47BE" w:rsidP="004C47BE">
      <w:pPr>
        <w:pStyle w:val="Prrafodelist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Museo Sans 300" w:hAnsi="Museo Sans 300"/>
          <w:lang w:val="es-SV"/>
        </w:rPr>
      </w:pPr>
      <w:r w:rsidRPr="00DA0268">
        <w:rPr>
          <w:rFonts w:ascii="Museo Sans 300" w:hAnsi="Museo Sans 300"/>
        </w:rPr>
        <w:t>Inventario de la cartera crediticia colocada en El Salvador al cierre del mes anterior a la fe</w:t>
      </w:r>
      <w:r w:rsidR="000943A0">
        <w:rPr>
          <w:rFonts w:ascii="Museo Sans 300" w:hAnsi="Museo Sans 300"/>
        </w:rPr>
        <w:t xml:space="preserve">cha de presentada la solicitud en formato </w:t>
      </w:r>
      <w:r w:rsidRPr="00DA0268">
        <w:rPr>
          <w:rFonts w:ascii="Museo Sans 300" w:hAnsi="Museo Sans 300"/>
        </w:rPr>
        <w:t>Excel y que al menos contenga los siguientes campos: número de identificación tributaria, nombre del deudor, monto colocado en US$, tasa de interés, saldo de capital más intereses, fecha de otorgamiento, fecha de vencimiento, destino de los fondos y categoría del deudor.</w:t>
      </w:r>
    </w:p>
    <w:p w:rsidR="004C47BE" w:rsidRPr="00DA0268" w:rsidRDefault="004C47BE" w:rsidP="004C47BE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:rsidR="0084253C" w:rsidRPr="003D2C1B" w:rsidRDefault="0084253C" w:rsidP="003D2C1B">
      <w:pPr>
        <w:rPr>
          <w:rFonts w:ascii="Museo Sans 300" w:hAnsi="Museo Sans 300"/>
        </w:rPr>
      </w:pPr>
    </w:p>
    <w:sectPr w:rsidR="0084253C" w:rsidRPr="003D2C1B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A5" w:rsidRDefault="00E107A5" w:rsidP="005E5D6F">
      <w:pPr>
        <w:spacing w:after="0" w:line="240" w:lineRule="auto"/>
      </w:pPr>
      <w:r>
        <w:separator/>
      </w:r>
    </w:p>
  </w:endnote>
  <w:endnote w:type="continuationSeparator" w:id="0">
    <w:p w:rsidR="00E107A5" w:rsidRDefault="00E107A5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Pr="00F22C75" w:rsidRDefault="00D901E5" w:rsidP="00D901E5">
    <w:pPr>
      <w:pStyle w:val="Piedepgina"/>
      <w:jc w:val="right"/>
      <w:rPr>
        <w:rFonts w:ascii="Calibri" w:hAnsi="Calibri"/>
        <w:i w:val="0"/>
      </w:rPr>
    </w:pPr>
    <w:r w:rsidRPr="000F5232">
      <w:rPr>
        <w:rFonts w:ascii="Calibri" w:hAnsi="Calibri"/>
      </w:rPr>
      <w:t xml:space="preserve">Página </w:t>
    </w:r>
    <w:r w:rsidR="00994B71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>PAGE</w:instrText>
    </w:r>
    <w:r w:rsidR="00994B71" w:rsidRPr="000F5232">
      <w:rPr>
        <w:rFonts w:ascii="Calibri" w:hAnsi="Calibri"/>
        <w:i w:val="0"/>
      </w:rPr>
      <w:fldChar w:fldCharType="separate"/>
    </w:r>
    <w:r w:rsidR="00A376D7">
      <w:rPr>
        <w:rFonts w:ascii="Calibri" w:hAnsi="Calibri"/>
        <w:noProof/>
      </w:rPr>
      <w:t>1</w:t>
    </w:r>
    <w:r w:rsidR="00994B71" w:rsidRPr="000F5232">
      <w:rPr>
        <w:rFonts w:ascii="Calibri" w:hAnsi="Calibri"/>
        <w:i w:val="0"/>
      </w:rPr>
      <w:fldChar w:fldCharType="end"/>
    </w:r>
    <w:r w:rsidRPr="000F5232">
      <w:rPr>
        <w:rFonts w:ascii="Calibri" w:hAnsi="Calibri"/>
      </w:rPr>
      <w:t xml:space="preserve"> de </w:t>
    </w:r>
    <w:r w:rsidR="00994B71" w:rsidRPr="000F5232">
      <w:rPr>
        <w:rFonts w:ascii="Calibri" w:hAnsi="Calibri"/>
        <w:i w:val="0"/>
      </w:rPr>
      <w:fldChar w:fldCharType="begin"/>
    </w:r>
    <w:r w:rsidRPr="000F5232">
      <w:rPr>
        <w:rFonts w:ascii="Calibri" w:hAnsi="Calibri"/>
      </w:rPr>
      <w:instrText xml:space="preserve"> SECTIONPAGES  </w:instrText>
    </w:r>
    <w:r w:rsidR="00994B71" w:rsidRPr="000F5232">
      <w:rPr>
        <w:rFonts w:ascii="Calibri" w:hAnsi="Calibri"/>
        <w:i w:val="0"/>
      </w:rPr>
      <w:fldChar w:fldCharType="separate"/>
    </w:r>
    <w:r w:rsidR="00A376D7">
      <w:rPr>
        <w:rFonts w:ascii="Calibri" w:hAnsi="Calibri"/>
        <w:noProof/>
      </w:rPr>
      <w:t>3</w:t>
    </w:r>
    <w:r w:rsidR="00994B71" w:rsidRPr="000F5232">
      <w:rPr>
        <w:rFonts w:ascii="Calibri" w:hAnsi="Calibri"/>
        <w:i w:val="0"/>
      </w:rPr>
      <w:fldChar w:fldCharType="end"/>
    </w:r>
  </w:p>
  <w:p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A5" w:rsidRDefault="00E107A5" w:rsidP="005E5D6F">
      <w:pPr>
        <w:spacing w:after="0" w:line="240" w:lineRule="auto"/>
      </w:pPr>
      <w:r>
        <w:separator/>
      </w:r>
    </w:p>
  </w:footnote>
  <w:footnote w:type="continuationSeparator" w:id="0">
    <w:p w:rsidR="00E107A5" w:rsidRDefault="00E107A5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A376D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1E5" w:rsidRDefault="00236C57" w:rsidP="004950FF">
    <w:pPr>
      <w:pStyle w:val="Encabezado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1501140</wp:posOffset>
          </wp:positionH>
          <wp:positionV relativeFrom="paragraph">
            <wp:posOffset>-231140</wp:posOffset>
          </wp:positionV>
          <wp:extent cx="2552700" cy="1543050"/>
          <wp:effectExtent l="19050" t="0" r="0" b="0"/>
          <wp:wrapNone/>
          <wp:docPr id="2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1E5" w:rsidRDefault="00D901E5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1B0B08" w:rsidP="001B0B08">
    <w:pPr>
      <w:pStyle w:val="Encabezado"/>
      <w:tabs>
        <w:tab w:val="left" w:pos="4875"/>
      </w:tabs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color w:val="2B3137"/>
        <w:sz w:val="24"/>
      </w:rPr>
      <w:tab/>
    </w:r>
    <w:r>
      <w:rPr>
        <w:rFonts w:eastAsia="Arial Unicode MS" w:cs="Arial Unicode MS"/>
        <w:b/>
        <w:color w:val="2B3137"/>
        <w:sz w:val="24"/>
      </w:rPr>
      <w:tab/>
    </w: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4950FF" w:rsidRDefault="004950FF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</w:p>
  <w:p w:rsidR="00D901E5" w:rsidRDefault="00836B82" w:rsidP="00836B82">
    <w:pPr>
      <w:pStyle w:val="Encabezado"/>
      <w:jc w:val="right"/>
      <w:rPr>
        <w:rFonts w:eastAsia="Arial Unicode MS" w:cs="Arial Unicode MS"/>
        <w:b/>
        <w:color w:val="2B3137"/>
        <w:sz w:val="24"/>
      </w:rPr>
    </w:pPr>
    <w:r w:rsidRPr="00836B82">
      <w:rPr>
        <w:rFonts w:eastAsia="Arial Unicode MS" w:cs="Arial Unicode MS"/>
        <w:b/>
        <w:color w:val="2B3137"/>
        <w:sz w:val="24"/>
      </w:rPr>
      <w:t xml:space="preserve"> </w:t>
    </w:r>
  </w:p>
  <w:p w:rsidR="004950FF" w:rsidRDefault="004950FF" w:rsidP="000E1B15">
    <w:pPr>
      <w:pStyle w:val="Encabezado"/>
      <w:jc w:val="center"/>
      <w:rPr>
        <w:rFonts w:ascii="Bembo Std" w:eastAsia="Arial Unicode MS" w:hAnsi="Bembo Std" w:cs="Arial Unicode MS"/>
        <w:b/>
        <w:color w:val="2B3137"/>
      </w:rPr>
    </w:pPr>
  </w:p>
  <w:p w:rsidR="00D901E5" w:rsidRDefault="00A376D7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left:0;text-align:left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B08" w:rsidRDefault="00A376D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0B38"/>
    <w:multiLevelType w:val="hybridMultilevel"/>
    <w:tmpl w:val="3788D194"/>
    <w:lvl w:ilvl="0" w:tplc="440A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9732D2"/>
    <w:multiLevelType w:val="hybridMultilevel"/>
    <w:tmpl w:val="F96A235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200AA"/>
    <w:multiLevelType w:val="hybridMultilevel"/>
    <w:tmpl w:val="EB940A1A"/>
    <w:lvl w:ilvl="0" w:tplc="2A6A81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2B7FF2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622160"/>
    <w:multiLevelType w:val="multilevel"/>
    <w:tmpl w:val="DBD03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65B06366"/>
    <w:multiLevelType w:val="hybridMultilevel"/>
    <w:tmpl w:val="3B0233E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ECA65B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35832"/>
    <w:multiLevelType w:val="hybridMultilevel"/>
    <w:tmpl w:val="5F222DEE"/>
    <w:lvl w:ilvl="0" w:tplc="F3DCC724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3A0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359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528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27D22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1D7E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7AF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70A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0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7BE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0F9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0FB8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912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4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4B71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6D7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33E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DB9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1F4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76C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57FB6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268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7A5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4DD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8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701B13B6"/>
  <w15:docId w15:val="{C33B930C-AD54-46E9-8B36-5C8253DB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semiHidden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4C47BE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4C47BE"/>
    <w:rPr>
      <w:rFonts w:cstheme="minorBidi"/>
      <w:i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5.xml><?xml version="1.0" encoding="utf-8"?>
<ds:datastoreItem xmlns:ds="http://schemas.openxmlformats.org/officeDocument/2006/customXml" ds:itemID="{0F4CBB78-825B-4EB6-BCB6-5E0E0716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José Antonio Ramirez Cruz</cp:lastModifiedBy>
  <cp:revision>15</cp:revision>
  <cp:lastPrinted>2019-09-13T15:27:00Z</cp:lastPrinted>
  <dcterms:created xsi:type="dcterms:W3CDTF">2020-04-28T20:13:00Z</dcterms:created>
  <dcterms:modified xsi:type="dcterms:W3CDTF">2020-07-13T21:21:00Z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