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Pr="002F5492" w:rsidRDefault="00CF35F8" w:rsidP="00AB3909">
      <w:pPr>
        <w:tabs>
          <w:tab w:val="left" w:pos="960"/>
        </w:tabs>
        <w:rPr>
          <w:rFonts w:ascii="Museo Sans 300" w:hAnsi="Museo Sans 300"/>
          <w:b/>
          <w:i w:val="0"/>
        </w:rPr>
      </w:pPr>
      <w:r>
        <w:rPr>
          <w:rFonts w:ascii="Museo Sans 300" w:hAnsi="Museo Sans 300"/>
          <w:b/>
          <w:i w:val="0"/>
          <w:noProof/>
          <w:lang w:eastAsia="es-SV"/>
        </w:rPr>
        <w:pict>
          <v:roundrect id="_x0000_s1026" style="position:absolute;margin-left:-19.95pt;margin-top:14.9pt;width:493.55pt;height:89.75pt;z-index:251658240" arcsize="10923f">
            <v:textbox style="mso-next-textbox:#_x0000_s1026">
              <w:txbxContent>
                <w:p w:rsidR="00AB3909" w:rsidRDefault="00AB3909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BCF-00</w:t>
                  </w:r>
                  <w:r w:rsidR="003F335C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7</w:t>
                  </w:r>
                  <w:r w:rsidR="002D6CB2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</w:t>
                  </w: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Autorización de </w:t>
                  </w:r>
                  <w:r w:rsidR="003F335C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fusión de entidades</w:t>
                  </w:r>
                </w:p>
                <w:p w:rsidR="00BF6DD4" w:rsidRPr="009727A0" w:rsidRDefault="00BF6DD4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AB3909" w:rsidRDefault="00AB3909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BF6DD4" w:rsidRPr="009727A0" w:rsidRDefault="00BF6DD4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Pr="009727A0" w:rsidRDefault="00582375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>
                    <w:rPr>
                      <w:rFonts w:ascii="Museo Sans 300" w:hAnsi="Museo Sans 300"/>
                      <w:i w:val="0"/>
                    </w:rPr>
                    <w:t>Fecha de última actualización: 1</w:t>
                  </w:r>
                  <w:r w:rsidR="00FF5AA7">
                    <w:rPr>
                      <w:rFonts w:ascii="Museo Sans 300" w:hAnsi="Museo Sans 300"/>
                      <w:i w:val="0"/>
                    </w:rPr>
                    <w:t>3/07</w:t>
                  </w:r>
                  <w:r w:rsidR="00AB3909"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2F5492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2F5492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2F5492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2F5492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BF6DD4" w:rsidRDefault="00BF6DD4" w:rsidP="002F5492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BF6DD4" w:rsidRDefault="00BF6DD4" w:rsidP="002F5492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BF6DD4" w:rsidRDefault="00BF6DD4" w:rsidP="002F5492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CF35F8" w:rsidRDefault="002F5492" w:rsidP="002F5492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2F5492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CF35F8" w:rsidRDefault="00CF35F8" w:rsidP="002F5492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2F5492" w:rsidRPr="00B03141" w:rsidRDefault="002F5492" w:rsidP="002F5492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bookmarkStart w:id="0" w:name="_GoBack"/>
      <w:bookmarkEnd w:id="0"/>
      <w:r w:rsidRPr="002F5492">
        <w:rPr>
          <w:rFonts w:ascii="Museo Sans 300" w:hAnsi="Museo Sans 300"/>
          <w:i w:val="0"/>
        </w:rPr>
        <w:t>Bancos</w:t>
      </w: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2F5492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2F5492" w:rsidRDefault="002F5492" w:rsidP="002F5492">
      <w:pPr>
        <w:pStyle w:val="Prrafodelista"/>
        <w:numPr>
          <w:ilvl w:val="0"/>
          <w:numId w:val="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Código de Com</w:t>
      </w:r>
      <w:r>
        <w:rPr>
          <w:rFonts w:ascii="Museo Sans 300" w:hAnsi="Museo Sans 300"/>
          <w:lang w:val="es-SV"/>
        </w:rPr>
        <w:t>ercio: Artículos del 315 al 321</w:t>
      </w:r>
    </w:p>
    <w:p w:rsidR="002F5492" w:rsidRDefault="002F5492" w:rsidP="002F5492">
      <w:pPr>
        <w:pStyle w:val="Prrafodelista"/>
        <w:numPr>
          <w:ilvl w:val="0"/>
          <w:numId w:val="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Ley de Supervisión y Regulación del Sistema Fin</w:t>
      </w:r>
      <w:r>
        <w:rPr>
          <w:rFonts w:ascii="Museo Sans 300" w:hAnsi="Museo Sans 300"/>
          <w:lang w:val="es-SV"/>
        </w:rPr>
        <w:t>anciero: Artículo 15 Literal d)</w:t>
      </w:r>
    </w:p>
    <w:p w:rsidR="002F5492" w:rsidRDefault="002F5492" w:rsidP="002F5492">
      <w:pPr>
        <w:pStyle w:val="Prrafodelista"/>
        <w:numPr>
          <w:ilvl w:val="0"/>
          <w:numId w:val="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Ley de Bancos: Artículos 21 y 229</w:t>
      </w:r>
    </w:p>
    <w:p w:rsidR="005876D4" w:rsidRPr="005876D4" w:rsidRDefault="005876D4" w:rsidP="005876D4">
      <w:pPr>
        <w:pStyle w:val="Prrafodelista"/>
        <w:numPr>
          <w:ilvl w:val="0"/>
          <w:numId w:val="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Ley contra el Lavado de Dinero y Activos</w:t>
      </w:r>
    </w:p>
    <w:p w:rsidR="002F5492" w:rsidRDefault="002F5492" w:rsidP="002F5492">
      <w:pPr>
        <w:pStyle w:val="Prrafodelista"/>
        <w:numPr>
          <w:ilvl w:val="0"/>
          <w:numId w:val="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Ley de Competencia</w:t>
      </w:r>
      <w:r>
        <w:rPr>
          <w:rFonts w:ascii="Museo Sans 300" w:hAnsi="Museo Sans 300"/>
          <w:lang w:val="es-SV"/>
        </w:rPr>
        <w:t>: Artículos 31 al 36</w:t>
      </w:r>
    </w:p>
    <w:p w:rsidR="002F5492" w:rsidRPr="002F5492" w:rsidRDefault="002F5492" w:rsidP="002F5492">
      <w:pPr>
        <w:pStyle w:val="Prrafodelista"/>
        <w:numPr>
          <w:ilvl w:val="0"/>
          <w:numId w:val="3"/>
        </w:numPr>
        <w:tabs>
          <w:tab w:val="left" w:pos="851"/>
        </w:tabs>
        <w:spacing w:after="0" w:line="240" w:lineRule="auto"/>
        <w:ind w:left="284" w:hanging="284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Normas para la modificación de pactos sociales de los Bancos (NPB4-34) (Arts. del 7 al 11).</w:t>
      </w:r>
    </w:p>
    <w:p w:rsidR="002F5492" w:rsidRPr="002F5492" w:rsidRDefault="002F5492" w:rsidP="002F549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:rsidR="002F5492" w:rsidRPr="002F5492" w:rsidRDefault="002F5492" w:rsidP="002F549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2F5492">
        <w:rPr>
          <w:rFonts w:ascii="Museo Sans 300" w:hAnsi="Museo Sans 300"/>
          <w:b/>
          <w:szCs w:val="20"/>
          <w:u w:val="single"/>
          <w:lang w:val="es-SV"/>
        </w:rPr>
        <w:t>Requisitos a presentar:</w:t>
      </w: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2F5492" w:rsidRPr="002F5492" w:rsidRDefault="002F5492" w:rsidP="004A679B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b/>
          <w:lang w:val="es-SV"/>
        </w:rPr>
        <w:t xml:space="preserve">AUTORIZACIÓN PARA EL INICIO DEL PROCESO DE FUSIÓN 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Default="002F5492" w:rsidP="002F5492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Solicitud de autorización para d</w:t>
      </w:r>
      <w:r w:rsidR="002A141C">
        <w:rPr>
          <w:rFonts w:ascii="Museo Sans 300" w:hAnsi="Museo Sans 300"/>
          <w:lang w:val="es-SV"/>
        </w:rPr>
        <w:t xml:space="preserve">ar inicio al proceso de fusión </w:t>
      </w:r>
      <w:r w:rsidRPr="002F5492">
        <w:rPr>
          <w:rFonts w:ascii="Museo Sans 300" w:hAnsi="Museo Sans 300"/>
          <w:lang w:val="es-SV"/>
        </w:rPr>
        <w:t>dirigida al Superintendente del Sistema Financiero, suscrita por la persona designada para ejecutar el acuerdo o por el Representante Legal, indicando:</w:t>
      </w:r>
    </w:p>
    <w:p w:rsidR="00B1327D" w:rsidRPr="002F5492" w:rsidRDefault="00B1327D" w:rsidP="00B1327D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2F5492" w:rsidRPr="002F5492" w:rsidRDefault="00F63643" w:rsidP="002F5492">
      <w:pPr>
        <w:pStyle w:val="Prrafodelist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El tipo de fusión </w:t>
      </w:r>
      <w:r w:rsidR="002F5492" w:rsidRPr="002F5492">
        <w:rPr>
          <w:rFonts w:ascii="Museo Sans 300" w:hAnsi="Museo Sans 300"/>
          <w:lang w:val="es-SV"/>
        </w:rPr>
        <w:t>a realizar;</w:t>
      </w:r>
    </w:p>
    <w:p w:rsidR="002F5492" w:rsidRPr="002F5492" w:rsidRDefault="002F5492" w:rsidP="002F5492">
      <w:pPr>
        <w:pStyle w:val="Prrafodelist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Sociedades involucradas; y</w:t>
      </w:r>
    </w:p>
    <w:p w:rsidR="002F5492" w:rsidRPr="002F5492" w:rsidRDefault="00F63643" w:rsidP="002F5492">
      <w:pPr>
        <w:pStyle w:val="Prrafodelist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Solicitud expresa </w:t>
      </w:r>
      <w:r w:rsidR="002F5492" w:rsidRPr="002F5492">
        <w:rPr>
          <w:rFonts w:ascii="Museo Sans 300" w:hAnsi="Museo Sans 300"/>
          <w:lang w:val="es-SV"/>
        </w:rPr>
        <w:t xml:space="preserve">para que esta Superintendencia autorice el </w:t>
      </w:r>
      <w:r>
        <w:rPr>
          <w:rFonts w:ascii="Museo Sans 300" w:hAnsi="Museo Sans 300"/>
          <w:lang w:val="es-SV"/>
        </w:rPr>
        <w:t xml:space="preserve">respectivo acuerdo de fusión y </w:t>
      </w:r>
      <w:r w:rsidR="002F5492" w:rsidRPr="002F5492">
        <w:rPr>
          <w:rFonts w:ascii="Museo Sans 300" w:hAnsi="Museo Sans 300"/>
          <w:lang w:val="es-SV"/>
        </w:rPr>
        <w:t xml:space="preserve">el Superintendente anote la razón correspondiente en el mismo. </w:t>
      </w:r>
    </w:p>
    <w:p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2F5492" w:rsidRPr="002F5492" w:rsidRDefault="00F63643" w:rsidP="002F5492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b/>
          <w:lang w:val="es-SV"/>
        </w:rPr>
      </w:pPr>
      <w:r>
        <w:rPr>
          <w:rFonts w:ascii="Museo Sans 300" w:hAnsi="Museo Sans 300"/>
          <w:lang w:val="es-SV"/>
        </w:rPr>
        <w:t>Copia </w:t>
      </w:r>
      <w:r w:rsidR="002F5492" w:rsidRPr="002F5492">
        <w:rPr>
          <w:rFonts w:ascii="Museo Sans 300" w:hAnsi="Museo Sans 300"/>
          <w:lang w:val="es-SV"/>
        </w:rPr>
        <w:t>de las publicaciones de la convocatoria para la junta general extraordina</w:t>
      </w:r>
      <w:r>
        <w:rPr>
          <w:rFonts w:ascii="Museo Sans 300" w:hAnsi="Museo Sans 300"/>
          <w:lang w:val="es-SV"/>
        </w:rPr>
        <w:t>ria de accionistas, las cuales </w:t>
      </w:r>
      <w:r w:rsidR="002F5492" w:rsidRPr="002F5492">
        <w:rPr>
          <w:rFonts w:ascii="Museo Sans 300" w:hAnsi="Museo Sans 300"/>
          <w:lang w:val="es-SV"/>
        </w:rPr>
        <w:t>deberán haberse publicado en el Diario Oficial y en un diario de circula</w:t>
      </w:r>
      <w:r w:rsidR="0099171E">
        <w:rPr>
          <w:rFonts w:ascii="Museo Sans 300" w:hAnsi="Museo Sans 300"/>
          <w:lang w:val="es-SV"/>
        </w:rPr>
        <w:t>ción nacional, por tres veces, </w:t>
      </w:r>
      <w:r w:rsidR="002F5492" w:rsidRPr="002F5492">
        <w:rPr>
          <w:rFonts w:ascii="Museo Sans 300" w:hAnsi="Museo Sans 300"/>
          <w:lang w:val="es-SV"/>
        </w:rPr>
        <w:t>con quince días de anticipación a la fecha de realización de la referida junta. Las publicaciones deberán ser en forma alterna.</w:t>
      </w:r>
    </w:p>
    <w:p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b/>
          <w:lang w:val="es-SV"/>
        </w:rPr>
      </w:pPr>
    </w:p>
    <w:p w:rsidR="002F5492" w:rsidRPr="002F5492" w:rsidRDefault="002F5492" w:rsidP="002F5492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Certificación del Punto de Acta tomado por la Junta General</w:t>
      </w:r>
      <w:r w:rsidR="003F0484">
        <w:rPr>
          <w:rFonts w:ascii="Museo Sans 300" w:hAnsi="Museo Sans 300"/>
          <w:lang w:val="es-SV"/>
        </w:rPr>
        <w:t xml:space="preserve"> Extraordinaria</w:t>
      </w:r>
      <w:r w:rsidRPr="002F5492">
        <w:rPr>
          <w:rFonts w:ascii="Museo Sans 300" w:hAnsi="Museo Sans 300"/>
          <w:lang w:val="es-SV"/>
        </w:rPr>
        <w:t xml:space="preserve"> de Accionistas, en el que se acordó llevar a cabo la fusión;</w:t>
      </w:r>
    </w:p>
    <w:p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2F5492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Motivos y justificación documentada sobre la decisión de la fusión;</w:t>
      </w: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2F5492" w:rsidRDefault="002F5492" w:rsidP="002F5492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Certificación de la resolución emitida por la Superintendencia de Competencia con la correspondiente autorización, cuando corresponda;</w:t>
      </w:r>
    </w:p>
    <w:p w:rsidR="00FE1BD3" w:rsidRPr="00FE1BD3" w:rsidRDefault="00FE1BD3" w:rsidP="00FE1BD3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2F5492" w:rsidRPr="002F5492" w:rsidRDefault="002F5492" w:rsidP="002F5492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Copia del actual pacto social inscrito en el Registro de Comercio; y</w:t>
      </w:r>
    </w:p>
    <w:p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2F5492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 xml:space="preserve">Plan de fusión que contenga un cronograma proyectado de actividades a desarrollar para ejecutar la fusión.  </w:t>
      </w:r>
    </w:p>
    <w:p w:rsidR="002F5492" w:rsidRPr="002F5492" w:rsidRDefault="002F5492" w:rsidP="002F549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i w:val="0"/>
        </w:rPr>
      </w:pPr>
      <w:r w:rsidRPr="002F5492">
        <w:rPr>
          <w:rFonts w:ascii="Museo Sans 300" w:hAnsi="Museo Sans 300"/>
          <w:i w:val="0"/>
        </w:rPr>
        <w:t xml:space="preserve">La información antes señalada deberá ser presentada en </w:t>
      </w:r>
      <w:r w:rsidR="000E7CB6">
        <w:rPr>
          <w:rFonts w:ascii="Museo Sans 300" w:hAnsi="Museo Sans 300"/>
          <w:i w:val="0"/>
        </w:rPr>
        <w:t xml:space="preserve">forma individual, </w:t>
      </w:r>
      <w:r w:rsidRPr="002F5492">
        <w:rPr>
          <w:rFonts w:ascii="Museo Sans 300" w:hAnsi="Museo Sans 300"/>
          <w:i w:val="0"/>
        </w:rPr>
        <w:t xml:space="preserve">por cada una de las entidades a fusionarse. </w:t>
      </w: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2F5492" w:rsidRPr="00EB0ADD" w:rsidRDefault="002F5492" w:rsidP="004A679B">
      <w:pPr>
        <w:pStyle w:val="Prrafodelista"/>
        <w:numPr>
          <w:ilvl w:val="0"/>
          <w:numId w:val="4"/>
        </w:numPr>
        <w:spacing w:after="0" w:line="240" w:lineRule="auto"/>
        <w:ind w:left="567" w:hanging="501"/>
        <w:jc w:val="both"/>
        <w:rPr>
          <w:rFonts w:ascii="Museo Sans 300" w:hAnsi="Museo Sans 300"/>
          <w:b/>
          <w:u w:val="single"/>
          <w:lang w:val="es-SV"/>
        </w:rPr>
      </w:pPr>
      <w:r w:rsidRPr="00EB0ADD">
        <w:rPr>
          <w:rFonts w:ascii="Museo Sans 300" w:hAnsi="Museo Sans 300"/>
          <w:b/>
          <w:lang w:val="es-SV"/>
        </w:rPr>
        <w:t>AUTORIZACIÓN DEL PROCESO DE FUSIÓN</w:t>
      </w:r>
    </w:p>
    <w:p w:rsidR="002F5492" w:rsidRPr="002F5492" w:rsidRDefault="002F5492" w:rsidP="002F5492">
      <w:pPr>
        <w:spacing w:after="0" w:line="240" w:lineRule="auto"/>
        <w:ind w:left="66"/>
        <w:jc w:val="both"/>
        <w:rPr>
          <w:rFonts w:ascii="Museo Sans 300" w:hAnsi="Museo Sans 300"/>
          <w:b/>
          <w:i w:val="0"/>
          <w:u w:val="single"/>
        </w:rPr>
      </w:pPr>
    </w:p>
    <w:p w:rsidR="002F5492" w:rsidRPr="002F5492" w:rsidRDefault="000E7CB6" w:rsidP="002F5492">
      <w:pPr>
        <w:spacing w:after="0" w:line="240" w:lineRule="auto"/>
        <w:jc w:val="both"/>
        <w:rPr>
          <w:rFonts w:ascii="Museo Sans 300" w:hAnsi="Museo Sans 300"/>
          <w:i w:val="0"/>
        </w:rPr>
      </w:pPr>
      <w:r>
        <w:rPr>
          <w:rFonts w:ascii="Museo Sans 300" w:hAnsi="Museo Sans 300"/>
          <w:i w:val="0"/>
        </w:rPr>
        <w:t xml:space="preserve">Una vez obtenida </w:t>
      </w:r>
      <w:r w:rsidR="002F5492" w:rsidRPr="002F5492">
        <w:rPr>
          <w:rFonts w:ascii="Museo Sans 300" w:hAnsi="Museo Sans 300"/>
          <w:i w:val="0"/>
        </w:rPr>
        <w:t>la autorización para el inicio del proceso de fusión con la razón suscrita por el Superintendente del Sistema Financier</w:t>
      </w:r>
      <w:r w:rsidR="00B31CD5">
        <w:rPr>
          <w:rFonts w:ascii="Museo Sans 300" w:hAnsi="Museo Sans 300"/>
          <w:i w:val="0"/>
        </w:rPr>
        <w:t xml:space="preserve">o en los respectivos acuerdos, </w:t>
      </w:r>
      <w:r w:rsidR="002F5492" w:rsidRPr="002F5492">
        <w:rPr>
          <w:rFonts w:ascii="Museo Sans 300" w:hAnsi="Museo Sans 300"/>
          <w:i w:val="0"/>
        </w:rPr>
        <w:t xml:space="preserve">así como la inscripción en el Registro de Comercio, deberá  remitir a esta Superintendencia: </w:t>
      </w: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2F5492" w:rsidRDefault="002F5492" w:rsidP="009D2C43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Solicitud dirigida al Superintendente del Sistema Financiero suscrita por la persona designada para ejecutar la fusión o el Representante Legal, en la que solicite autorización de:</w:t>
      </w:r>
    </w:p>
    <w:p w:rsidR="00EB564C" w:rsidRPr="00EB564C" w:rsidRDefault="00EB564C" w:rsidP="00EB564C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2F5492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Llevar a cabo la fusión;</w:t>
      </w:r>
    </w:p>
    <w:p w:rsidR="002F5492" w:rsidRPr="002F5492" w:rsidRDefault="002F5492" w:rsidP="002F5492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2F5492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Modificar la escritura del Pacto Social o Estatutos;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9D2C43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 xml:space="preserve">Constancia de la inscripción de los acuerdos de Junta General </w:t>
      </w:r>
      <w:r w:rsidR="00EB564C">
        <w:rPr>
          <w:rFonts w:ascii="Museo Sans 300" w:hAnsi="Museo Sans 300"/>
          <w:lang w:val="es-SV"/>
        </w:rPr>
        <w:t xml:space="preserve">Extraordinaria </w:t>
      </w:r>
      <w:r w:rsidRPr="002F5492">
        <w:rPr>
          <w:rFonts w:ascii="Museo Sans 300" w:hAnsi="Museo Sans 300"/>
          <w:lang w:val="es-SV"/>
        </w:rPr>
        <w:t>de Accionistas en el Registro de Comercio de la República de El Salvador.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9D2C43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Copia de las publicaciones del acuerdo de fusión inscrito y último balance auditado de las sociedades a fusionar, por una sola vez en dos diarios de circulación nacional;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b/>
          <w:u w:val="single"/>
          <w:lang w:val="es-SV"/>
        </w:rPr>
      </w:pPr>
    </w:p>
    <w:p w:rsidR="002F5492" w:rsidRPr="002F5492" w:rsidRDefault="002F5492" w:rsidP="009D2C43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b/>
          <w:u w:val="single"/>
          <w:lang w:val="es-SV"/>
        </w:rPr>
      </w:pPr>
      <w:r w:rsidRPr="002F5492">
        <w:rPr>
          <w:rFonts w:ascii="Museo Sans 300" w:hAnsi="Museo Sans 300"/>
          <w:lang w:val="es-SV"/>
        </w:rPr>
        <w:t>Proyecto de la escritura del nuevo Pacto Social con las modificaciones por fusión de sociedades para su respectiva autorización;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9D2C43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lastRenderedPageBreak/>
        <w:t>Cuadro comparativo de la redacción vigente y nueva de las cláusulas a revisar en el pacto social de la sociedad absorbente;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9D2C43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Cuadro que contenga la situación accionaria de la entidad después de la fusión, detallando el porcentaje de participación accionaria de cada una de las entidades a fusionar, número de acciones y capital social;</w:t>
      </w:r>
    </w:p>
    <w:p w:rsidR="002F5492" w:rsidRPr="002F5492" w:rsidRDefault="002F5492" w:rsidP="002F5492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2F5492" w:rsidRP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Estructura organizacional del nuevo Grupo Financiero una vez se lleve a cabo la fusión, en los casos en que aplique;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Estados Financieros proyectados de la sociedad absorbente consolidado con las sociedades absorbidas;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Fondo patrimonial proyectado de la sociedad absorbente consolidado con las sociedades absorbidas;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Documentación en la cual se establezca no objeción de la Casa Matri</w:t>
      </w:r>
      <w:r w:rsidR="00D61868">
        <w:rPr>
          <w:rFonts w:ascii="Museo Sans 300" w:hAnsi="Museo Sans 300"/>
          <w:lang w:val="es-SV"/>
        </w:rPr>
        <w:t>z para llevar a cabo la fusión,</w:t>
      </w:r>
      <w:r w:rsidRPr="002F5492">
        <w:rPr>
          <w:rFonts w:ascii="Museo Sans 300" w:hAnsi="Museo Sans 300"/>
          <w:lang w:val="es-SV"/>
        </w:rPr>
        <w:t xml:space="preserve"> en los casos que aplique;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b/>
          <w:u w:val="single"/>
          <w:lang w:val="es-SV"/>
        </w:rPr>
      </w:pPr>
    </w:p>
    <w:p w:rsidR="002F5492" w:rsidRP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b/>
          <w:u w:val="single"/>
          <w:lang w:val="es-SV"/>
        </w:rPr>
      </w:pPr>
      <w:r w:rsidRPr="002F5492">
        <w:rPr>
          <w:rFonts w:ascii="Museo Sans 300" w:hAnsi="Museo Sans 300"/>
          <w:lang w:val="es-SV"/>
        </w:rPr>
        <w:t>Certificaciones emitidas por los Auditores Externos de las sociedades involucradas referentes a que el capital social se encuentra totalmente suscrito y pagado;</w:t>
      </w:r>
    </w:p>
    <w:p w:rsidR="000F607D" w:rsidRDefault="000F607D" w:rsidP="000F607D">
      <w:pPr>
        <w:pStyle w:val="Prrafodelista"/>
        <w:rPr>
          <w:rFonts w:ascii="Museo Sans 300" w:hAnsi="Museo Sans 300"/>
          <w:lang w:val="es-SV"/>
        </w:rPr>
      </w:pPr>
    </w:p>
    <w:p w:rsid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Requerimientos tecnológicos:</w:t>
      </w:r>
    </w:p>
    <w:p w:rsidR="000F607D" w:rsidRPr="000F607D" w:rsidRDefault="000F607D" w:rsidP="000F607D">
      <w:pPr>
        <w:pStyle w:val="Prrafodelista"/>
        <w:rPr>
          <w:rFonts w:ascii="Museo Sans 300" w:hAnsi="Museo Sans 300"/>
          <w:lang w:val="es-SV"/>
        </w:rPr>
      </w:pPr>
    </w:p>
    <w:p w:rsidR="002F5492" w:rsidRDefault="002F5492" w:rsidP="00E21D84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Proceso de fusión a nivel tecnológico y validación del funcionamiento del mismo;</w:t>
      </w:r>
    </w:p>
    <w:p w:rsidR="002F5492" w:rsidRDefault="002F5492" w:rsidP="00E21D84">
      <w:pPr>
        <w:pStyle w:val="Prrafodelista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Descripción de la nueva área de tecnología de información que como mínimo incluya: organigrama del área, plan estratégico, cronograma del proyecto de fusión, herramientas de seguridad, ubicación física del centro de datos y sitio alterno;</w:t>
      </w:r>
    </w:p>
    <w:p w:rsidR="000F607D" w:rsidRPr="00812F8D" w:rsidRDefault="002F5492" w:rsidP="000F607D">
      <w:pPr>
        <w:pStyle w:val="Prrafodelista"/>
        <w:numPr>
          <w:ilvl w:val="1"/>
          <w:numId w:val="5"/>
        </w:numPr>
        <w:spacing w:after="0" w:line="240" w:lineRule="auto"/>
        <w:ind w:left="993" w:hanging="567"/>
        <w:jc w:val="both"/>
        <w:rPr>
          <w:rFonts w:ascii="Museo Sans 300" w:hAnsi="Museo Sans 300"/>
          <w:lang w:val="es-SV"/>
        </w:rPr>
      </w:pPr>
      <w:r w:rsidRPr="00812F8D">
        <w:rPr>
          <w:rFonts w:ascii="Museo Sans 300" w:hAnsi="Museo Sans 300"/>
          <w:lang w:val="es-SV"/>
        </w:rPr>
        <w:t>Descripción de todos los servicios informáticos imp</w:t>
      </w:r>
      <w:r w:rsidR="00AE1BE1">
        <w:rPr>
          <w:rFonts w:ascii="Museo Sans 300" w:hAnsi="Museo Sans 300"/>
          <w:lang w:val="es-SV"/>
        </w:rPr>
        <w:t xml:space="preserve">lementados incluyendo para los </w:t>
      </w:r>
      <w:r w:rsidRPr="00812F8D">
        <w:rPr>
          <w:rFonts w:ascii="Museo Sans 300" w:hAnsi="Museo Sans 300"/>
          <w:lang w:val="es-SV"/>
        </w:rPr>
        <w:t>tercerizados, la información del proveedor;</w:t>
      </w:r>
    </w:p>
    <w:p w:rsidR="002F5492" w:rsidRPr="000F607D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Plan de contingencia:</w:t>
      </w:r>
    </w:p>
    <w:p w:rsidR="002F5492" w:rsidRPr="002F5492" w:rsidRDefault="002F5492" w:rsidP="002F5492">
      <w:pPr>
        <w:pStyle w:val="Prrafodelista"/>
        <w:numPr>
          <w:ilvl w:val="0"/>
          <w:numId w:val="7"/>
        </w:numPr>
        <w:spacing w:after="0" w:line="240" w:lineRule="auto"/>
        <w:ind w:left="1302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</w:rPr>
        <w:t>Análisis de Impacto en el Negocio</w:t>
      </w:r>
      <w:r w:rsidRPr="002F5492">
        <w:rPr>
          <w:rFonts w:ascii="Museo Sans 300" w:hAnsi="Museo Sans 300"/>
          <w:lang w:val="es-SV"/>
        </w:rPr>
        <w:t xml:space="preserve"> (BIA);</w:t>
      </w:r>
    </w:p>
    <w:p w:rsidR="002F5492" w:rsidRPr="002F5492" w:rsidRDefault="002F5492" w:rsidP="002F5492">
      <w:pPr>
        <w:pStyle w:val="Prrafodelista"/>
        <w:numPr>
          <w:ilvl w:val="0"/>
          <w:numId w:val="7"/>
        </w:numPr>
        <w:spacing w:after="0" w:line="240" w:lineRule="auto"/>
        <w:ind w:left="1302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</w:rPr>
        <w:t>Plan de continuidad del Negocio</w:t>
      </w:r>
      <w:r w:rsidRPr="002F5492">
        <w:rPr>
          <w:rFonts w:ascii="Museo Sans 300" w:hAnsi="Museo Sans 300"/>
          <w:lang w:val="es-SV"/>
        </w:rPr>
        <w:t xml:space="preserve"> (BCP); y</w:t>
      </w:r>
    </w:p>
    <w:p w:rsidR="000F607D" w:rsidRPr="000F607D" w:rsidRDefault="002F5492" w:rsidP="000F607D">
      <w:pPr>
        <w:pStyle w:val="Prrafodelista"/>
        <w:numPr>
          <w:ilvl w:val="0"/>
          <w:numId w:val="7"/>
        </w:numPr>
        <w:spacing w:after="0" w:line="240" w:lineRule="auto"/>
        <w:ind w:left="1302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</w:rPr>
        <w:t>Plan de recuperación ante Desastres (DRP)</w:t>
      </w:r>
      <w:r w:rsidRPr="002F5492">
        <w:rPr>
          <w:rFonts w:ascii="Museo Sans 300" w:hAnsi="Museo Sans 300"/>
          <w:lang w:val="es-SV"/>
        </w:rPr>
        <w:t>.</w:t>
      </w:r>
    </w:p>
    <w:p w:rsidR="002F5492" w:rsidRPr="000F607D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Museo Sans 300" w:hAnsi="Museo Sans 300"/>
          <w:b/>
          <w:i/>
        </w:rPr>
      </w:pPr>
      <w:r w:rsidRPr="000F607D">
        <w:rPr>
          <w:rFonts w:ascii="Museo Sans 300" w:hAnsi="Museo Sans 300"/>
          <w:lang w:val="es-SV"/>
        </w:rPr>
        <w:t>Inventario de aplicaciones que se mantendrán en producción, en donde se incluya descripción y características;</w:t>
      </w:r>
    </w:p>
    <w:p w:rsidR="002F5492" w:rsidRPr="000F607D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Museo Sans 300" w:hAnsi="Museo Sans 300"/>
          <w:b/>
          <w:i/>
        </w:rPr>
      </w:pPr>
      <w:r w:rsidRPr="000F607D">
        <w:rPr>
          <w:rFonts w:ascii="Museo Sans 300" w:hAnsi="Museo Sans 300"/>
          <w:lang w:val="es-SV"/>
        </w:rPr>
        <w:t>Plan de migración de datos;</w:t>
      </w:r>
    </w:p>
    <w:p w:rsidR="002F5492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0F607D">
        <w:rPr>
          <w:rFonts w:ascii="Museo Sans 300" w:hAnsi="Museo Sans 300"/>
        </w:rPr>
        <w:t xml:space="preserve">Diagramas de comunicaciones (en el que se pueda visualizar como está conformada la infraestructura de red de las entidades), que incluya los enlaces </w:t>
      </w:r>
      <w:r w:rsidRPr="000F607D">
        <w:rPr>
          <w:rFonts w:ascii="Museo Sans 300" w:hAnsi="Museo Sans 300"/>
        </w:rPr>
        <w:lastRenderedPageBreak/>
        <w:t>o conexi</w:t>
      </w:r>
      <w:r w:rsidR="00833C29">
        <w:rPr>
          <w:rFonts w:ascii="Museo Sans 300" w:hAnsi="Museo Sans 300"/>
        </w:rPr>
        <w:t xml:space="preserve">ones hacia entidades externas, </w:t>
      </w:r>
      <w:r w:rsidRPr="000F607D">
        <w:rPr>
          <w:rFonts w:ascii="Museo Sans 300" w:hAnsi="Museo Sans 300"/>
        </w:rPr>
        <w:t>así como si los equipos son servidores físicos y virtuales;</w:t>
      </w:r>
    </w:p>
    <w:p w:rsidR="002F5492" w:rsidRPr="000F607D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0F607D">
        <w:rPr>
          <w:rFonts w:ascii="Museo Sans 300" w:hAnsi="Museo Sans 300"/>
          <w:lang w:val="es-SV"/>
        </w:rPr>
        <w:t>Análisis de riesgos y el sistema de gestión de seguridad de la información implementado o por implementar, que incluya como mínimo la Política de Seguridad Informática;</w:t>
      </w:r>
    </w:p>
    <w:p w:rsidR="002F5492" w:rsidRPr="000F607D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0F607D">
        <w:rPr>
          <w:rFonts w:ascii="Museo Sans 300" w:hAnsi="Museo Sans 300"/>
          <w:lang w:val="es-SV"/>
        </w:rPr>
        <w:t>Manuales y Políticas de gestión de riesgos: crédito, operacional, mercado y liquidez, LA-FT;</w:t>
      </w:r>
    </w:p>
    <w:p w:rsidR="002F5492" w:rsidRPr="000F607D" w:rsidRDefault="002F5492" w:rsidP="000F607D">
      <w:pPr>
        <w:pStyle w:val="Prrafodelist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993" w:hanging="567"/>
        <w:jc w:val="both"/>
        <w:rPr>
          <w:rFonts w:ascii="Museo Sans 300" w:hAnsi="Museo Sans 300"/>
        </w:rPr>
      </w:pPr>
      <w:r w:rsidRPr="000F607D">
        <w:rPr>
          <w:rFonts w:ascii="Museo Sans 300" w:hAnsi="Museo Sans 300"/>
          <w:lang w:val="es-SV"/>
        </w:rPr>
        <w:t xml:space="preserve">Documentación de </w:t>
      </w:r>
      <w:r w:rsidR="001F6A5F">
        <w:rPr>
          <w:rFonts w:ascii="Museo Sans 300" w:hAnsi="Museo Sans 300"/>
          <w:lang w:val="es-SV"/>
        </w:rPr>
        <w:t>las pruebas de TI efectuadas en</w:t>
      </w:r>
      <w:r w:rsidRPr="000F607D">
        <w:rPr>
          <w:rFonts w:ascii="Museo Sans 300" w:hAnsi="Museo Sans 300"/>
          <w:lang w:val="es-SV"/>
        </w:rPr>
        <w:t xml:space="preserve"> el proceso de fusión, así como las actas o certificación de usuario y los informes de revisión por parte de auditoría interna;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Requerimientos para prevención de lavado de dinero y financiamiento del terrorismo (LA/FT):</w:t>
      </w:r>
    </w:p>
    <w:p w:rsidR="002F5492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Nombramiento del Oficial de Cumplimiento aprobado por Junta Directiva;</w:t>
      </w:r>
    </w:p>
    <w:p w:rsidR="002F5492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Manual de Prevención de LA/FT aprobado por Junta Directiva;</w:t>
      </w:r>
    </w:p>
    <w:p w:rsidR="002F5492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Manual del Sistema de Monitoreo a utilizar;</w:t>
      </w:r>
    </w:p>
    <w:p w:rsidR="002F5492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Detalle de las alertas parametrizadas en el Sistema de Monitoreo;</w:t>
      </w:r>
    </w:p>
    <w:p w:rsidR="002F5492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Detalle de productos y servicios ofrecidos al público; y</w:t>
      </w:r>
    </w:p>
    <w:p w:rsidR="002F5492" w:rsidRPr="000F607D" w:rsidRDefault="002F5492" w:rsidP="000F607D">
      <w:pPr>
        <w:pStyle w:val="Prrafodelista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Museo Sans 300" w:hAnsi="Museo Sans 300"/>
          <w:lang w:val="es-SV"/>
        </w:rPr>
      </w:pPr>
      <w:r w:rsidRPr="000F607D">
        <w:rPr>
          <w:rFonts w:ascii="Museo Sans 300" w:hAnsi="Museo Sans 300"/>
          <w:lang w:val="es-SV"/>
        </w:rPr>
        <w:t>Programa de capacitaciones en materia de LA/FT.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2F5492" w:rsidRPr="002F5492" w:rsidRDefault="002F5492" w:rsidP="00E21D84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5492">
        <w:rPr>
          <w:rFonts w:ascii="Museo Sans 300" w:hAnsi="Museo Sans 300"/>
          <w:lang w:val="es-SV"/>
        </w:rPr>
        <w:t>Detalle del número de agencias y/o establecimientos, cajeros aut</w:t>
      </w:r>
      <w:r w:rsidR="00C10A0F">
        <w:rPr>
          <w:rFonts w:ascii="Museo Sans 300" w:hAnsi="Museo Sans 300"/>
          <w:lang w:val="es-SV"/>
        </w:rPr>
        <w:t xml:space="preserve">omáticos y número de empleados </w:t>
      </w:r>
      <w:r w:rsidRPr="002F5492">
        <w:rPr>
          <w:rFonts w:ascii="Museo Sans 300" w:hAnsi="Museo Sans 300"/>
          <w:lang w:val="es-SV"/>
        </w:rPr>
        <w:t>de las entidades antes y después de la fusión; y</w:t>
      </w:r>
    </w:p>
    <w:p w:rsidR="002F5492" w:rsidRPr="002F5492" w:rsidRDefault="002F5492" w:rsidP="002F5492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:rsidR="0084253C" w:rsidRPr="009D2C43" w:rsidRDefault="002F5492" w:rsidP="003D2C1B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9D2C43">
        <w:rPr>
          <w:rFonts w:ascii="Museo Sans 300" w:hAnsi="Museo Sans 300"/>
          <w:lang w:val="es-SV"/>
        </w:rPr>
        <w:t>Detallar el proceso de cambio de imagen y sustitución de papelería si es procedente.</w:t>
      </w:r>
    </w:p>
    <w:sectPr w:rsidR="0084253C" w:rsidRPr="009D2C43" w:rsidSect="00BF6DD4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304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10" w:rsidRDefault="00E01F10" w:rsidP="005E5D6F">
      <w:pPr>
        <w:spacing w:after="0" w:line="240" w:lineRule="auto"/>
      </w:pPr>
      <w:r>
        <w:separator/>
      </w:r>
    </w:p>
  </w:endnote>
  <w:endnote w:type="continuationSeparator" w:id="0">
    <w:p w:rsidR="00E01F10" w:rsidRDefault="00E01F10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B46F14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B46F14" w:rsidRPr="000F5232">
      <w:rPr>
        <w:rFonts w:ascii="Calibri" w:hAnsi="Calibri"/>
        <w:i w:val="0"/>
      </w:rPr>
      <w:fldChar w:fldCharType="separate"/>
    </w:r>
    <w:r w:rsidR="00CF35F8">
      <w:rPr>
        <w:rFonts w:ascii="Calibri" w:hAnsi="Calibri"/>
        <w:noProof/>
      </w:rPr>
      <w:t>1</w:t>
    </w:r>
    <w:r w:rsidR="00B46F14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B46F14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B46F14" w:rsidRPr="000F5232">
      <w:rPr>
        <w:rFonts w:ascii="Calibri" w:hAnsi="Calibri"/>
        <w:i w:val="0"/>
      </w:rPr>
      <w:fldChar w:fldCharType="separate"/>
    </w:r>
    <w:r w:rsidR="00CF35F8">
      <w:rPr>
        <w:rFonts w:ascii="Calibri" w:hAnsi="Calibri"/>
        <w:noProof/>
      </w:rPr>
      <w:t>4</w:t>
    </w:r>
    <w:r w:rsidR="00B46F14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10" w:rsidRDefault="00E01F10" w:rsidP="005E5D6F">
      <w:pPr>
        <w:spacing w:after="0" w:line="240" w:lineRule="auto"/>
      </w:pPr>
      <w:r>
        <w:separator/>
      </w:r>
    </w:p>
  </w:footnote>
  <w:footnote w:type="continuationSeparator" w:id="0">
    <w:p w:rsidR="00E01F10" w:rsidRDefault="00E01F10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CF35F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CF35F8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  <w:r>
      <w:rPr>
        <w:rFonts w:ascii="Bembo Std" w:eastAsia="Arial Unicode MS" w:hAnsi="Bembo Std" w:cs="Arial Unicode MS"/>
        <w:b/>
        <w:noProof/>
        <w:color w:val="2B3137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97.6pt;margin-top:25.55pt;width:441.7pt;height:571.9pt;z-index:-251646976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  <w:p w:rsidR="00D901E5" w:rsidRDefault="00CF35F8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 id="WordPictureWatermark5559815" o:spid="_x0000_s2052" type="#_x0000_t75" style="position:absolute;left:0;text-align:left;margin-left:85.6pt;margin-top:42.8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CF35F8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8B0"/>
    <w:multiLevelType w:val="multilevel"/>
    <w:tmpl w:val="AB6CD6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3E217DC"/>
    <w:multiLevelType w:val="multilevel"/>
    <w:tmpl w:val="86B67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607965"/>
    <w:multiLevelType w:val="multilevel"/>
    <w:tmpl w:val="C344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E61562"/>
    <w:multiLevelType w:val="multilevel"/>
    <w:tmpl w:val="14A0B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AFB3354"/>
    <w:multiLevelType w:val="multilevel"/>
    <w:tmpl w:val="DBA8727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5DC109DD"/>
    <w:multiLevelType w:val="hybridMultilevel"/>
    <w:tmpl w:val="2B887A28"/>
    <w:lvl w:ilvl="0" w:tplc="44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FA75BD"/>
    <w:multiLevelType w:val="hybridMultilevel"/>
    <w:tmpl w:val="5520FF36"/>
    <w:lvl w:ilvl="0" w:tplc="40740F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9F3D8B"/>
    <w:multiLevelType w:val="hybridMultilevel"/>
    <w:tmpl w:val="AF6EAE96"/>
    <w:lvl w:ilvl="0" w:tplc="1220B8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0835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CA0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4EFF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CB6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07D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A5F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41C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6CB2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49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267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15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4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35C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79B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0FDE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2AC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375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6D4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ECC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5746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2F8D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3C29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288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71E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2C43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3BB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3B0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BE1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141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7D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1CD5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AF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3E9"/>
    <w:rsid w:val="00B46BBF"/>
    <w:rsid w:val="00B46E10"/>
    <w:rsid w:val="00B46F14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54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0A0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6DD4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A0F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5F8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4DA1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1868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3BF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1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1D84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ADD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64C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643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088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BD3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AA7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34E6C54D"/>
  <w15:docId w15:val="{084747BB-88D3-4421-B90D-0A51927E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2F5492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F5492"/>
    <w:rPr>
      <w:rFonts w:cstheme="minorBidi"/>
      <w:i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3173E6-022F-4B01-AC10-7EA7A64E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35</cp:revision>
  <cp:lastPrinted>2019-09-13T15:27:00Z</cp:lastPrinted>
  <dcterms:created xsi:type="dcterms:W3CDTF">2020-04-28T22:05:00Z</dcterms:created>
  <dcterms:modified xsi:type="dcterms:W3CDTF">2020-07-13T15:54:00Z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