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Default="00373CC2" w:rsidP="00AB3909">
      <w:pPr>
        <w:tabs>
          <w:tab w:val="left" w:pos="960"/>
        </w:tabs>
        <w:rPr>
          <w:rFonts w:ascii="Museo Sans 300" w:hAnsi="Museo Sans 300"/>
          <w:b/>
        </w:rPr>
      </w:pPr>
      <w:r>
        <w:rPr>
          <w:rFonts w:ascii="Museo Sans 300" w:hAnsi="Museo Sans 300"/>
          <w:b/>
          <w:noProof/>
          <w:lang w:eastAsia="es-SV"/>
        </w:rPr>
        <w:pict>
          <v:roundrect id="_x0000_s1026" style="position:absolute;margin-left:-19.95pt;margin-top:10.45pt;width:493.55pt;height:82.2pt;z-index:251658240" arcsize="10923f">
            <v:textbox style="mso-next-textbox:#_x0000_s1026">
              <w:txbxContent>
                <w:p w:rsidR="00AB3909" w:rsidRDefault="00AB3909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</w:t>
                  </w:r>
                  <w:r w:rsidR="00D712CA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11</w:t>
                  </w: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 Autorización </w:t>
                  </w:r>
                  <w:r w:rsidR="001E495B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de inversiones conjuntas</w:t>
                  </w:r>
                </w:p>
                <w:p w:rsidR="0046170F" w:rsidRPr="009727A0" w:rsidRDefault="0046170F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AB3909" w:rsidRDefault="00AB3909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46170F" w:rsidRPr="009727A0" w:rsidRDefault="0046170F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AB3909" w:rsidRPr="009727A0" w:rsidRDefault="00E05405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>
                    <w:rPr>
                      <w:rFonts w:ascii="Museo Sans 300" w:hAnsi="Museo Sans 300"/>
                      <w:i w:val="0"/>
                    </w:rPr>
                    <w:t>Fecha de última actualización: 1</w:t>
                  </w:r>
                  <w:r w:rsidR="00AF525E">
                    <w:rPr>
                      <w:rFonts w:ascii="Museo Sans 300" w:hAnsi="Museo Sans 300"/>
                      <w:i w:val="0"/>
                    </w:rPr>
                    <w:t>3/07</w:t>
                  </w:r>
                  <w:r w:rsidR="00AB3909"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Default="00AB3909" w:rsidP="00AB3909">
      <w:pPr>
        <w:spacing w:after="0" w:line="240" w:lineRule="auto"/>
        <w:jc w:val="both"/>
        <w:rPr>
          <w:rFonts w:ascii="Museo Sans 300" w:hAnsi="Museo Sans 300"/>
          <w:b/>
        </w:rPr>
      </w:pPr>
    </w:p>
    <w:p w:rsidR="00AB3909" w:rsidRPr="00D712CA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46170F" w:rsidRDefault="0046170F" w:rsidP="00D712CA">
      <w:pPr>
        <w:spacing w:after="0" w:line="240" w:lineRule="auto"/>
        <w:jc w:val="both"/>
        <w:rPr>
          <w:rFonts w:ascii="Museo Sans 300" w:hAnsi="Museo Sans 300"/>
          <w:b/>
          <w:bCs/>
          <w:i w:val="0"/>
          <w:iCs/>
        </w:rPr>
      </w:pPr>
    </w:p>
    <w:p w:rsidR="0046170F" w:rsidRDefault="0046170F" w:rsidP="00D712CA">
      <w:pPr>
        <w:spacing w:after="0" w:line="240" w:lineRule="auto"/>
        <w:jc w:val="both"/>
        <w:rPr>
          <w:rFonts w:ascii="Museo Sans 300" w:hAnsi="Museo Sans 300"/>
          <w:b/>
          <w:bCs/>
          <w:i w:val="0"/>
          <w:iCs/>
        </w:rPr>
      </w:pP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b/>
          <w:bCs/>
          <w:i w:val="0"/>
          <w:iCs/>
        </w:rPr>
      </w:pPr>
      <w:r w:rsidRPr="00D712CA">
        <w:rPr>
          <w:rFonts w:ascii="Museo Sans 300" w:hAnsi="Museo Sans 300"/>
          <w:b/>
          <w:bCs/>
          <w:i w:val="0"/>
          <w:iCs/>
        </w:rPr>
        <w:t>Sujetos a que aplica el trámite específico:</w:t>
      </w:r>
    </w:p>
    <w:p w:rsidR="00373CC2" w:rsidRDefault="00373CC2" w:rsidP="00D712CA">
      <w:pPr>
        <w:spacing w:after="0" w:line="240" w:lineRule="auto"/>
        <w:jc w:val="both"/>
        <w:rPr>
          <w:rFonts w:ascii="Museo Sans 300" w:hAnsi="Museo Sans 300"/>
          <w:bCs/>
          <w:i w:val="0"/>
          <w:iCs/>
        </w:rPr>
      </w:pP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bCs/>
          <w:i w:val="0"/>
          <w:iCs/>
        </w:rPr>
      </w:pPr>
      <w:bookmarkStart w:id="0" w:name="_GoBack"/>
      <w:bookmarkEnd w:id="0"/>
      <w:r w:rsidRPr="00D712CA">
        <w:rPr>
          <w:rFonts w:ascii="Museo Sans 300" w:hAnsi="Museo Sans 300"/>
          <w:bCs/>
          <w:i w:val="0"/>
          <w:iCs/>
        </w:rPr>
        <w:t>Bancos</w:t>
      </w: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b/>
          <w:bCs/>
          <w:i w:val="0"/>
          <w:iCs/>
        </w:rPr>
      </w:pP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b/>
          <w:bCs/>
          <w:i w:val="0"/>
          <w:iCs/>
        </w:rPr>
      </w:pPr>
      <w:r w:rsidRPr="00D712CA">
        <w:rPr>
          <w:rFonts w:ascii="Museo Sans 300" w:hAnsi="Museo Sans 300"/>
          <w:b/>
          <w:bCs/>
          <w:i w:val="0"/>
          <w:iCs/>
        </w:rPr>
        <w:t xml:space="preserve">Base legal: </w:t>
      </w: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:rsidR="00D712CA" w:rsidRPr="00D712CA" w:rsidRDefault="00D712CA" w:rsidP="00D712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 xml:space="preserve">Ley de Bancos: Articulo 24 </w:t>
      </w:r>
    </w:p>
    <w:p w:rsidR="00D712CA" w:rsidRPr="00D712CA" w:rsidRDefault="00D712CA" w:rsidP="00D712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Normas para autorizar a los Bancos y Controladoras de Finalidad Exclusiva a realizar Inversiones Accionaras en Sociedades Salvadoreñas (NPB1-10).</w:t>
      </w: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  <w:r w:rsidRPr="00D712CA">
        <w:rPr>
          <w:rFonts w:ascii="Museo Sans 300" w:hAnsi="Museo Sans 300"/>
          <w:i w:val="0"/>
          <w:iCs/>
        </w:rPr>
        <w:t xml:space="preserve"> </w:t>
      </w: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 w:val="0"/>
          <w:iCs/>
          <w:u w:val="single"/>
        </w:rPr>
      </w:pPr>
      <w:r w:rsidRPr="00D712CA">
        <w:rPr>
          <w:rFonts w:ascii="Museo Sans 300" w:hAnsi="Museo Sans 300"/>
          <w:b/>
          <w:bCs/>
          <w:i w:val="0"/>
          <w:iCs/>
          <w:u w:val="single"/>
        </w:rPr>
        <w:t>Requisitos a presentar:</w:t>
      </w:r>
    </w:p>
    <w:p w:rsidR="00D712CA" w:rsidRDefault="00D712CA" w:rsidP="00D712CA">
      <w:pPr>
        <w:spacing w:after="0" w:line="240" w:lineRule="auto"/>
        <w:jc w:val="both"/>
        <w:rPr>
          <w:rFonts w:ascii="Museo Sans 300" w:hAnsi="Museo Sans 300"/>
          <w:b/>
          <w:bCs/>
          <w:i w:val="0"/>
          <w:iCs/>
        </w:rPr>
      </w:pPr>
    </w:p>
    <w:p w:rsidR="001E495B" w:rsidRPr="00DB35F1" w:rsidRDefault="001E495B" w:rsidP="001E495B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bCs/>
          <w:iCs/>
        </w:rPr>
      </w:pPr>
      <w:r w:rsidRPr="00DB35F1">
        <w:rPr>
          <w:rFonts w:ascii="Museo Sans 300" w:hAnsi="Museo Sans 300"/>
          <w:b/>
          <w:bCs/>
          <w:iCs/>
        </w:rPr>
        <w:t xml:space="preserve">INVERSIONES CONJUNTAS </w:t>
      </w:r>
      <w:r w:rsidR="00717FD5" w:rsidRPr="00DB35F1">
        <w:rPr>
          <w:rFonts w:ascii="Museo Sans 300" w:hAnsi="Museo Sans 300"/>
          <w:b/>
          <w:bCs/>
          <w:iCs/>
        </w:rPr>
        <w:t xml:space="preserve">EN </w:t>
      </w:r>
      <w:r w:rsidRPr="00DB35F1">
        <w:rPr>
          <w:rFonts w:ascii="Museo Sans 300" w:hAnsi="Museo Sans 300"/>
          <w:b/>
          <w:bCs/>
          <w:iCs/>
        </w:rPr>
        <w:t>SOCIEDADES EN PROCESO DE CONSTITUCION</w:t>
      </w:r>
    </w:p>
    <w:p w:rsidR="001E495B" w:rsidRPr="001E495B" w:rsidRDefault="001E495B" w:rsidP="001E495B">
      <w:pPr>
        <w:pStyle w:val="Prrafodelista"/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:rsidR="00D712CA" w:rsidRPr="00D712CA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Solicitud de autorización expresa dirigida al Superintendente del Sistema Financiero, suscrita por el Presidente o Representante Legal de la Entidad, la que deberá mencionar:</w:t>
      </w:r>
    </w:p>
    <w:p w:rsidR="00D712CA" w:rsidRPr="00D712CA" w:rsidRDefault="00D712CA" w:rsidP="00D712CA">
      <w:pPr>
        <w:pStyle w:val="Prrafodelista"/>
        <w:spacing w:after="0" w:line="240" w:lineRule="auto"/>
        <w:jc w:val="both"/>
        <w:rPr>
          <w:rFonts w:ascii="Museo Sans 300" w:hAnsi="Museo Sans 300"/>
          <w:iCs/>
        </w:rPr>
      </w:pPr>
    </w:p>
    <w:p w:rsidR="00D712CA" w:rsidRPr="00D712CA" w:rsidRDefault="00D712CA" w:rsidP="00D712CA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 xml:space="preserve">Nombre de la entidad salvadoreña de capital en la que se  tiene interés de invertir, cuya finalidad o giro exclusivo deberá corresponder a:  </w:t>
      </w:r>
    </w:p>
    <w:p w:rsidR="00D712CA" w:rsidRPr="00D712CA" w:rsidRDefault="00D712CA" w:rsidP="00D712CA">
      <w:pPr>
        <w:pStyle w:val="Prrafodelista"/>
        <w:numPr>
          <w:ilvl w:val="2"/>
          <w:numId w:val="4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Casas de cambio de moneda extranjera;</w:t>
      </w:r>
    </w:p>
    <w:p w:rsidR="00D712CA" w:rsidRPr="00D712CA" w:rsidRDefault="00D712CA" w:rsidP="00D712CA">
      <w:pPr>
        <w:pStyle w:val="Prrafodelista"/>
        <w:numPr>
          <w:ilvl w:val="2"/>
          <w:numId w:val="4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Casas de corredores de bolsa;</w:t>
      </w:r>
    </w:p>
    <w:p w:rsidR="00D712CA" w:rsidRPr="00D712CA" w:rsidRDefault="00D712CA" w:rsidP="00D712CA">
      <w:pPr>
        <w:pStyle w:val="Prrafodelista"/>
        <w:numPr>
          <w:ilvl w:val="2"/>
          <w:numId w:val="4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Empresas emisoras de tarjetas de crédito;</w:t>
      </w:r>
    </w:p>
    <w:p w:rsidR="00D712CA" w:rsidRPr="00D712CA" w:rsidRDefault="00D712CA" w:rsidP="00D712CA">
      <w:pPr>
        <w:pStyle w:val="Prrafodelista"/>
        <w:numPr>
          <w:ilvl w:val="2"/>
          <w:numId w:val="4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Almacenes generales de depósito;</w:t>
      </w:r>
    </w:p>
    <w:p w:rsidR="00D712CA" w:rsidRPr="00D712CA" w:rsidRDefault="00D712CA" w:rsidP="00D712CA">
      <w:pPr>
        <w:pStyle w:val="Prrafodelista"/>
        <w:numPr>
          <w:ilvl w:val="2"/>
          <w:numId w:val="4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Sociedades que presten servicio de pago, custodia y transporte de valores;</w:t>
      </w:r>
    </w:p>
    <w:p w:rsidR="00D712CA" w:rsidRPr="00D712CA" w:rsidRDefault="00D712CA" w:rsidP="00D712CA">
      <w:pPr>
        <w:pStyle w:val="Prrafodelista"/>
        <w:numPr>
          <w:ilvl w:val="2"/>
          <w:numId w:val="4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Sociedades de depósito y  custodia de valores;</w:t>
      </w:r>
    </w:p>
    <w:p w:rsidR="00D712CA" w:rsidRPr="00D712CA" w:rsidRDefault="00D712CA" w:rsidP="00D712CA">
      <w:pPr>
        <w:pStyle w:val="Prrafodelista"/>
        <w:numPr>
          <w:ilvl w:val="2"/>
          <w:numId w:val="4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 xml:space="preserve">Sociedades de arrendamiento financiero; y </w:t>
      </w:r>
    </w:p>
    <w:p w:rsidR="00D712CA" w:rsidRPr="00D712CA" w:rsidRDefault="00D712CA" w:rsidP="00D712CA">
      <w:pPr>
        <w:pStyle w:val="Prrafodelista"/>
        <w:numPr>
          <w:ilvl w:val="2"/>
          <w:numId w:val="4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Otras sociedades que complementen sus servicios financieros;</w:t>
      </w:r>
    </w:p>
    <w:p w:rsidR="00D712CA" w:rsidRPr="00D712CA" w:rsidRDefault="00D712CA" w:rsidP="00D712CA">
      <w:pPr>
        <w:pStyle w:val="Prrafodelista"/>
        <w:spacing w:after="0" w:line="240" w:lineRule="auto"/>
        <w:jc w:val="both"/>
        <w:rPr>
          <w:rFonts w:ascii="Museo Sans 300" w:hAnsi="Museo Sans 300"/>
          <w:iCs/>
        </w:rPr>
      </w:pPr>
    </w:p>
    <w:p w:rsidR="00D712CA" w:rsidRDefault="00D712CA" w:rsidP="00D712CA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Museo Sans 300" w:hAnsi="Museo Sans 300"/>
          <w:iCs/>
        </w:rPr>
      </w:pPr>
      <w:r w:rsidRPr="00863A4B">
        <w:rPr>
          <w:rFonts w:ascii="Museo Sans 300" w:hAnsi="Museo Sans 300"/>
          <w:iCs/>
        </w:rPr>
        <w:t>El monto de la inversión, indicando si se trata de una sociedad en proceso de cons</w:t>
      </w:r>
      <w:r w:rsidR="00863A4B" w:rsidRPr="00863A4B">
        <w:rPr>
          <w:rFonts w:ascii="Museo Sans 300" w:hAnsi="Museo Sans 300"/>
          <w:iCs/>
        </w:rPr>
        <w:t>titución.</w:t>
      </w:r>
      <w:r w:rsidRPr="00863A4B">
        <w:rPr>
          <w:rFonts w:ascii="Museo Sans 300" w:hAnsi="Museo Sans 300"/>
          <w:iCs/>
        </w:rPr>
        <w:t xml:space="preserve"> </w:t>
      </w:r>
    </w:p>
    <w:p w:rsidR="00863A4B" w:rsidRPr="00863A4B" w:rsidRDefault="00863A4B" w:rsidP="00863A4B">
      <w:pPr>
        <w:pStyle w:val="Prrafodelista"/>
        <w:spacing w:after="0" w:line="240" w:lineRule="auto"/>
        <w:jc w:val="both"/>
        <w:rPr>
          <w:rFonts w:ascii="Museo Sans 300" w:hAnsi="Museo Sans 300"/>
          <w:iCs/>
        </w:rPr>
      </w:pPr>
    </w:p>
    <w:p w:rsidR="00D712CA" w:rsidRPr="00D712CA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Certificación del acuerdo de Junta General de Accionistas o de Junta Directiva, según lo requiere el pacto social del banco, en donde se autoriza la inversión;</w:t>
      </w:r>
    </w:p>
    <w:p w:rsidR="00D712CA" w:rsidRPr="00D712CA" w:rsidRDefault="00D712CA" w:rsidP="00D712CA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712CA" w:rsidRPr="00D712CA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Proyecto de  escritura de constitución de la sociedad;</w:t>
      </w: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5D3151" w:rsidRPr="005D3151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Estudio de factibilidad económico financiero en el que se incluyan:</w:t>
      </w:r>
    </w:p>
    <w:p w:rsidR="005D3151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Las bases financieras de las operaciones que se van a desarrollar;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Los planes comerciales;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Segmento de mercado que se atenderá;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Capital que se invertirá;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Cobertura de servicios que se proporcionarán;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Proyecciones financieras de por lo menos tres años; y</w:t>
      </w:r>
    </w:p>
    <w:p w:rsidR="00D712CA" w:rsidRPr="005D3151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El esquema de organización y administración de entidad;</w:t>
      </w:r>
    </w:p>
    <w:p w:rsidR="00D712CA" w:rsidRPr="00D712CA" w:rsidRDefault="00D712CA" w:rsidP="00D712CA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712CA" w:rsidRPr="00D712CA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El estudio de factibilidad económico financiero deberá ser elaborado por un profesional de amplia experiencia en la formulación y evaluación de proyectos o por una empresa respaldada por profesionales de esa categoría;</w:t>
      </w:r>
    </w:p>
    <w:p w:rsidR="00D712CA" w:rsidRPr="00D712CA" w:rsidRDefault="00D712CA" w:rsidP="00D712CA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712CA" w:rsidRPr="00D712CA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Listado de los futuros accionistas de la sociedad con su participación accionaria y su vinculación con el banco;</w:t>
      </w:r>
    </w:p>
    <w:p w:rsidR="00D712CA" w:rsidRPr="00D712CA" w:rsidRDefault="00D712CA" w:rsidP="00D712CA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5D3151" w:rsidRPr="005D3151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Cuando se trate de inversiones por más del cincuenta por ciento en acciones comunes de la sociedad, indicar: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La forma en que el banco prevé dirigir y controlar la gestión de la sociedad;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Proceso para la fijación de políticas y manejo de riesgos;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Grado de autonomía;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Sistemas de control interno;</w:t>
      </w:r>
    </w:p>
    <w:p w:rsidR="00D712CA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 xml:space="preserve">Sistema de Información previstos; y </w:t>
      </w:r>
    </w:p>
    <w:p w:rsidR="00D712CA" w:rsidRPr="005D3151" w:rsidRDefault="00D712CA" w:rsidP="00863A4B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Sistemas de monitoreo relacionados con la Prevención de Lavado de Dinero y  otros activos.</w:t>
      </w:r>
    </w:p>
    <w:p w:rsidR="00D712CA" w:rsidRPr="00D712CA" w:rsidRDefault="00D712CA" w:rsidP="00D712CA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712CA" w:rsidRPr="00D712CA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Cuando se trate de inversiones minoritarias deberá expresarse los propósitos para invertir en una sociedad que no controlará;</w:t>
      </w:r>
    </w:p>
    <w:p w:rsidR="00D712CA" w:rsidRPr="00D712CA" w:rsidRDefault="00D712CA" w:rsidP="00D712CA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712CA" w:rsidRPr="00D712CA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Presentar solicitud para adquirir acciones en exceso del diez por ciento, para el caso de  los accionistas relevantes;</w:t>
      </w: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 w:val="0"/>
        </w:rPr>
      </w:pPr>
    </w:p>
    <w:bookmarkStart w:id="1" w:name="_MON_1474359087"/>
    <w:bookmarkEnd w:id="1"/>
    <w:p w:rsidR="00D712CA" w:rsidRPr="00D712CA" w:rsidRDefault="00B2780C" w:rsidP="00D712CA">
      <w:pPr>
        <w:spacing w:after="0" w:line="240" w:lineRule="auto"/>
        <w:ind w:left="720"/>
        <w:jc w:val="both"/>
        <w:rPr>
          <w:rFonts w:ascii="Museo Sans 300" w:hAnsi="Museo Sans 300"/>
          <w:i w:val="0"/>
        </w:rPr>
      </w:pPr>
      <w:r w:rsidRPr="00B2780C">
        <w:rPr>
          <w:rFonts w:ascii="Museo Sans 300" w:hAnsi="Museo Sans 300"/>
          <w:i w:val="0"/>
          <w:sz w:val="20"/>
          <w:szCs w:val="20"/>
        </w:rPr>
        <w:object w:dxaOrig="2069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66pt" o:ole="">
            <v:imagedata r:id="rId12" o:title=""/>
          </v:shape>
          <o:OLEObject Type="Embed" ProgID="Word.Document.12" ShapeID="_x0000_i1025" DrawAspect="Icon" ObjectID="_1656143357" r:id="rId13">
            <o:FieldCodes>\s</o:FieldCodes>
          </o:OLEObject>
        </w:object>
      </w:r>
      <w:r w:rsidR="00D712CA" w:rsidRPr="00D712CA">
        <w:rPr>
          <w:rFonts w:ascii="Museo Sans 300" w:hAnsi="Museo Sans 300"/>
          <w:i w:val="0"/>
        </w:rPr>
        <w:t xml:space="preserve">  </w:t>
      </w:r>
      <w:bookmarkStart w:id="2" w:name="_MON_1474359106"/>
      <w:bookmarkEnd w:id="2"/>
      <w:r w:rsidR="00806506" w:rsidRPr="00D712CA">
        <w:rPr>
          <w:rFonts w:ascii="Museo Sans 300" w:hAnsi="Museo Sans 300"/>
          <w:i w:val="0"/>
        </w:rPr>
        <w:object w:dxaOrig="2069" w:dyaOrig="1320">
          <v:shape id="_x0000_i1026" type="#_x0000_t75" style="width:103.5pt;height:66pt" o:ole="">
            <v:imagedata r:id="rId14" o:title=""/>
          </v:shape>
          <o:OLEObject Type="Embed" ProgID="Word.Document.12" ShapeID="_x0000_i1026" DrawAspect="Icon" ObjectID="_1656143358" r:id="rId15">
            <o:FieldCodes>\s</o:FieldCodes>
          </o:OLEObject>
        </w:object>
      </w:r>
    </w:p>
    <w:p w:rsidR="00D712CA" w:rsidRPr="00D712CA" w:rsidRDefault="00D712CA" w:rsidP="00D712CA">
      <w:pPr>
        <w:spacing w:after="0" w:line="240" w:lineRule="auto"/>
        <w:ind w:left="720"/>
        <w:jc w:val="both"/>
        <w:rPr>
          <w:rFonts w:ascii="Museo Sans 300" w:hAnsi="Museo Sans 300"/>
          <w:i w:val="0"/>
        </w:rPr>
      </w:pPr>
    </w:p>
    <w:p w:rsidR="00D712CA" w:rsidRPr="00D712CA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lastRenderedPageBreak/>
        <w:t>Currículum vitae de los futuros ejecutivos de más alto nivel de la subsidiaria, entendiéndose como tales, el  gerente general y los gerentes o subgerentes de áreas o, en todo caso, los que desempeñen cargos  equivalentes a los mencionados;</w:t>
      </w:r>
    </w:p>
    <w:p w:rsidR="00D712CA" w:rsidRPr="00D712CA" w:rsidRDefault="00D712CA" w:rsidP="00D712CA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712CA" w:rsidRPr="00D712CA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Efecto en el fondo patrimonial del banco de la inversión a realizar, tanto en forma individual como consolidada, de conformidad con la Ley de Bancos; y</w:t>
      </w:r>
    </w:p>
    <w:p w:rsidR="00D712CA" w:rsidRPr="00D712CA" w:rsidRDefault="00D712CA" w:rsidP="00D712CA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D712CA" w:rsidRPr="005D3151" w:rsidRDefault="00D712CA" w:rsidP="00863A4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Análisis emitidos por la Unidad de Riesgos del Banco. </w:t>
      </w: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b/>
          <w:bCs/>
          <w:i w:val="0"/>
          <w:iCs/>
        </w:rPr>
      </w:pPr>
    </w:p>
    <w:p w:rsidR="00D712CA" w:rsidRPr="00DB35F1" w:rsidRDefault="005D3151" w:rsidP="005D3151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bCs/>
          <w:iCs/>
        </w:rPr>
      </w:pPr>
      <w:r w:rsidRPr="00DB35F1">
        <w:rPr>
          <w:rFonts w:ascii="Museo Sans 300" w:hAnsi="Museo Sans 300"/>
          <w:b/>
          <w:bCs/>
          <w:iCs/>
        </w:rPr>
        <w:t>INVERSIONES CO</w:t>
      </w:r>
      <w:r w:rsidR="00717FD5" w:rsidRPr="00DB35F1">
        <w:rPr>
          <w:rFonts w:ascii="Museo Sans 300" w:hAnsi="Museo Sans 300"/>
          <w:b/>
          <w:bCs/>
          <w:iCs/>
        </w:rPr>
        <w:t xml:space="preserve">NJUNTAS </w:t>
      </w:r>
      <w:r w:rsidRPr="00DB35F1">
        <w:rPr>
          <w:rFonts w:ascii="Museo Sans 300" w:hAnsi="Museo Sans 300"/>
          <w:b/>
          <w:bCs/>
          <w:iCs/>
        </w:rPr>
        <w:t>EN SOCIEDADES EN MARCHA</w:t>
      </w:r>
    </w:p>
    <w:p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b/>
          <w:bCs/>
          <w:i w:val="0"/>
          <w:iCs/>
        </w:rPr>
      </w:pPr>
    </w:p>
    <w:p w:rsidR="005D3151" w:rsidRDefault="005D3151" w:rsidP="00863A4B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Solicitud de autorización expresa dirigida al Superintendente del Sistema Financiero, suscrita por el Presidente o Representante Legal de la Entidad, la que deberá mencionar:</w:t>
      </w:r>
    </w:p>
    <w:p w:rsidR="00C35754" w:rsidRDefault="00C35754" w:rsidP="00B22CF2">
      <w:pPr>
        <w:pStyle w:val="Prrafodelista"/>
        <w:spacing w:after="0" w:line="240" w:lineRule="auto"/>
        <w:ind w:left="360" w:firstLine="708"/>
        <w:jc w:val="both"/>
        <w:rPr>
          <w:rFonts w:ascii="Museo Sans 300" w:hAnsi="Museo Sans 300"/>
          <w:iCs/>
        </w:rPr>
      </w:pPr>
    </w:p>
    <w:p w:rsidR="005D3151" w:rsidRPr="005D3151" w:rsidRDefault="005D3151" w:rsidP="00863A4B">
      <w:pPr>
        <w:pStyle w:val="Prrafodelista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  <w:iCs/>
        </w:rPr>
      </w:pPr>
      <w:r w:rsidRPr="005D3151">
        <w:rPr>
          <w:rFonts w:ascii="Museo Sans 300" w:hAnsi="Museo Sans 300"/>
          <w:iCs/>
        </w:rPr>
        <w:t xml:space="preserve">Nombre de la entidad salvadoreña de capital en la que se  tiene interés de invertir, cuya finalidad o giro exclusivo deberá corresponder a:  </w:t>
      </w:r>
    </w:p>
    <w:p w:rsidR="005D3151" w:rsidRPr="00D712CA" w:rsidRDefault="005D3151" w:rsidP="00642BBC">
      <w:pPr>
        <w:pStyle w:val="Prrafodelista"/>
        <w:numPr>
          <w:ilvl w:val="2"/>
          <w:numId w:val="12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Casas de cambio de moneda extranjera;</w:t>
      </w:r>
    </w:p>
    <w:p w:rsidR="005D3151" w:rsidRPr="00D712CA" w:rsidRDefault="005D3151" w:rsidP="00642BBC">
      <w:pPr>
        <w:pStyle w:val="Prrafodelista"/>
        <w:numPr>
          <w:ilvl w:val="2"/>
          <w:numId w:val="12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Casas de corredores de bolsa;</w:t>
      </w:r>
    </w:p>
    <w:p w:rsidR="005D3151" w:rsidRPr="00D712CA" w:rsidRDefault="005D3151" w:rsidP="00642BBC">
      <w:pPr>
        <w:pStyle w:val="Prrafodelista"/>
        <w:numPr>
          <w:ilvl w:val="2"/>
          <w:numId w:val="12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Empresas emisoras de tarjetas de crédito;</w:t>
      </w:r>
    </w:p>
    <w:p w:rsidR="005D3151" w:rsidRPr="00D712CA" w:rsidRDefault="005D3151" w:rsidP="00642BBC">
      <w:pPr>
        <w:pStyle w:val="Prrafodelista"/>
        <w:numPr>
          <w:ilvl w:val="2"/>
          <w:numId w:val="12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Almacenes generales de depósito;</w:t>
      </w:r>
    </w:p>
    <w:p w:rsidR="005D3151" w:rsidRPr="00D712CA" w:rsidRDefault="005D3151" w:rsidP="00642BBC">
      <w:pPr>
        <w:pStyle w:val="Prrafodelista"/>
        <w:numPr>
          <w:ilvl w:val="2"/>
          <w:numId w:val="12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Sociedades que presten servicio de pago, custodia y transporte de valores;</w:t>
      </w:r>
    </w:p>
    <w:p w:rsidR="005D3151" w:rsidRPr="00D712CA" w:rsidRDefault="005D3151" w:rsidP="00642BBC">
      <w:pPr>
        <w:pStyle w:val="Prrafodelista"/>
        <w:numPr>
          <w:ilvl w:val="2"/>
          <w:numId w:val="12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Sociedades de depósito y  custodia de valores;</w:t>
      </w:r>
    </w:p>
    <w:p w:rsidR="005D3151" w:rsidRPr="00D712CA" w:rsidRDefault="005D3151" w:rsidP="00642BBC">
      <w:pPr>
        <w:pStyle w:val="Prrafodelista"/>
        <w:numPr>
          <w:ilvl w:val="2"/>
          <w:numId w:val="12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 xml:space="preserve">Sociedades de arrendamiento financiero; y </w:t>
      </w:r>
    </w:p>
    <w:p w:rsidR="005D3151" w:rsidRPr="00D712CA" w:rsidRDefault="005D3151" w:rsidP="00642BBC">
      <w:pPr>
        <w:pStyle w:val="Prrafodelista"/>
        <w:numPr>
          <w:ilvl w:val="2"/>
          <w:numId w:val="12"/>
        </w:numPr>
        <w:spacing w:after="0" w:line="240" w:lineRule="auto"/>
        <w:ind w:left="1134" w:hanging="425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Otras sociedades que complementen sus servicios financieros;</w:t>
      </w:r>
    </w:p>
    <w:p w:rsidR="005D3151" w:rsidRPr="00D712CA" w:rsidRDefault="005D3151" w:rsidP="005D3151">
      <w:pPr>
        <w:pStyle w:val="Prrafodelista"/>
        <w:spacing w:after="0" w:line="240" w:lineRule="auto"/>
        <w:jc w:val="both"/>
        <w:rPr>
          <w:rFonts w:ascii="Museo Sans 300" w:hAnsi="Museo Sans 300"/>
          <w:iCs/>
        </w:rPr>
      </w:pPr>
    </w:p>
    <w:p w:rsidR="005D3151" w:rsidRPr="005D3151" w:rsidRDefault="005D3151" w:rsidP="00863A4B">
      <w:pPr>
        <w:pStyle w:val="Prrafodelista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  <w:iCs/>
          <w:strike/>
          <w:color w:val="FF0000"/>
        </w:rPr>
      </w:pPr>
      <w:r w:rsidRPr="00D712CA">
        <w:rPr>
          <w:rFonts w:ascii="Museo Sans 300" w:hAnsi="Museo Sans 300"/>
          <w:iCs/>
        </w:rPr>
        <w:t>El monto de la inversión, indicando si se trata de una sociedad en marcha</w:t>
      </w:r>
      <w:r w:rsidR="00863A4B">
        <w:rPr>
          <w:rFonts w:ascii="Museo Sans 300" w:hAnsi="Museo Sans 300"/>
          <w:iCs/>
        </w:rPr>
        <w:t>.</w:t>
      </w:r>
    </w:p>
    <w:p w:rsidR="005D3151" w:rsidRDefault="005D3151" w:rsidP="00642BBC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D712CA" w:rsidRPr="00D712CA" w:rsidRDefault="00D712CA" w:rsidP="00863A4B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Certificación del acuerdo de Junta General de Accionista o de Junta Directiva, según lo requiere el pacto social del banco, en donde se autoriza la inversión;</w:t>
      </w:r>
    </w:p>
    <w:p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D712CA" w:rsidRPr="00D712CA" w:rsidRDefault="00D712CA" w:rsidP="00863A4B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Escritura de constitución de la sociedad en que se invertirá, con sus modificaciones si las hubiere;</w:t>
      </w:r>
    </w:p>
    <w:p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642BBC" w:rsidRPr="00642BBC" w:rsidRDefault="00D712CA" w:rsidP="00863A4B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Estudio de factibilidad económico financiero en el que se incluyan: </w:t>
      </w:r>
    </w:p>
    <w:p w:rsidR="00642BBC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Las bases financieras de las operaciones que se van a desarrollar;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Los planes comerciales;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Segmento de mercado que se atenderá;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Capital que se invertirá;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Cobertura de servicios que se proporcionarán;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Proyecciones financieras de por lo menos tres años; y</w:t>
      </w:r>
    </w:p>
    <w:p w:rsidR="00D712CA" w:rsidRPr="00642BBC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lastRenderedPageBreak/>
        <w:t>Esquema de organización y administración de entidad.</w:t>
      </w:r>
    </w:p>
    <w:p w:rsidR="00D712CA" w:rsidRPr="00D712CA" w:rsidRDefault="00D712CA" w:rsidP="00D712CA">
      <w:pPr>
        <w:pStyle w:val="Prrafodelista"/>
        <w:rPr>
          <w:rFonts w:ascii="Museo Sans 300" w:hAnsi="Museo Sans 300"/>
        </w:rPr>
      </w:pPr>
    </w:p>
    <w:p w:rsidR="00D712CA" w:rsidRPr="00D712CA" w:rsidRDefault="00D712CA" w:rsidP="00E354EC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El estudio de factibilidad económico financiero deberá ser elaborado por un profesional de amplia experiencia en la formulación y evaluación de proyectos o por una empresa respaldada por profesionales de esa categoría;</w:t>
      </w:r>
    </w:p>
    <w:p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D712CA" w:rsidRPr="00D712CA" w:rsidRDefault="00D712CA" w:rsidP="00E354EC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Listado de los actuales accionistas de la sociedad con su participación accionaria y su vinculación con el banco.  Antes y después de la adquisición;</w:t>
      </w:r>
    </w:p>
    <w:p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642BBC" w:rsidRPr="00642BBC" w:rsidRDefault="00D712CA" w:rsidP="00E354EC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Cuando se trate de inversiones por más del cincuenta por ciento en acciones comunes de la sociedad: 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La forma en que el banco prevé dirigir y controlar la gestión de la sociedad;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Proceso para la fijación de políticas y manejo de riesgos;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Grado de autonomía;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 xml:space="preserve">Sistemas de control interno; </w:t>
      </w:r>
    </w:p>
    <w:p w:rsidR="00D712CA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 xml:space="preserve">Sistema de Información previstos; y </w:t>
      </w:r>
    </w:p>
    <w:p w:rsidR="00D712CA" w:rsidRPr="00642BBC" w:rsidRDefault="00D712CA" w:rsidP="00E354EC">
      <w:pPr>
        <w:pStyle w:val="Prrafodelista"/>
        <w:numPr>
          <w:ilvl w:val="1"/>
          <w:numId w:val="11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 xml:space="preserve">Sistemas de monitoreo relacionados con la Prevención de Lavado de Dinero y  otros activos.   </w:t>
      </w:r>
    </w:p>
    <w:p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D712CA" w:rsidRPr="00D712CA" w:rsidRDefault="00D712CA" w:rsidP="00E354EC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Cuando se trate de inversiones minoritarias deberá expresarse los propósitos para invertir en una sociedad que no controlará;</w:t>
      </w:r>
    </w:p>
    <w:p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D712CA" w:rsidRPr="00D712CA" w:rsidRDefault="00D712CA" w:rsidP="00E354EC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Currículum vitae de los futuros ejecutivos de más alto nivel de la subsidiaria, entendiéndose como tales, el  gerente general y los gerentes o subgerentes de áreas o, en todo caso, los que desempeñen  cargos  equivalentes a los mencionados;</w:t>
      </w:r>
    </w:p>
    <w:p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D712CA" w:rsidRPr="00D712CA" w:rsidRDefault="00D712CA" w:rsidP="00E354EC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Efecto en el patrimonio del banco de la inversión a realizar, tanto en forma  individual  como consolidada, de conformidad con la Ley de Bancos;</w:t>
      </w:r>
    </w:p>
    <w:p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D712CA" w:rsidRPr="00D712CA" w:rsidRDefault="00D712CA" w:rsidP="00E354EC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Estados financieros auditados de los tres últimos años con los informes del auditor externo; y</w:t>
      </w:r>
    </w:p>
    <w:p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:rsidR="00D712CA" w:rsidRPr="00D712CA" w:rsidRDefault="00D712CA" w:rsidP="00E354EC">
      <w:pPr>
        <w:pStyle w:val="Prrafodelista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Precio ofertado de las acciones y los posibles vendedores.</w:t>
      </w:r>
    </w:p>
    <w:p w:rsidR="00D712CA" w:rsidRPr="00291AF1" w:rsidRDefault="00D712CA" w:rsidP="00D712CA">
      <w:pPr>
        <w:tabs>
          <w:tab w:val="left" w:pos="960"/>
        </w:tabs>
      </w:pPr>
    </w:p>
    <w:p w:rsidR="0084253C" w:rsidRPr="003D2C1B" w:rsidRDefault="0084253C" w:rsidP="003D2C1B">
      <w:pPr>
        <w:rPr>
          <w:rFonts w:ascii="Museo Sans 300" w:hAnsi="Museo Sans 300"/>
        </w:rPr>
      </w:pPr>
    </w:p>
    <w:sectPr w:rsidR="0084253C" w:rsidRPr="003D2C1B" w:rsidSect="00D901E5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FC" w:rsidRDefault="00D071FC" w:rsidP="005E5D6F">
      <w:pPr>
        <w:spacing w:after="0" w:line="240" w:lineRule="auto"/>
      </w:pPr>
      <w:r>
        <w:separator/>
      </w:r>
    </w:p>
  </w:endnote>
  <w:endnote w:type="continuationSeparator" w:id="0">
    <w:p w:rsidR="00D071FC" w:rsidRDefault="00D071FC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E41551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E41551" w:rsidRPr="000F5232">
      <w:rPr>
        <w:rFonts w:ascii="Calibri" w:hAnsi="Calibri"/>
        <w:i w:val="0"/>
      </w:rPr>
      <w:fldChar w:fldCharType="separate"/>
    </w:r>
    <w:r w:rsidR="00373CC2">
      <w:rPr>
        <w:rFonts w:ascii="Calibri" w:hAnsi="Calibri"/>
        <w:noProof/>
      </w:rPr>
      <w:t>1</w:t>
    </w:r>
    <w:r w:rsidR="00E41551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E41551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E41551" w:rsidRPr="000F5232">
      <w:rPr>
        <w:rFonts w:ascii="Calibri" w:hAnsi="Calibri"/>
        <w:i w:val="0"/>
      </w:rPr>
      <w:fldChar w:fldCharType="separate"/>
    </w:r>
    <w:r w:rsidR="00373CC2">
      <w:rPr>
        <w:rFonts w:ascii="Calibri" w:hAnsi="Calibri"/>
        <w:noProof/>
      </w:rPr>
      <w:t>4</w:t>
    </w:r>
    <w:r w:rsidR="00E41551" w:rsidRPr="000F5232">
      <w:rPr>
        <w:rFonts w:ascii="Calibri" w:hAnsi="Calibri"/>
        <w:i w:val="0"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FC" w:rsidRDefault="00D071FC" w:rsidP="005E5D6F">
      <w:pPr>
        <w:spacing w:after="0" w:line="240" w:lineRule="auto"/>
      </w:pPr>
      <w:r>
        <w:separator/>
      </w:r>
    </w:p>
  </w:footnote>
  <w:footnote w:type="continuationSeparator" w:id="0">
    <w:p w:rsidR="00D071FC" w:rsidRDefault="00D071FC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373CC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373CC2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373CC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1005DE"/>
    <w:multiLevelType w:val="multilevel"/>
    <w:tmpl w:val="E026BEC4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eastAsiaTheme="minorHAnsi" w:hAnsi="Museo Sans 300"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E26AFA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E1330"/>
    <w:multiLevelType w:val="multilevel"/>
    <w:tmpl w:val="B4D0332E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eastAsiaTheme="minorHAnsi" w:hAnsi="Museo Sans 300"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B9637C"/>
    <w:multiLevelType w:val="hybridMultilevel"/>
    <w:tmpl w:val="A67C50D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6AD8"/>
    <w:multiLevelType w:val="multilevel"/>
    <w:tmpl w:val="21E0F2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3EFC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26D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3A6B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34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95B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CC2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2F6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70F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921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151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191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BBC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A8C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17FD5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66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4B89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C52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E7BF5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4C4F"/>
    <w:rsid w:val="0080530E"/>
    <w:rsid w:val="008053AE"/>
    <w:rsid w:val="00805723"/>
    <w:rsid w:val="008057EB"/>
    <w:rsid w:val="008057FC"/>
    <w:rsid w:val="00805E20"/>
    <w:rsid w:val="00805EFB"/>
    <w:rsid w:val="008061C0"/>
    <w:rsid w:val="00806506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A4B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09A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3A5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0DA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2AB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AA5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25E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E46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CF2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80C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754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1FC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2CA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5F1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405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4EC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551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AED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69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5E166634"/>
  <w15:docId w15:val="{69513137-D716-409A-AA39-78B297F6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712CA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712CA"/>
    <w:rPr>
      <w:rFonts w:cstheme="minorBidi"/>
      <w:i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Documento_de_Microsoft_Word.doc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Documento_de_Microsoft_Word1.docx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1D5AB3D0-0BE4-43AE-995B-1E7AA9E2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23</cp:revision>
  <cp:lastPrinted>2019-09-13T15:27:00Z</cp:lastPrinted>
  <dcterms:created xsi:type="dcterms:W3CDTF">2020-04-30T15:55:00Z</dcterms:created>
  <dcterms:modified xsi:type="dcterms:W3CDTF">2020-07-13T17:03:00Z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