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5E" w:rsidRDefault="00C31154" w:rsidP="000D1183">
      <w:pPr>
        <w:rPr>
          <w:lang w:val="es-SV"/>
        </w:rPr>
      </w:pPr>
      <w:r>
        <w:rPr>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-321945</wp:posOffset>
                </wp:positionH>
                <wp:positionV relativeFrom="paragraph">
                  <wp:posOffset>130810</wp:posOffset>
                </wp:positionV>
                <wp:extent cx="6212205" cy="1416050"/>
                <wp:effectExtent l="5715" t="12065" r="1143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205" cy="1416050"/>
                        </a:xfrm>
                        <a:prstGeom prst="roundRect">
                          <a:avLst>
                            <a:gd name="adj" fmla="val 16667"/>
                          </a:avLst>
                        </a:prstGeom>
                        <a:solidFill>
                          <a:srgbClr val="FFFFFF"/>
                        </a:solidFill>
                        <a:ln w="9525">
                          <a:solidFill>
                            <a:srgbClr val="000000"/>
                          </a:solidFill>
                          <a:round/>
                          <a:headEnd/>
                          <a:tailEnd/>
                        </a:ln>
                      </wps:spPr>
                      <wps:txbx>
                        <w:txbxContent>
                          <w:p w:rsidR="002E4B96" w:rsidRDefault="00DA573A" w:rsidP="002E4B96">
                            <w:pPr>
                              <w:spacing w:after="0" w:line="240" w:lineRule="auto"/>
                              <w:jc w:val="center"/>
                              <w:rPr>
                                <w:b/>
                                <w:lang w:val="es-SV"/>
                              </w:rPr>
                            </w:pPr>
                            <w:r>
                              <w:rPr>
                                <w:b/>
                                <w:lang w:val="es-SV"/>
                              </w:rPr>
                              <w:t>SAC</w:t>
                            </w:r>
                            <w:r w:rsidR="002E4B96">
                              <w:rPr>
                                <w:b/>
                                <w:lang w:val="es-SV"/>
                              </w:rPr>
                              <w:t>-</w:t>
                            </w:r>
                            <w:r>
                              <w:rPr>
                                <w:b/>
                                <w:lang w:val="es-SV"/>
                              </w:rPr>
                              <w:t>00</w:t>
                            </w:r>
                            <w:r w:rsidR="006105CE">
                              <w:rPr>
                                <w:b/>
                                <w:lang w:val="es-SV"/>
                              </w:rPr>
                              <w:t>2</w:t>
                            </w:r>
                          </w:p>
                          <w:p w:rsidR="00735A11" w:rsidRDefault="00735A11" w:rsidP="002E4B96">
                            <w:pPr>
                              <w:spacing w:after="0" w:line="240" w:lineRule="auto"/>
                              <w:jc w:val="center"/>
                              <w:rPr>
                                <w:b/>
                                <w:lang w:val="es-SV"/>
                              </w:rPr>
                            </w:pPr>
                          </w:p>
                          <w:p w:rsidR="006105CE" w:rsidRDefault="00EC311F" w:rsidP="00E63205">
                            <w:pPr>
                              <w:spacing w:after="0" w:line="240" w:lineRule="auto"/>
                              <w:rPr>
                                <w:b/>
                                <w:lang w:val="es-SV"/>
                              </w:rPr>
                            </w:pPr>
                            <w:r w:rsidRPr="00CF399E">
                              <w:rPr>
                                <w:b/>
                                <w:lang w:val="es-SV"/>
                              </w:rPr>
                              <w:t>Tipo de Trámite:</w:t>
                            </w:r>
                            <w:r w:rsidRPr="00CF399E">
                              <w:t xml:space="preserve"> </w:t>
                            </w:r>
                            <w:r w:rsidR="006105CE" w:rsidRPr="006105CE">
                              <w:rPr>
                                <w:b/>
                                <w:lang w:val="es-SV"/>
                              </w:rPr>
                              <w:t xml:space="preserve">Autorización de Conversión de entidades en marcha en Sociedades de Ahorro y </w:t>
                            </w:r>
                          </w:p>
                          <w:p w:rsidR="00DA573A" w:rsidRPr="00CF399E" w:rsidRDefault="006105CE" w:rsidP="006105CE">
                            <w:pPr>
                              <w:spacing w:after="0" w:line="240" w:lineRule="auto"/>
                              <w:ind w:left="708" w:firstLine="708"/>
                              <w:rPr>
                                <w:lang w:val="es-SV"/>
                              </w:rPr>
                            </w:pPr>
                            <w:r>
                              <w:rPr>
                                <w:b/>
                                <w:lang w:val="es-SV"/>
                              </w:rPr>
                              <w:t xml:space="preserve">   </w:t>
                            </w:r>
                            <w:r w:rsidRPr="006105CE">
                              <w:rPr>
                                <w:b/>
                                <w:lang w:val="es-SV"/>
                              </w:rPr>
                              <w:t>Crédito</w:t>
                            </w:r>
                          </w:p>
                          <w:p w:rsidR="00CF399E" w:rsidRP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DA573A">
                              <w:rPr>
                                <w:lang w:val="es-SV"/>
                              </w:rPr>
                              <w:t xml:space="preserve"> </w:t>
                            </w:r>
                            <w:r w:rsidR="00354F10">
                              <w:rPr>
                                <w:lang w:val="es-SV"/>
                              </w:rPr>
                              <w:t>1</w:t>
                            </w:r>
                            <w:r w:rsidR="00BE77D8">
                              <w:rPr>
                                <w:lang w:val="es-SV"/>
                              </w:rPr>
                              <w:t>8</w:t>
                            </w:r>
                            <w:r w:rsidR="00354F10">
                              <w:rPr>
                                <w:lang w:val="es-SV"/>
                              </w:rPr>
                              <w:t>/0</w:t>
                            </w:r>
                            <w:r w:rsidR="00BE77D8">
                              <w:rPr>
                                <w:lang w:val="es-SV"/>
                              </w:rPr>
                              <w:t>2</w:t>
                            </w:r>
                            <w:r w:rsidR="00354F10">
                              <w:rPr>
                                <w:lang w:val="es-SV"/>
                              </w:rPr>
                              <w:t>/20</w:t>
                            </w:r>
                            <w:r w:rsidR="00BE77D8">
                              <w:rPr>
                                <w:lang w:val="es-SV"/>
                              </w:rPr>
                              <w:t>2</w:t>
                            </w:r>
                            <w:r w:rsidR="00C31154">
                              <w:rPr>
                                <w:lang w:val="es-SV"/>
                              </w:rPr>
                              <w:t>1</w:t>
                            </w:r>
                          </w:p>
                          <w:p w:rsidR="00EC311F" w:rsidRPr="00CF399E" w:rsidRDefault="00EC311F" w:rsidP="00DA2889">
                            <w:pPr>
                              <w:spacing w:after="0" w:line="240" w:lineRule="auto"/>
                              <w:rPr>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25.35pt;margin-top:10.3pt;width:489.1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">
                <v:textbox>
                  <w:txbxContent>
                    <w:p w:rsidR="002E4B96" w:rsidRDefault="00DA573A" w:rsidP="002E4B96">
                      <w:pPr>
                        <w:spacing w:after="0" w:line="240" w:lineRule="auto"/>
                        <w:jc w:val="center"/>
                        <w:rPr>
                          <w:b/>
                          <w:lang w:val="es-SV"/>
                        </w:rPr>
                      </w:pPr>
                      <w:r>
                        <w:rPr>
                          <w:b/>
                          <w:lang w:val="es-SV"/>
                        </w:rPr>
                        <w:t>SAC</w:t>
                      </w:r>
                      <w:r w:rsidR="002E4B96">
                        <w:rPr>
                          <w:b/>
                          <w:lang w:val="es-SV"/>
                        </w:rPr>
                        <w:t>-</w:t>
                      </w:r>
                      <w:r>
                        <w:rPr>
                          <w:b/>
                          <w:lang w:val="es-SV"/>
                        </w:rPr>
                        <w:t>00</w:t>
                      </w:r>
                      <w:r w:rsidR="006105CE">
                        <w:rPr>
                          <w:b/>
                          <w:lang w:val="es-SV"/>
                        </w:rPr>
                        <w:t>2</w:t>
                      </w:r>
                    </w:p>
                    <w:p w:rsidR="00735A11" w:rsidRDefault="00735A11" w:rsidP="002E4B96">
                      <w:pPr>
                        <w:spacing w:after="0" w:line="240" w:lineRule="auto"/>
                        <w:jc w:val="center"/>
                        <w:rPr>
                          <w:b/>
                          <w:lang w:val="es-SV"/>
                        </w:rPr>
                      </w:pPr>
                    </w:p>
                    <w:p w:rsidR="006105CE" w:rsidRDefault="00EC311F" w:rsidP="00E63205">
                      <w:pPr>
                        <w:spacing w:after="0" w:line="240" w:lineRule="auto"/>
                        <w:rPr>
                          <w:b/>
                          <w:lang w:val="es-SV"/>
                        </w:rPr>
                      </w:pPr>
                      <w:r w:rsidRPr="00CF399E">
                        <w:rPr>
                          <w:b/>
                          <w:lang w:val="es-SV"/>
                        </w:rPr>
                        <w:t>Tipo de Trámite:</w:t>
                      </w:r>
                      <w:r w:rsidRPr="00CF399E">
                        <w:t xml:space="preserve"> </w:t>
                      </w:r>
                      <w:r w:rsidR="006105CE" w:rsidRPr="006105CE">
                        <w:rPr>
                          <w:b/>
                          <w:lang w:val="es-SV"/>
                        </w:rPr>
                        <w:t xml:space="preserve">Autorización de Conversión de entidades en marcha en Sociedades de Ahorro y </w:t>
                      </w:r>
                    </w:p>
                    <w:p w:rsidR="00DA573A" w:rsidRPr="00CF399E" w:rsidRDefault="006105CE" w:rsidP="006105CE">
                      <w:pPr>
                        <w:spacing w:after="0" w:line="240" w:lineRule="auto"/>
                        <w:ind w:left="708" w:firstLine="708"/>
                        <w:rPr>
                          <w:lang w:val="es-SV"/>
                        </w:rPr>
                      </w:pPr>
                      <w:r>
                        <w:rPr>
                          <w:b/>
                          <w:lang w:val="es-SV"/>
                        </w:rPr>
                        <w:t xml:space="preserve">   </w:t>
                      </w:r>
                      <w:r w:rsidRPr="006105CE">
                        <w:rPr>
                          <w:b/>
                          <w:lang w:val="es-SV"/>
                        </w:rPr>
                        <w:t>Crédito</w:t>
                      </w:r>
                    </w:p>
                    <w:p w:rsidR="00CF399E" w:rsidRP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DA573A">
                        <w:rPr>
                          <w:lang w:val="es-SV"/>
                        </w:rPr>
                        <w:t xml:space="preserve"> </w:t>
                      </w:r>
                      <w:r w:rsidR="00354F10">
                        <w:rPr>
                          <w:lang w:val="es-SV"/>
                        </w:rPr>
                        <w:t>1</w:t>
                      </w:r>
                      <w:r w:rsidR="00BE77D8">
                        <w:rPr>
                          <w:lang w:val="es-SV"/>
                        </w:rPr>
                        <w:t>8</w:t>
                      </w:r>
                      <w:r w:rsidR="00354F10">
                        <w:rPr>
                          <w:lang w:val="es-SV"/>
                        </w:rPr>
                        <w:t>/0</w:t>
                      </w:r>
                      <w:r w:rsidR="00BE77D8">
                        <w:rPr>
                          <w:lang w:val="es-SV"/>
                        </w:rPr>
                        <w:t>2</w:t>
                      </w:r>
                      <w:r w:rsidR="00354F10">
                        <w:rPr>
                          <w:lang w:val="es-SV"/>
                        </w:rPr>
                        <w:t>/20</w:t>
                      </w:r>
                      <w:r w:rsidR="00BE77D8">
                        <w:rPr>
                          <w:lang w:val="es-SV"/>
                        </w:rPr>
                        <w:t>2</w:t>
                      </w:r>
                      <w:r w:rsidR="00C31154">
                        <w:rPr>
                          <w:lang w:val="es-SV"/>
                        </w:rPr>
                        <w:t>1</w:t>
                      </w:r>
                    </w:p>
                    <w:p w:rsidR="00EC311F" w:rsidRPr="00CF399E" w:rsidRDefault="00EC311F" w:rsidP="00DA2889">
                      <w:pPr>
                        <w:spacing w:after="0" w:line="240" w:lineRule="auto"/>
                        <w:rPr>
                          <w:lang w:val="es-SV"/>
                        </w:rPr>
                      </w:pPr>
                    </w:p>
                  </w:txbxContent>
                </v:textbox>
              </v:roundrect>
            </w:pict>
          </mc:Fallback>
        </mc:AlternateContent>
      </w:r>
    </w:p>
    <w:p w:rsidR="00C538DA" w:rsidRDefault="00C538DA" w:rsidP="000D1183">
      <w:pPr>
        <w:rPr>
          <w:lang w:val="es-SV"/>
        </w:rPr>
      </w:pPr>
    </w:p>
    <w:p w:rsidR="00C538DA" w:rsidRDefault="00C538DA" w:rsidP="000D1183">
      <w:pPr>
        <w:rPr>
          <w:lang w:val="es-SV"/>
        </w:rPr>
      </w:pPr>
      <w:bookmarkStart w:id="0" w:name="_GoBack"/>
      <w:bookmarkEnd w:id="0"/>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Default="002E4B96" w:rsidP="002E4B96">
      <w:pPr>
        <w:spacing w:after="0" w:line="240" w:lineRule="auto"/>
        <w:jc w:val="both"/>
        <w:rPr>
          <w:b/>
          <w:bCs/>
          <w:iCs/>
        </w:rPr>
      </w:pPr>
    </w:p>
    <w:p w:rsidR="002E4B96" w:rsidRPr="00F50960" w:rsidRDefault="002E4B96" w:rsidP="002E4B96">
      <w:pPr>
        <w:spacing w:after="0" w:line="240" w:lineRule="auto"/>
        <w:jc w:val="both"/>
        <w:rPr>
          <w:b/>
          <w:bCs/>
          <w:iCs/>
        </w:rPr>
      </w:pPr>
      <w:r w:rsidRPr="00F50960">
        <w:rPr>
          <w:b/>
          <w:bCs/>
          <w:iCs/>
        </w:rPr>
        <w:t>Sujetos a que aplica el trámite específico:</w:t>
      </w:r>
    </w:p>
    <w:p w:rsidR="00980A66" w:rsidRPr="00F50960" w:rsidRDefault="00980A66" w:rsidP="00980A66">
      <w:pPr>
        <w:spacing w:after="0" w:line="240" w:lineRule="auto"/>
        <w:jc w:val="both"/>
        <w:rPr>
          <w:bCs/>
          <w:iCs/>
        </w:rPr>
      </w:pPr>
      <w:r w:rsidRPr="00F50960">
        <w:rPr>
          <w:bCs/>
          <w:iCs/>
        </w:rPr>
        <w:t>Sociedades de Ahorro y Crédito</w:t>
      </w:r>
    </w:p>
    <w:p w:rsidR="00DA573A" w:rsidRPr="00F50960" w:rsidRDefault="00DA573A" w:rsidP="002E4B96">
      <w:pPr>
        <w:spacing w:after="0" w:line="240" w:lineRule="auto"/>
        <w:jc w:val="both"/>
        <w:rPr>
          <w:bCs/>
          <w:iCs/>
        </w:rPr>
      </w:pPr>
    </w:p>
    <w:p w:rsidR="002E4B96" w:rsidRPr="00F50960" w:rsidRDefault="002E4B96" w:rsidP="002E4B96">
      <w:pPr>
        <w:spacing w:after="0" w:line="240" w:lineRule="auto"/>
        <w:jc w:val="both"/>
        <w:rPr>
          <w:b/>
          <w:bCs/>
          <w:iCs/>
        </w:rPr>
      </w:pPr>
      <w:r w:rsidRPr="00F50960">
        <w:rPr>
          <w:b/>
          <w:bCs/>
          <w:iCs/>
        </w:rPr>
        <w:t xml:space="preserve">Base legal: </w:t>
      </w:r>
    </w:p>
    <w:p w:rsidR="002E4B96" w:rsidRPr="00F50960" w:rsidRDefault="002E4B96" w:rsidP="002E4B96">
      <w:pPr>
        <w:spacing w:after="0" w:line="240" w:lineRule="auto"/>
        <w:jc w:val="both"/>
        <w:rPr>
          <w:iCs/>
        </w:rPr>
      </w:pPr>
    </w:p>
    <w:p w:rsidR="006105CE" w:rsidRPr="00F50960" w:rsidRDefault="006105CE" w:rsidP="00DC4828">
      <w:pPr>
        <w:pStyle w:val="Prrafodelista"/>
        <w:numPr>
          <w:ilvl w:val="0"/>
          <w:numId w:val="34"/>
        </w:numPr>
        <w:spacing w:after="0" w:line="240" w:lineRule="auto"/>
        <w:ind w:right="-143"/>
        <w:jc w:val="both"/>
        <w:rPr>
          <w:rFonts w:cstheme="minorHAnsi"/>
          <w:iCs/>
        </w:rPr>
      </w:pPr>
      <w:r w:rsidRPr="00F50960">
        <w:rPr>
          <w:rFonts w:cstheme="minorHAnsi"/>
          <w:iCs/>
        </w:rPr>
        <w:t>Ley de Bancos Cooperativos y Sociedades de Ahorro y Crédito: artículos 155, 157 y 158.</w:t>
      </w:r>
    </w:p>
    <w:p w:rsidR="00DA573A" w:rsidRPr="00F50960" w:rsidRDefault="006105CE" w:rsidP="00DC4828">
      <w:pPr>
        <w:pStyle w:val="Prrafodelista"/>
        <w:numPr>
          <w:ilvl w:val="0"/>
          <w:numId w:val="34"/>
        </w:numPr>
        <w:spacing w:after="0" w:line="240" w:lineRule="auto"/>
        <w:ind w:right="-143"/>
        <w:jc w:val="both"/>
        <w:rPr>
          <w:rFonts w:cstheme="minorHAnsi"/>
          <w:b/>
          <w:bCs/>
          <w:iCs/>
          <w:u w:val="single"/>
        </w:rPr>
      </w:pPr>
      <w:r w:rsidRPr="00F50960">
        <w:rPr>
          <w:rFonts w:cstheme="minorHAnsi"/>
          <w:iCs/>
        </w:rPr>
        <w:t>Normas para Constituir y Operar Sociedades de Ahorro y Crédito y para Convertir Entidades en Marcha en Sociedades de Ahorro y Crédito (NPNB1-03)</w:t>
      </w:r>
    </w:p>
    <w:p w:rsidR="006105CE" w:rsidRPr="00F50960" w:rsidRDefault="006105CE" w:rsidP="006105CE">
      <w:pPr>
        <w:pStyle w:val="Prrafodelista"/>
        <w:rPr>
          <w:rFonts w:cstheme="minorHAnsi"/>
          <w:b/>
          <w:bCs/>
          <w:iCs/>
          <w:u w:val="single"/>
        </w:rPr>
      </w:pPr>
    </w:p>
    <w:p w:rsidR="002E4B96" w:rsidRPr="00F50960" w:rsidRDefault="002E4B96" w:rsidP="002E4B96">
      <w:pPr>
        <w:spacing w:after="0" w:line="240" w:lineRule="auto"/>
        <w:jc w:val="both"/>
        <w:rPr>
          <w:iCs/>
          <w:u w:val="single"/>
        </w:rPr>
      </w:pPr>
      <w:r w:rsidRPr="00F50960">
        <w:rPr>
          <w:b/>
          <w:bCs/>
          <w:iCs/>
          <w:u w:val="single"/>
        </w:rPr>
        <w:t>Requisitos a presentar:</w:t>
      </w:r>
    </w:p>
    <w:p w:rsidR="002E4B96" w:rsidRPr="00F50960" w:rsidRDefault="002E4B96" w:rsidP="002E4B96">
      <w:pPr>
        <w:spacing w:after="0" w:line="240" w:lineRule="auto"/>
        <w:contextualSpacing/>
        <w:jc w:val="both"/>
        <w:rPr>
          <w:iCs/>
        </w:rPr>
      </w:pP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Solicitud dirigida al Superintendente, de autorización para convertir  y operar una sociedad de ahorro y crédito (ver requisitos adicionales para captación de depósitos a la vista retirables por medio de cheques u otros medios según NRP-01);</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Certificación de punto de Acta de Junta General de Accionistas, en la que se acordó solicitar a la Superintendencia la autorización para convertirse y operar como sociedad de ahorro y crédito;</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Cuando se trate de sociedades, proyecto de escritura de ejecución del acuerdo de transformación, de conformidad al art.323 y 324 del Código de Comercio;</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Disponer de un capital social mínimo pagado de US$3,</w:t>
      </w:r>
      <w:r w:rsidR="002363C4">
        <w:rPr>
          <w:rFonts w:eastAsia="Times New Roman" w:cs="Calibri"/>
          <w:lang w:eastAsia="es-SV"/>
        </w:rPr>
        <w:t>948,598</w:t>
      </w:r>
      <w:r w:rsidRPr="00F50960">
        <w:rPr>
          <w:rFonts w:eastAsia="Times New Roman" w:cs="Calibri"/>
          <w:lang w:eastAsia="es-SV"/>
        </w:rPr>
        <w:t>.00 para una SAC no especializada y de US$1,5</w:t>
      </w:r>
      <w:r w:rsidR="002363C4">
        <w:rPr>
          <w:rFonts w:eastAsia="Times New Roman" w:cs="Calibri"/>
          <w:lang w:eastAsia="es-SV"/>
        </w:rPr>
        <w:t>88,221</w:t>
      </w:r>
      <w:r w:rsidRPr="00F50960">
        <w:rPr>
          <w:rFonts w:eastAsia="Times New Roman" w:cs="Calibri"/>
          <w:lang w:eastAsia="es-SV"/>
        </w:rPr>
        <w:t>.00 si será una SAC especializada en financiar la pequeña y microempresa; en caso que la SAC captará depósitos en cuenta corriente, su fondo patrimonial debe ser igual o mayor a US$6,000,000.00. (según No.CD-</w:t>
      </w:r>
      <w:r w:rsidR="002363C4">
        <w:rPr>
          <w:rFonts w:eastAsia="Times New Roman" w:cs="Calibri"/>
          <w:lang w:eastAsia="es-SV"/>
        </w:rPr>
        <w:t>32</w:t>
      </w:r>
      <w:r w:rsidRPr="00F50960">
        <w:rPr>
          <w:rFonts w:eastAsia="Times New Roman" w:cs="Calibri"/>
          <w:lang w:eastAsia="es-SV"/>
        </w:rPr>
        <w:t>/20</w:t>
      </w:r>
      <w:r w:rsidR="002363C4">
        <w:rPr>
          <w:rFonts w:eastAsia="Times New Roman" w:cs="Calibri"/>
          <w:lang w:eastAsia="es-SV"/>
        </w:rPr>
        <w:t>20</w:t>
      </w:r>
      <w:r w:rsidRPr="00F50960">
        <w:rPr>
          <w:rFonts w:eastAsia="Times New Roman" w:cs="Calibri"/>
          <w:lang w:eastAsia="es-SV"/>
        </w:rPr>
        <w:t xml:space="preserve"> de fecha 2</w:t>
      </w:r>
      <w:r w:rsidR="002363C4">
        <w:rPr>
          <w:rFonts w:eastAsia="Times New Roman" w:cs="Calibri"/>
          <w:lang w:eastAsia="es-SV"/>
        </w:rPr>
        <w:t>3</w:t>
      </w:r>
      <w:r w:rsidRPr="00F50960">
        <w:rPr>
          <w:rFonts w:eastAsia="Times New Roman" w:cs="Calibri"/>
          <w:lang w:eastAsia="es-SV"/>
        </w:rPr>
        <w:t xml:space="preserve"> de septiembre de 20</w:t>
      </w:r>
      <w:r w:rsidR="002363C4">
        <w:rPr>
          <w:rFonts w:eastAsia="Times New Roman" w:cs="Calibri"/>
          <w:lang w:eastAsia="es-SV"/>
        </w:rPr>
        <w:t>20</w:t>
      </w:r>
      <w:r w:rsidRPr="00F50960">
        <w:rPr>
          <w:rFonts w:eastAsia="Times New Roman" w:cs="Calibri"/>
          <w:lang w:eastAsia="es-SV"/>
        </w:rPr>
        <w:t xml:space="preserve"> que se actualiza cada 2 años y art.34 Ley de Bancos Cooperativos y SAC);</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p>
    <w:p w:rsidR="003353D2" w:rsidRPr="00F50960" w:rsidRDefault="003353D2" w:rsidP="003353D2">
      <w:pPr>
        <w:pStyle w:val="Prrafodelista"/>
        <w:numPr>
          <w:ilvl w:val="0"/>
          <w:numId w:val="35"/>
        </w:numPr>
        <w:tabs>
          <w:tab w:val="left" w:pos="9709"/>
        </w:tabs>
        <w:spacing w:after="0" w:line="240" w:lineRule="auto"/>
        <w:jc w:val="both"/>
        <w:rPr>
          <w:rFonts w:eastAsia="Times New Roman" w:cs="Calibri"/>
          <w:color w:val="000000"/>
          <w:lang w:eastAsia="es-SV"/>
        </w:rPr>
      </w:pPr>
      <w:r w:rsidRPr="00F50960">
        <w:rPr>
          <w:rFonts w:eastAsia="Times New Roman" w:cs="Calibri"/>
          <w:color w:val="000000"/>
          <w:lang w:eastAsia="es-SV"/>
        </w:rPr>
        <w:t>Proyecto de Modificación del pacto social de la entidad;</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color w:val="000000"/>
          <w:lang w:eastAsia="es-SV"/>
        </w:rPr>
      </w:pPr>
      <w:r w:rsidRPr="00F50960">
        <w:rPr>
          <w:rFonts w:eastAsia="Times New Roman" w:cs="Calibri"/>
          <w:color w:val="000000"/>
          <w:lang w:eastAsia="es-SV"/>
        </w:rPr>
        <w:t>Estados financieros auditados de los últimos 3 años, con sus notas y dictamen y copia de estados financieros al mes inmediato anterior a la solicitud;</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color w:val="000000"/>
          <w:lang w:eastAsia="es-SV"/>
        </w:rPr>
      </w:pPr>
      <w:r w:rsidRPr="00F50960">
        <w:rPr>
          <w:rFonts w:eastAsia="Times New Roman" w:cs="Calibri"/>
          <w:color w:val="000000"/>
          <w:lang w:eastAsia="es-SV"/>
        </w:rPr>
        <w:t>Información sobre operaciones desarrolladas por la entidad, segmentos de mercado que atiende y productos con que opera, así como su posicionamiento en el mercado objetivo;</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3353D2">
      <w:pPr>
        <w:pStyle w:val="Prrafodelista"/>
        <w:numPr>
          <w:ilvl w:val="0"/>
          <w:numId w:val="35"/>
        </w:numPr>
        <w:tabs>
          <w:tab w:val="left" w:pos="9709"/>
        </w:tabs>
        <w:spacing w:after="0" w:line="240" w:lineRule="auto"/>
        <w:jc w:val="both"/>
        <w:rPr>
          <w:rFonts w:eastAsia="Times New Roman" w:cs="Calibri"/>
          <w:lang w:eastAsia="es-SV"/>
        </w:rPr>
      </w:pPr>
      <w:r w:rsidRPr="00F50960">
        <w:rPr>
          <w:rFonts w:eastAsia="Times New Roman" w:cs="Calibri"/>
          <w:color w:val="000000"/>
          <w:lang w:eastAsia="es-SV"/>
        </w:rPr>
        <w:t>Copia de Planes estratégicos de la entidad y su avance a la fecha de la solicitud;</w:t>
      </w:r>
    </w:p>
    <w:p w:rsidR="003353D2" w:rsidRPr="00F50960" w:rsidRDefault="003353D2" w:rsidP="003353D2">
      <w:pPr>
        <w:pStyle w:val="Prrafodelista"/>
        <w:jc w:val="both"/>
        <w:rPr>
          <w:rFonts w:eastAsia="Times New Roman" w:cs="Calibri"/>
          <w:lang w:eastAsia="es-SV"/>
        </w:rPr>
      </w:pP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lastRenderedPageBreak/>
        <w:t>Numero y ubicación de agencias o establecimientos con que cuenta la entidad y sus oficinas centrales, así como número de empleados;</w:t>
      </w:r>
    </w:p>
    <w:p w:rsidR="003353D2" w:rsidRPr="00F50960" w:rsidRDefault="003353D2" w:rsidP="003353D2">
      <w:pPr>
        <w:tabs>
          <w:tab w:val="left" w:pos="9709"/>
        </w:tabs>
        <w:spacing w:after="0" w:line="240" w:lineRule="auto"/>
        <w:ind w:left="65"/>
        <w:jc w:val="both"/>
        <w:rPr>
          <w:rFonts w:eastAsia="Times New Roman" w:cs="Calibri"/>
          <w:lang w:eastAsia="es-SV"/>
        </w:rPr>
      </w:pPr>
      <w:r w:rsidRPr="00F50960">
        <w:rPr>
          <w:rFonts w:eastAsia="Times New Roman" w:cs="Calibri"/>
          <w:lang w:eastAsia="es-SV"/>
        </w:rPr>
        <w:tab/>
        <w:t> </w:t>
      </w:r>
    </w:p>
    <w:p w:rsidR="003353D2" w:rsidRPr="00F50960" w:rsidRDefault="003353D2" w:rsidP="003353D2">
      <w:pPr>
        <w:pStyle w:val="Prrafodelista"/>
        <w:numPr>
          <w:ilvl w:val="0"/>
          <w:numId w:val="35"/>
        </w:numPr>
        <w:tabs>
          <w:tab w:val="left" w:pos="9709"/>
        </w:tabs>
        <w:spacing w:after="0" w:line="240" w:lineRule="auto"/>
        <w:jc w:val="both"/>
        <w:rPr>
          <w:rFonts w:eastAsia="Times New Roman" w:cs="Calibri"/>
          <w:color w:val="000000"/>
          <w:lang w:eastAsia="es-SV"/>
        </w:rPr>
      </w:pPr>
      <w:r w:rsidRPr="00F50960">
        <w:rPr>
          <w:rFonts w:eastAsia="Times New Roman" w:cs="Calibri"/>
          <w:color w:val="000000"/>
          <w:lang w:eastAsia="es-SV"/>
        </w:rPr>
        <w:t>Información sobre estructura y gestión del activo;</w:t>
      </w:r>
    </w:p>
    <w:p w:rsidR="003353D2" w:rsidRPr="00F50960" w:rsidRDefault="003353D2" w:rsidP="003353D2">
      <w:pPr>
        <w:tabs>
          <w:tab w:val="left" w:pos="9709"/>
        </w:tabs>
        <w:spacing w:after="0" w:line="240" w:lineRule="auto"/>
        <w:ind w:left="65"/>
        <w:jc w:val="both"/>
        <w:rPr>
          <w:rFonts w:eastAsia="Times New Roman" w:cs="Calibri"/>
          <w:lang w:eastAsia="es-SV"/>
        </w:rPr>
      </w:pPr>
    </w:p>
    <w:p w:rsidR="003353D2" w:rsidRPr="00F50960" w:rsidRDefault="003353D2" w:rsidP="003353D2">
      <w:pPr>
        <w:pStyle w:val="Prrafodelista"/>
        <w:numPr>
          <w:ilvl w:val="0"/>
          <w:numId w:val="35"/>
        </w:numPr>
        <w:tabs>
          <w:tab w:val="left" w:pos="9709"/>
        </w:tabs>
        <w:spacing w:after="0" w:line="240" w:lineRule="auto"/>
        <w:jc w:val="both"/>
        <w:rPr>
          <w:rFonts w:eastAsia="Times New Roman" w:cs="Calibri"/>
          <w:color w:val="000000"/>
          <w:lang w:eastAsia="es-SV"/>
        </w:rPr>
      </w:pPr>
      <w:r w:rsidRPr="00F50960">
        <w:rPr>
          <w:rFonts w:eastAsia="Times New Roman" w:cs="Calibri"/>
          <w:color w:val="000000"/>
          <w:lang w:eastAsia="es-SV"/>
        </w:rPr>
        <w:t>Información sobre estructura y calidad de la cartera de créditos;</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3353D2">
      <w:pPr>
        <w:pStyle w:val="Prrafodelista"/>
        <w:numPr>
          <w:ilvl w:val="0"/>
          <w:numId w:val="35"/>
        </w:numPr>
        <w:tabs>
          <w:tab w:val="left" w:pos="9709"/>
        </w:tabs>
        <w:spacing w:after="0" w:line="240" w:lineRule="auto"/>
        <w:jc w:val="both"/>
        <w:rPr>
          <w:rFonts w:eastAsia="Times New Roman" w:cs="Calibri"/>
          <w:color w:val="000000"/>
          <w:lang w:eastAsia="es-SV"/>
        </w:rPr>
      </w:pPr>
      <w:r w:rsidRPr="00F50960">
        <w:rPr>
          <w:rFonts w:eastAsia="Times New Roman" w:cs="Calibri"/>
          <w:color w:val="000000"/>
          <w:lang w:eastAsia="es-SV"/>
        </w:rPr>
        <w:t>Descripción de fuentes de fondos de la entidad.</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Certificación de punto de acta de la Junta General de Accionistas, en la que se acordó cuales operaciones desarrollará una vez autorizada. (si no captará depósitos del público desde el inicio de sus operaciones, presentar una declaración jurada notarial emitida por el Presidente y el Ejecutor Especial que para efectos de los trámites de la solicitud haya nombrado la entidad, haciendo constar que no iniciará la operaciones de captación de depósitos del público sin la previa notificación a la SSF y que cumplirá, a la fecha de inicio de tales operaciones, con los requerimientos que para tales efectos emita la SSF);</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Proyecciones económico- financieras de la entidad para un período de 5 años, presentadas de conformidad al Manual de Contabilidad aplicable a SAC, en las que se demuestre que cumplirá con los requisitos de capital social, monto mínimo de fondo patrimonial, solvencia, endeudamiento, límites de asunción de riesgos y otros;</w:t>
      </w:r>
    </w:p>
    <w:p w:rsidR="003353D2" w:rsidRPr="00F50960" w:rsidRDefault="003353D2" w:rsidP="003353D2">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 </w:t>
      </w: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Informe Certificado expedido por un Auditor Externo inscrito en el Registro de Auditores Externos de Bancos que lleva la Superintendencia, en el que se compruebe que el capital social pagado de la entidad es igual o sobrepasa el mínimo requerido para el tipo de sociedad de ahorro y crédito que desea adoptarse, dicha certificación deberá reunir como mínimo los requisitos establecidos en art.15, literal f) de las NPNB1-03;</w:t>
      </w:r>
    </w:p>
    <w:p w:rsidR="003353D2" w:rsidRPr="00F50960" w:rsidRDefault="003353D2" w:rsidP="003353D2">
      <w:pPr>
        <w:pStyle w:val="Prrafodelista"/>
        <w:rPr>
          <w:rFonts w:eastAsia="Times New Roman" w:cs="Calibri"/>
          <w:lang w:eastAsia="es-SV"/>
        </w:rPr>
      </w:pPr>
    </w:p>
    <w:p w:rsidR="003353D2" w:rsidRPr="00F50960" w:rsidRDefault="003353D2" w:rsidP="00DC4828">
      <w:pPr>
        <w:pStyle w:val="Prrafodelista"/>
        <w:numPr>
          <w:ilvl w:val="0"/>
          <w:numId w:val="35"/>
        </w:numPr>
        <w:tabs>
          <w:tab w:val="left" w:pos="9709"/>
        </w:tabs>
        <w:spacing w:after="0" w:line="240" w:lineRule="auto"/>
        <w:ind w:right="-143"/>
        <w:jc w:val="both"/>
        <w:rPr>
          <w:rFonts w:eastAsia="Times New Roman" w:cs="Calibri"/>
          <w:lang w:eastAsia="es-SV"/>
        </w:rPr>
      </w:pPr>
      <w:r w:rsidRPr="00F50960">
        <w:rPr>
          <w:rFonts w:eastAsia="Times New Roman" w:cs="Calibri"/>
          <w:lang w:eastAsia="es-SV"/>
        </w:rPr>
        <w:t>Información de los futuros accionistas, quienes no podrán ser menos de 10, con especificación de sus generales y su participación accionaria:</w:t>
      </w:r>
    </w:p>
    <w:p w:rsidR="003353D2" w:rsidRPr="00F50960" w:rsidRDefault="003353D2" w:rsidP="003353D2">
      <w:pPr>
        <w:pStyle w:val="Prrafodelista"/>
        <w:spacing w:after="0" w:line="240" w:lineRule="auto"/>
        <w:ind w:left="425"/>
        <w:jc w:val="both"/>
        <w:rPr>
          <w:rFonts w:eastAsia="Times New Roman" w:cs="Calibri"/>
          <w:lang w:eastAsia="es-SV"/>
        </w:rPr>
      </w:pPr>
    </w:p>
    <w:p w:rsidR="00DC4828" w:rsidRPr="00F50960" w:rsidRDefault="003353D2" w:rsidP="00DC4828">
      <w:pPr>
        <w:pStyle w:val="Prrafodelista"/>
        <w:numPr>
          <w:ilvl w:val="1"/>
          <w:numId w:val="35"/>
        </w:numPr>
        <w:tabs>
          <w:tab w:val="left" w:pos="9709"/>
        </w:tabs>
        <w:spacing w:after="0" w:line="240" w:lineRule="auto"/>
        <w:rPr>
          <w:rFonts w:eastAsia="Times New Roman" w:cs="Calibri"/>
          <w:lang w:eastAsia="es-SV"/>
        </w:rPr>
      </w:pPr>
      <w:r w:rsidRPr="00F50960">
        <w:rPr>
          <w:rFonts w:eastAsia="Times New Roman" w:cs="Calibri"/>
          <w:lang w:eastAsia="es-SV"/>
        </w:rPr>
        <w:t>Personas Naturales:</w:t>
      </w:r>
    </w:p>
    <w:p w:rsidR="00DC4828" w:rsidRPr="00F50960" w:rsidRDefault="003353D2" w:rsidP="00DC4828">
      <w:pPr>
        <w:pStyle w:val="Prrafodelista"/>
        <w:tabs>
          <w:tab w:val="left" w:pos="9709"/>
        </w:tabs>
        <w:spacing w:after="0" w:line="240" w:lineRule="auto"/>
        <w:ind w:left="845" w:right="-285"/>
        <w:rPr>
          <w:rFonts w:eastAsia="Times New Roman" w:cs="Calibri"/>
          <w:lang w:eastAsia="es-SV"/>
        </w:rPr>
      </w:pPr>
      <w:r w:rsidRPr="00F50960">
        <w:rPr>
          <w:rFonts w:eastAsia="Times New Roman" w:cs="Calibri"/>
          <w:lang w:eastAsia="es-SV"/>
        </w:rPr>
        <w:t>a. Fotocopia de DUI;</w:t>
      </w:r>
      <w:r w:rsidRPr="00F50960">
        <w:rPr>
          <w:rFonts w:eastAsia="Times New Roman" w:cs="Calibri"/>
          <w:lang w:eastAsia="es-SV"/>
        </w:rPr>
        <w:br/>
        <w:t>b. Fotocopia de NIT;</w:t>
      </w:r>
      <w:r w:rsidRPr="00F50960">
        <w:rPr>
          <w:rFonts w:eastAsia="Times New Roman" w:cs="Calibri"/>
          <w:lang w:eastAsia="es-SV"/>
        </w:rPr>
        <w:br/>
        <w:t>c. Dos referencias bancarias;</w:t>
      </w:r>
      <w:r w:rsidRPr="00F50960">
        <w:rPr>
          <w:rFonts w:eastAsia="Times New Roman" w:cs="Calibri"/>
          <w:lang w:eastAsia="es-SV"/>
        </w:rPr>
        <w:br/>
        <w:t>d. Dos referencias comerciales;</w:t>
      </w:r>
      <w:r w:rsidRPr="00F50960">
        <w:rPr>
          <w:rFonts w:eastAsia="Times New Roman" w:cs="Calibri"/>
          <w:lang w:eastAsia="es-SV"/>
        </w:rPr>
        <w:br/>
        <w:t>e. Fotocopia de pasaporte en el caso de extranjeros;</w:t>
      </w:r>
      <w:r w:rsidRPr="00F50960">
        <w:rPr>
          <w:rFonts w:eastAsia="Times New Roman" w:cs="Calibri"/>
          <w:lang w:eastAsia="es-SV"/>
        </w:rPr>
        <w:br/>
        <w:t>f. Estados financieros auditados del último ejercicio contable,</w:t>
      </w:r>
      <w:r w:rsidR="00DC4828" w:rsidRPr="00F50960">
        <w:rPr>
          <w:rFonts w:eastAsia="Times New Roman" w:cs="Calibri"/>
          <w:lang w:eastAsia="es-SV"/>
        </w:rPr>
        <w:t xml:space="preserve"> cuando lo requiera  la ley;</w:t>
      </w:r>
      <w:r w:rsidR="00DC4828" w:rsidRPr="00F50960">
        <w:rPr>
          <w:rFonts w:eastAsia="Times New Roman" w:cs="Calibri"/>
          <w:lang w:eastAsia="es-SV"/>
        </w:rPr>
        <w:br/>
        <w:t xml:space="preserve">g. </w:t>
      </w:r>
      <w:r w:rsidRPr="00F50960">
        <w:rPr>
          <w:rFonts w:eastAsia="Times New Roman" w:cs="Calibri"/>
          <w:lang w:eastAsia="es-SV"/>
        </w:rPr>
        <w:t xml:space="preserve">Solicitud para ser titular de más del 1% de las acciones con especificación de la fuente </w:t>
      </w:r>
    </w:p>
    <w:p w:rsidR="00DC4828" w:rsidRPr="00F50960" w:rsidRDefault="00DC4828" w:rsidP="00DC4828">
      <w:pPr>
        <w:pStyle w:val="Prrafodelista"/>
        <w:tabs>
          <w:tab w:val="left" w:pos="9709"/>
        </w:tabs>
        <w:spacing w:after="0" w:line="240" w:lineRule="auto"/>
        <w:ind w:left="845" w:right="-285"/>
        <w:rPr>
          <w:rFonts w:eastAsia="Times New Roman" w:cs="Calibri"/>
          <w:lang w:eastAsia="es-SV"/>
        </w:rPr>
      </w:pPr>
      <w:r w:rsidRPr="00F50960">
        <w:rPr>
          <w:rFonts w:eastAsia="Times New Roman" w:cs="Calibri"/>
          <w:lang w:eastAsia="es-SV"/>
        </w:rPr>
        <w:t xml:space="preserve">    </w:t>
      </w:r>
      <w:r w:rsidR="003353D2" w:rsidRPr="00F50960">
        <w:rPr>
          <w:rFonts w:eastAsia="Times New Roman" w:cs="Calibri"/>
          <w:lang w:eastAsia="es-SV"/>
        </w:rPr>
        <w:t>de</w:t>
      </w:r>
      <w:r w:rsidRPr="00F50960">
        <w:rPr>
          <w:rFonts w:eastAsia="Times New Roman" w:cs="Calibri"/>
          <w:lang w:eastAsia="es-SV"/>
        </w:rPr>
        <w:t xml:space="preserve"> fondos para su adquisición;</w:t>
      </w:r>
      <w:r w:rsidRPr="00F50960">
        <w:rPr>
          <w:rFonts w:eastAsia="Times New Roman" w:cs="Calibri"/>
          <w:lang w:eastAsia="es-SV"/>
        </w:rPr>
        <w:br/>
        <w:t xml:space="preserve">h. </w:t>
      </w:r>
      <w:r w:rsidR="003353D2" w:rsidRPr="00F50960">
        <w:rPr>
          <w:rFonts w:eastAsia="Times New Roman" w:cs="Calibri"/>
          <w:lang w:eastAsia="es-SV"/>
        </w:rPr>
        <w:t>Declaración jurada de no encontrarse en situación de quiebra o insolvencia; y</w:t>
      </w:r>
      <w:r w:rsidR="003353D2" w:rsidRPr="00F50960">
        <w:rPr>
          <w:rFonts w:eastAsia="Times New Roman" w:cs="Calibri"/>
          <w:lang w:eastAsia="es-SV"/>
        </w:rPr>
        <w:br/>
        <w:t>i. Descripción de la fuente de recursos para adquirir las acciones.</w:t>
      </w:r>
    </w:p>
    <w:p w:rsidR="003353D2" w:rsidRPr="00F50960" w:rsidRDefault="003353D2" w:rsidP="00DC4828">
      <w:pPr>
        <w:pStyle w:val="Prrafodelista"/>
        <w:tabs>
          <w:tab w:val="left" w:pos="9709"/>
        </w:tabs>
        <w:spacing w:after="0" w:line="240" w:lineRule="auto"/>
        <w:ind w:left="845"/>
        <w:rPr>
          <w:rFonts w:eastAsia="Times New Roman" w:cs="Calibri"/>
          <w:lang w:eastAsia="es-SV"/>
        </w:rPr>
      </w:pPr>
      <w:r w:rsidRPr="00F50960">
        <w:rPr>
          <w:rFonts w:eastAsia="Times New Roman" w:cs="Calibri"/>
          <w:lang w:eastAsia="es-SV"/>
        </w:rPr>
        <w:tab/>
      </w:r>
    </w:p>
    <w:p w:rsidR="00DC4828" w:rsidRPr="00F50960" w:rsidRDefault="003353D2" w:rsidP="00DC4828">
      <w:pPr>
        <w:pStyle w:val="Prrafodelista"/>
        <w:numPr>
          <w:ilvl w:val="1"/>
          <w:numId w:val="35"/>
        </w:numPr>
        <w:tabs>
          <w:tab w:val="left" w:pos="9709"/>
        </w:tabs>
        <w:spacing w:after="0" w:line="240" w:lineRule="auto"/>
        <w:rPr>
          <w:rFonts w:eastAsia="Times New Roman" w:cs="Calibri"/>
          <w:lang w:eastAsia="es-SV"/>
        </w:rPr>
      </w:pPr>
      <w:r w:rsidRPr="00F50960">
        <w:rPr>
          <w:rFonts w:eastAsia="Times New Roman" w:cs="Calibri"/>
          <w:lang w:eastAsia="es-SV"/>
        </w:rPr>
        <w:t>Personas Jurídicas:</w:t>
      </w:r>
    </w:p>
    <w:p w:rsidR="00DC4828" w:rsidRPr="00F50960" w:rsidRDefault="003353D2" w:rsidP="00DC4828">
      <w:pPr>
        <w:pStyle w:val="Prrafodelista"/>
        <w:tabs>
          <w:tab w:val="left" w:pos="9709"/>
        </w:tabs>
        <w:spacing w:after="0" w:line="240" w:lineRule="auto"/>
        <w:ind w:left="845"/>
        <w:rPr>
          <w:lang w:val="es-SV"/>
        </w:rPr>
      </w:pPr>
      <w:r w:rsidRPr="00F50960">
        <w:rPr>
          <w:rFonts w:eastAsia="Times New Roman" w:cs="Calibri"/>
          <w:lang w:eastAsia="es-SV"/>
        </w:rPr>
        <w:t xml:space="preserve">a. </w:t>
      </w:r>
      <w:r w:rsidRPr="00F50960">
        <w:rPr>
          <w:lang w:val="es-SV"/>
        </w:rPr>
        <w:t>Denominación o razón social;</w:t>
      </w:r>
      <w:r w:rsidRPr="00F50960">
        <w:rPr>
          <w:lang w:val="es-SV"/>
        </w:rPr>
        <w:br/>
        <w:t>b. Nacionalidad y domicilio;</w:t>
      </w:r>
      <w:r w:rsidRPr="00F50960">
        <w:rPr>
          <w:lang w:val="es-SV"/>
        </w:rPr>
        <w:br/>
        <w:t>c. Fotocopia certificada del NIT;</w:t>
      </w:r>
      <w:r w:rsidRPr="00F50960">
        <w:rPr>
          <w:lang w:val="es-SV"/>
        </w:rPr>
        <w:br/>
        <w:t>d. Estados financieros auditados del último ejercicio contable;</w:t>
      </w:r>
      <w:r w:rsidRPr="00F50960">
        <w:rPr>
          <w:lang w:val="es-SV"/>
        </w:rPr>
        <w:br/>
        <w:t>e. Dos referencias bancarias;</w:t>
      </w:r>
      <w:r w:rsidRPr="00F50960">
        <w:rPr>
          <w:lang w:val="es-SV"/>
        </w:rPr>
        <w:br/>
        <w:t xml:space="preserve">f. </w:t>
      </w:r>
      <w:r w:rsidR="00A62DF9" w:rsidRPr="00F50960">
        <w:rPr>
          <w:lang w:val="es-SV"/>
        </w:rPr>
        <w:t xml:space="preserve"> </w:t>
      </w:r>
      <w:r w:rsidRPr="00F50960">
        <w:rPr>
          <w:lang w:val="es-SV"/>
        </w:rPr>
        <w:t>Dos referencias comerciales;</w:t>
      </w:r>
      <w:r w:rsidRPr="00F50960">
        <w:rPr>
          <w:lang w:val="es-SV"/>
        </w:rPr>
        <w:br/>
        <w:t xml:space="preserve">g. Testimonio de escritura de constitución y estatutos o ley de creación, según </w:t>
      </w:r>
    </w:p>
    <w:p w:rsidR="00A62DF9" w:rsidRPr="00F50960" w:rsidRDefault="00A62DF9" w:rsidP="00DC4828">
      <w:pPr>
        <w:pStyle w:val="Prrafodelista"/>
        <w:tabs>
          <w:tab w:val="left" w:pos="9709"/>
        </w:tabs>
        <w:spacing w:after="0" w:line="240" w:lineRule="auto"/>
        <w:ind w:left="845"/>
        <w:rPr>
          <w:lang w:val="es-SV"/>
        </w:rPr>
      </w:pPr>
      <w:r w:rsidRPr="00F50960">
        <w:rPr>
          <w:lang w:val="es-SV"/>
        </w:rPr>
        <w:lastRenderedPageBreak/>
        <w:t xml:space="preserve">    </w:t>
      </w:r>
      <w:r w:rsidR="003353D2" w:rsidRPr="00F50960">
        <w:rPr>
          <w:lang w:val="es-SV"/>
        </w:rPr>
        <w:t>corresponda, en ambos casos con sus reformas y la representación legal;</w:t>
      </w:r>
      <w:r w:rsidR="003353D2" w:rsidRPr="00F50960">
        <w:rPr>
          <w:lang w:val="es-SV"/>
        </w:rPr>
        <w:br/>
        <w:t>h. Poder otorgado para ser representada como accionista;</w:t>
      </w:r>
      <w:r w:rsidR="003353D2" w:rsidRPr="00F50960">
        <w:rPr>
          <w:lang w:val="es-SV"/>
        </w:rPr>
        <w:br/>
        <w:t xml:space="preserve">i. </w:t>
      </w:r>
      <w:r w:rsidRPr="00F50960">
        <w:rPr>
          <w:lang w:val="es-SV"/>
        </w:rPr>
        <w:t xml:space="preserve"> </w:t>
      </w:r>
      <w:r w:rsidR="003353D2" w:rsidRPr="00F50960">
        <w:rPr>
          <w:lang w:val="es-SV"/>
        </w:rPr>
        <w:t>Certificación del punto de acta, en donde se autoriza la adquisición de las acciones;</w:t>
      </w:r>
      <w:r w:rsidR="003353D2" w:rsidRPr="00F50960">
        <w:rPr>
          <w:lang w:val="es-SV"/>
        </w:rPr>
        <w:br/>
        <w:t xml:space="preserve">j. </w:t>
      </w:r>
      <w:r w:rsidRPr="00F50960">
        <w:rPr>
          <w:lang w:val="es-SV"/>
        </w:rPr>
        <w:t xml:space="preserve"> </w:t>
      </w:r>
      <w:r w:rsidR="003353D2" w:rsidRPr="00F50960">
        <w:rPr>
          <w:lang w:val="es-SV"/>
        </w:rPr>
        <w:t xml:space="preserve">Solicitud para ser titular de más del 1% de las acciones con especificación de la </w:t>
      </w:r>
    </w:p>
    <w:p w:rsidR="00A62DF9" w:rsidRPr="00F50960" w:rsidRDefault="00A62DF9" w:rsidP="00DC4828">
      <w:pPr>
        <w:pStyle w:val="Prrafodelista"/>
        <w:tabs>
          <w:tab w:val="left" w:pos="9709"/>
        </w:tabs>
        <w:spacing w:after="0" w:line="240" w:lineRule="auto"/>
        <w:ind w:left="845"/>
        <w:rPr>
          <w:lang w:val="es-SV"/>
        </w:rPr>
      </w:pPr>
      <w:r w:rsidRPr="00F50960">
        <w:rPr>
          <w:lang w:val="es-SV"/>
        </w:rPr>
        <w:t xml:space="preserve">    </w:t>
      </w:r>
      <w:r w:rsidR="003353D2" w:rsidRPr="00F50960">
        <w:rPr>
          <w:lang w:val="es-SV"/>
        </w:rPr>
        <w:t>fuente de fondos para su adquisición;</w:t>
      </w:r>
      <w:r w:rsidR="003353D2" w:rsidRPr="00F50960">
        <w:rPr>
          <w:lang w:val="es-SV"/>
        </w:rPr>
        <w:br/>
        <w:t>k. Descripción de la fuente de recursos para la adquisición de las acciones; y</w:t>
      </w:r>
      <w:r w:rsidR="003353D2" w:rsidRPr="00F50960">
        <w:rPr>
          <w:lang w:val="es-SV"/>
        </w:rPr>
        <w:br/>
        <w:t xml:space="preserve">l. </w:t>
      </w:r>
      <w:r w:rsidRPr="00F50960">
        <w:rPr>
          <w:lang w:val="es-SV"/>
        </w:rPr>
        <w:t xml:space="preserve"> </w:t>
      </w:r>
      <w:r w:rsidR="003353D2" w:rsidRPr="00F50960">
        <w:rPr>
          <w:lang w:val="es-SV"/>
        </w:rPr>
        <w:t xml:space="preserve">Las personas jurídicas extranjeras deben acreditar su existencia, con documentos </w:t>
      </w:r>
    </w:p>
    <w:p w:rsidR="00FE5AE0" w:rsidRPr="00F50960" w:rsidRDefault="00A62DF9" w:rsidP="00DC4828">
      <w:pPr>
        <w:pStyle w:val="Prrafodelista"/>
        <w:tabs>
          <w:tab w:val="left" w:pos="9709"/>
        </w:tabs>
        <w:spacing w:after="0" w:line="240" w:lineRule="auto"/>
        <w:ind w:left="845"/>
        <w:rPr>
          <w:lang w:val="es-SV"/>
        </w:rPr>
      </w:pPr>
      <w:r w:rsidRPr="00F50960">
        <w:rPr>
          <w:lang w:val="es-SV"/>
        </w:rPr>
        <w:t xml:space="preserve">    </w:t>
      </w:r>
      <w:r w:rsidR="003353D2" w:rsidRPr="00F50960">
        <w:rPr>
          <w:lang w:val="es-SV"/>
        </w:rPr>
        <w:t>en idioma castellano debidamente autenticados.</w:t>
      </w:r>
    </w:p>
    <w:p w:rsidR="00FE5AE0" w:rsidRPr="00F50960" w:rsidRDefault="00FE5AE0" w:rsidP="00DC4828">
      <w:pPr>
        <w:pStyle w:val="Prrafodelista"/>
        <w:tabs>
          <w:tab w:val="left" w:pos="9709"/>
        </w:tabs>
        <w:spacing w:after="0" w:line="240" w:lineRule="auto"/>
        <w:ind w:left="845"/>
        <w:rPr>
          <w:lang w:val="es-SV"/>
        </w:rPr>
      </w:pPr>
    </w:p>
    <w:p w:rsidR="00FE5AE0" w:rsidRPr="00F50960" w:rsidRDefault="00FE5AE0" w:rsidP="00FE5AE0">
      <w:pPr>
        <w:pStyle w:val="Prrafodelista"/>
        <w:numPr>
          <w:ilvl w:val="0"/>
          <w:numId w:val="35"/>
        </w:numPr>
        <w:spacing w:after="0" w:line="240" w:lineRule="auto"/>
        <w:jc w:val="both"/>
        <w:rPr>
          <w:rFonts w:eastAsia="Times New Roman" w:cs="Calibri"/>
          <w:lang w:eastAsia="es-SV"/>
        </w:rPr>
      </w:pPr>
      <w:r w:rsidRPr="00F50960">
        <w:rPr>
          <w:rFonts w:eastAsia="Times New Roman" w:cs="Calibri"/>
          <w:lang w:eastAsia="es-SV"/>
        </w:rPr>
        <w:t>Para los directores y su cónyuge:</w:t>
      </w:r>
    </w:p>
    <w:p w:rsidR="00FE5AE0" w:rsidRPr="00F50960" w:rsidRDefault="00FE5AE0" w:rsidP="00FE5AE0">
      <w:pPr>
        <w:pStyle w:val="Prrafodelista"/>
        <w:spacing w:after="0" w:line="240" w:lineRule="auto"/>
        <w:ind w:left="425"/>
        <w:jc w:val="both"/>
        <w:rPr>
          <w:rFonts w:eastAsia="Times New Roman" w:cs="Calibri"/>
          <w:lang w:eastAsia="es-SV"/>
        </w:rPr>
      </w:pPr>
    </w:p>
    <w:p w:rsidR="00B00593" w:rsidRPr="00F50960" w:rsidRDefault="00FE5AE0" w:rsidP="006D63EE">
      <w:pPr>
        <w:pStyle w:val="Prrafodelista"/>
        <w:numPr>
          <w:ilvl w:val="1"/>
          <w:numId w:val="35"/>
        </w:numPr>
        <w:tabs>
          <w:tab w:val="left" w:pos="9709"/>
        </w:tabs>
        <w:spacing w:after="0" w:line="240" w:lineRule="auto"/>
        <w:ind w:left="426" w:right="-285"/>
        <w:jc w:val="both"/>
        <w:rPr>
          <w:rFonts w:eastAsia="Times New Roman" w:cs="Calibri"/>
          <w:lang w:eastAsia="es-SV"/>
        </w:rPr>
      </w:pPr>
      <w:r w:rsidRPr="00F50960">
        <w:rPr>
          <w:rFonts w:eastAsia="Times New Roman" w:cs="Calibri"/>
          <w:lang w:eastAsia="es-SV"/>
        </w:rPr>
        <w:t xml:space="preserve">Declaración jurada de no tener inhabilidades señaladas en el art.15 de la Ley de </w:t>
      </w:r>
      <w:r w:rsidR="00B00593" w:rsidRPr="00F50960">
        <w:rPr>
          <w:rFonts w:eastAsia="Times New Roman" w:cs="Calibri"/>
          <w:lang w:eastAsia="es-SV"/>
        </w:rPr>
        <w:t xml:space="preserve">Bancos </w:t>
      </w:r>
    </w:p>
    <w:p w:rsidR="00FE5AE0" w:rsidRPr="00F50960" w:rsidRDefault="00FE5AE0" w:rsidP="00B00593">
      <w:pPr>
        <w:pStyle w:val="Prrafodelista"/>
        <w:tabs>
          <w:tab w:val="left" w:pos="9709"/>
        </w:tabs>
        <w:spacing w:after="0" w:line="240" w:lineRule="auto"/>
        <w:ind w:left="425" w:right="-143"/>
        <w:jc w:val="both"/>
        <w:rPr>
          <w:rFonts w:eastAsia="Times New Roman" w:cs="Calibri"/>
          <w:lang w:eastAsia="es-SV"/>
        </w:rPr>
      </w:pPr>
      <w:r w:rsidRPr="00F50960">
        <w:rPr>
          <w:rFonts w:eastAsia="Times New Roman" w:cs="Calibri"/>
          <w:lang w:eastAsia="es-SV"/>
        </w:rPr>
        <w:t>Bancos Cooperativos y SAC, según Anexo 2 de las NPNB1-03;</w:t>
      </w:r>
      <w:r w:rsidRPr="00F50960">
        <w:rPr>
          <w:rFonts w:eastAsia="Times New Roman" w:cs="Calibri"/>
          <w:lang w:eastAsia="es-SV"/>
        </w:rPr>
        <w:br/>
      </w:r>
    </w:p>
    <w:p w:rsidR="00FE5AE0" w:rsidRPr="00F50960" w:rsidRDefault="00FE5AE0" w:rsidP="006D63EE">
      <w:pPr>
        <w:tabs>
          <w:tab w:val="left" w:pos="993"/>
        </w:tabs>
        <w:spacing w:after="0" w:line="240" w:lineRule="auto"/>
        <w:ind w:left="426"/>
        <w:rPr>
          <w:rFonts w:eastAsia="Times New Roman" w:cs="Calibri"/>
          <w:lang w:eastAsia="es-SV"/>
        </w:rPr>
      </w:pPr>
      <w:r w:rsidRPr="00F50960">
        <w:rPr>
          <w:rFonts w:eastAsia="Times New Roman" w:cs="Calibri"/>
          <w:lang w:eastAsia="es-SV"/>
        </w:rPr>
        <w:t xml:space="preserve">17.2 </w:t>
      </w:r>
      <w:r w:rsidR="006D63EE" w:rsidRPr="00F50960">
        <w:rPr>
          <w:rFonts w:eastAsia="Times New Roman" w:cs="Calibri"/>
          <w:lang w:eastAsia="es-SV"/>
        </w:rPr>
        <w:tab/>
      </w:r>
      <w:r w:rsidRPr="00F50960">
        <w:rPr>
          <w:rFonts w:eastAsia="Times New Roman" w:cs="Calibri"/>
          <w:lang w:eastAsia="es-SV"/>
        </w:rPr>
        <w:t>Dos referencias bancarias;</w:t>
      </w:r>
    </w:p>
    <w:p w:rsidR="00FE5AE0" w:rsidRPr="00F50960" w:rsidRDefault="00FE5AE0" w:rsidP="00B00593">
      <w:pPr>
        <w:tabs>
          <w:tab w:val="left" w:pos="9709"/>
        </w:tabs>
        <w:spacing w:after="0" w:line="240" w:lineRule="auto"/>
        <w:ind w:left="426" w:firstLine="282"/>
        <w:rPr>
          <w:rFonts w:eastAsia="Times New Roman" w:cs="Calibri"/>
          <w:lang w:eastAsia="es-SV"/>
        </w:rPr>
      </w:pPr>
      <w:r w:rsidRPr="00F50960">
        <w:rPr>
          <w:rFonts w:eastAsia="Times New Roman" w:cs="Calibri"/>
          <w:lang w:eastAsia="es-SV"/>
        </w:rPr>
        <w:br/>
        <w:t xml:space="preserve">17.3 </w:t>
      </w:r>
      <w:r w:rsidR="006D63EE" w:rsidRPr="00F50960">
        <w:rPr>
          <w:rFonts w:eastAsia="Times New Roman" w:cs="Calibri"/>
          <w:lang w:eastAsia="es-SV"/>
        </w:rPr>
        <w:t xml:space="preserve">   </w:t>
      </w:r>
      <w:r w:rsidRPr="00F50960">
        <w:rPr>
          <w:rFonts w:eastAsia="Times New Roman" w:cs="Calibri"/>
          <w:lang w:eastAsia="es-SV"/>
        </w:rPr>
        <w:t>Dos referencias comerciales;</w:t>
      </w:r>
    </w:p>
    <w:p w:rsidR="00B00593" w:rsidRPr="00F50960" w:rsidRDefault="00FE5AE0" w:rsidP="006D63EE">
      <w:pPr>
        <w:tabs>
          <w:tab w:val="left" w:pos="993"/>
          <w:tab w:val="left" w:pos="9709"/>
        </w:tabs>
        <w:spacing w:after="0" w:line="240" w:lineRule="auto"/>
        <w:ind w:left="426" w:right="-285" w:firstLine="282"/>
        <w:jc w:val="both"/>
        <w:rPr>
          <w:rFonts w:eastAsia="Times New Roman" w:cs="Calibri"/>
          <w:lang w:eastAsia="es-SV"/>
        </w:rPr>
      </w:pPr>
      <w:r w:rsidRPr="00F50960">
        <w:rPr>
          <w:rFonts w:eastAsia="Times New Roman" w:cs="Calibri"/>
          <w:lang w:eastAsia="es-SV"/>
        </w:rPr>
        <w:br/>
        <w:t xml:space="preserve">17.4 </w:t>
      </w:r>
      <w:r w:rsidR="006D63EE" w:rsidRPr="00F50960">
        <w:rPr>
          <w:rFonts w:eastAsia="Times New Roman" w:cs="Calibri"/>
          <w:lang w:eastAsia="es-SV"/>
        </w:rPr>
        <w:t xml:space="preserve">  </w:t>
      </w:r>
      <w:r w:rsidRPr="00F50960">
        <w:rPr>
          <w:rFonts w:eastAsia="Times New Roman" w:cs="Calibri"/>
          <w:lang w:eastAsia="es-SV"/>
        </w:rPr>
        <w:t>Constancia emitida por la Dirección de Centros Penales y de Readaptación, de no</w:t>
      </w:r>
      <w:r w:rsidR="00B00593" w:rsidRPr="00F50960">
        <w:rPr>
          <w:rFonts w:eastAsia="Times New Roman" w:cs="Calibri"/>
          <w:lang w:eastAsia="es-SV"/>
        </w:rPr>
        <w:t xml:space="preserve"> tener</w:t>
      </w:r>
      <w:r w:rsidRPr="00F50960">
        <w:rPr>
          <w:rFonts w:eastAsia="Times New Roman" w:cs="Calibri"/>
          <w:lang w:eastAsia="es-SV"/>
        </w:rPr>
        <w:t xml:space="preserve"> </w:t>
      </w:r>
    </w:p>
    <w:p w:rsidR="00FE5AE0" w:rsidRPr="00F50960" w:rsidRDefault="00B00593" w:rsidP="00B00593">
      <w:pPr>
        <w:tabs>
          <w:tab w:val="left" w:pos="9709"/>
        </w:tabs>
        <w:spacing w:after="0" w:line="240" w:lineRule="auto"/>
        <w:ind w:left="426" w:firstLine="282"/>
        <w:jc w:val="both"/>
        <w:rPr>
          <w:rFonts w:eastAsia="Times New Roman" w:cs="Calibri"/>
          <w:lang w:eastAsia="es-SV"/>
        </w:rPr>
      </w:pPr>
      <w:r w:rsidRPr="00F50960">
        <w:rPr>
          <w:rFonts w:eastAsia="Times New Roman" w:cs="Calibri"/>
          <w:lang w:eastAsia="es-SV"/>
        </w:rPr>
        <w:t xml:space="preserve">   </w:t>
      </w:r>
      <w:r w:rsidR="006D63EE" w:rsidRPr="00F50960">
        <w:rPr>
          <w:rFonts w:eastAsia="Times New Roman" w:cs="Calibri"/>
          <w:lang w:eastAsia="es-SV"/>
        </w:rPr>
        <w:t xml:space="preserve">  </w:t>
      </w:r>
      <w:r w:rsidR="00FE5AE0" w:rsidRPr="00F50960">
        <w:rPr>
          <w:rFonts w:eastAsia="Times New Roman" w:cs="Calibri"/>
          <w:lang w:eastAsia="es-SV"/>
        </w:rPr>
        <w:t>antecedentes penales; y</w:t>
      </w:r>
    </w:p>
    <w:p w:rsidR="00FE5AE0" w:rsidRPr="00F50960" w:rsidRDefault="00FE5AE0" w:rsidP="006D63EE">
      <w:pPr>
        <w:tabs>
          <w:tab w:val="left" w:pos="993"/>
          <w:tab w:val="left" w:pos="9709"/>
        </w:tabs>
        <w:spacing w:after="0" w:line="240" w:lineRule="auto"/>
        <w:ind w:left="426" w:firstLine="282"/>
        <w:rPr>
          <w:rFonts w:eastAsia="Times New Roman" w:cs="Calibri"/>
          <w:lang w:eastAsia="es-SV"/>
        </w:rPr>
      </w:pPr>
      <w:r w:rsidRPr="00F50960">
        <w:rPr>
          <w:rFonts w:eastAsia="Times New Roman" w:cs="Calibri"/>
          <w:lang w:eastAsia="es-SV"/>
        </w:rPr>
        <w:br/>
        <w:t xml:space="preserve">17.5 </w:t>
      </w:r>
      <w:r w:rsidR="006D63EE" w:rsidRPr="00F50960">
        <w:rPr>
          <w:rFonts w:eastAsia="Times New Roman" w:cs="Calibri"/>
          <w:lang w:eastAsia="es-SV"/>
        </w:rPr>
        <w:t xml:space="preserve">  </w:t>
      </w:r>
      <w:r w:rsidRPr="00F50960">
        <w:rPr>
          <w:rFonts w:eastAsia="Times New Roman" w:cs="Calibri"/>
          <w:lang w:eastAsia="es-SV"/>
        </w:rPr>
        <w:t>Currículum vitae.</w:t>
      </w:r>
    </w:p>
    <w:p w:rsidR="00B00593" w:rsidRPr="00F50960" w:rsidRDefault="00B00593" w:rsidP="00B00593">
      <w:pPr>
        <w:tabs>
          <w:tab w:val="left" w:pos="9709"/>
        </w:tabs>
        <w:spacing w:after="0" w:line="240" w:lineRule="auto"/>
        <w:ind w:left="426" w:firstLine="282"/>
        <w:rPr>
          <w:rFonts w:eastAsia="Times New Roman" w:cs="Calibri"/>
          <w:lang w:eastAsia="es-SV"/>
        </w:rPr>
      </w:pPr>
    </w:p>
    <w:p w:rsidR="00B00593" w:rsidRPr="00F50960" w:rsidRDefault="00AE455D" w:rsidP="00B00593">
      <w:pPr>
        <w:tabs>
          <w:tab w:val="left" w:pos="9709"/>
        </w:tabs>
        <w:spacing w:after="0" w:line="240" w:lineRule="auto"/>
        <w:ind w:left="426" w:firstLine="282"/>
        <w:rPr>
          <w:rFonts w:eastAsia="Times New Roman" w:cs="Calibri"/>
          <w:lang w:eastAsia="es-SV"/>
        </w:rPr>
      </w:pPr>
      <w:r w:rsidRPr="00F50960">
        <w:rPr>
          <w:rFonts w:eastAsia="Times New Roman" w:cs="Calibri"/>
          <w:lang w:eastAsia="es-SV"/>
        </w:rPr>
        <w:t xml:space="preserve">                                                        </w:t>
      </w:r>
      <w:r w:rsidR="001F36B9" w:rsidRPr="00F50960">
        <w:rPr>
          <w:rFonts w:eastAsia="Times New Roman" w:cs="Calibri"/>
          <w:lang w:eastAsia="es-SV"/>
        </w:rPr>
        <w:fldChar w:fldCharType="begin"/>
      </w:r>
      <w:r w:rsidR="00B00593" w:rsidRPr="00F50960">
        <w:rPr>
          <w:rFonts w:eastAsia="Times New Roman" w:cs="Calibri"/>
          <w:lang w:eastAsia="es-SV"/>
        </w:rPr>
        <w:instrText xml:space="preserve"> LINK Word.Document.8 "D:\\Procesos de Trámites 2018\\SAC-002\\SAC-002 Req 17.1.doc" "" \a \p \f 0 </w:instrText>
      </w:r>
      <w:r w:rsidR="00F50960" w:rsidRPr="00F50960">
        <w:rPr>
          <w:rFonts w:eastAsia="Times New Roman" w:cs="Calibri"/>
          <w:lang w:eastAsia="es-SV"/>
        </w:rPr>
        <w:instrText xml:space="preserve"> \* MERGEFORMAT </w:instrText>
      </w:r>
      <w:r w:rsidR="001F36B9" w:rsidRPr="00F50960">
        <w:rPr>
          <w:rFonts w:eastAsia="Times New Roman" w:cs="Calibri"/>
          <w:lang w:eastAsia="es-SV"/>
        </w:rPr>
        <w:fldChar w:fldCharType="separate"/>
      </w:r>
      <w:r w:rsidR="00C31154">
        <w:rPr>
          <w:rFonts w:eastAsia="Times New Roman" w:cs="Calibri"/>
          <w:noProof/>
          <w:lang w:val="es-SV" w:eastAsia="es-SV"/>
        </w:rPr>
        <w:drawing>
          <wp:inline distT="0" distB="0" distL="0" distR="0">
            <wp:extent cx="981075" cy="628650"/>
            <wp:effectExtent l="0" t="0" r="0" b="0"/>
            <wp:docPr id="3" name="Obje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628650"/>
                    </a:xfrm>
                    <a:prstGeom prst="rect">
                      <a:avLst/>
                    </a:prstGeom>
                    <a:noFill/>
                    <a:ln>
                      <a:noFill/>
                    </a:ln>
                  </pic:spPr>
                </pic:pic>
              </a:graphicData>
            </a:graphic>
          </wp:inline>
        </w:drawing>
      </w:r>
      <w:r w:rsidR="001F36B9" w:rsidRPr="00F50960">
        <w:rPr>
          <w:rFonts w:eastAsia="Times New Roman" w:cs="Calibri"/>
          <w:lang w:eastAsia="es-SV"/>
        </w:rPr>
        <w:fldChar w:fldCharType="end"/>
      </w:r>
    </w:p>
    <w:p w:rsidR="003353D2" w:rsidRPr="00F50960" w:rsidRDefault="003353D2" w:rsidP="00DC4828">
      <w:pPr>
        <w:pStyle w:val="Prrafodelista"/>
        <w:tabs>
          <w:tab w:val="left" w:pos="9709"/>
        </w:tabs>
        <w:spacing w:after="0" w:line="240" w:lineRule="auto"/>
        <w:ind w:left="845"/>
        <w:rPr>
          <w:rFonts w:eastAsia="Times New Roman" w:cs="Calibri"/>
          <w:lang w:eastAsia="es-SV"/>
        </w:rPr>
      </w:pPr>
      <w:r w:rsidRPr="00F50960">
        <w:rPr>
          <w:rFonts w:eastAsia="Times New Roman" w:cs="Calibri"/>
          <w:lang w:eastAsia="es-SV"/>
        </w:rPr>
        <w:tab/>
      </w:r>
    </w:p>
    <w:p w:rsidR="00B00593" w:rsidRPr="00F50960" w:rsidRDefault="00B00593" w:rsidP="00B00593">
      <w:pPr>
        <w:pStyle w:val="Prrafodelista"/>
        <w:numPr>
          <w:ilvl w:val="0"/>
          <w:numId w:val="35"/>
        </w:numPr>
        <w:tabs>
          <w:tab w:val="left" w:pos="9709"/>
        </w:tabs>
        <w:spacing w:after="0" w:line="240" w:lineRule="auto"/>
        <w:ind w:right="-285"/>
        <w:jc w:val="both"/>
        <w:rPr>
          <w:rFonts w:eastAsia="Times New Roman" w:cs="Calibri"/>
          <w:color w:val="000000"/>
          <w:lang w:eastAsia="es-SV"/>
        </w:rPr>
      </w:pPr>
      <w:r w:rsidRPr="00F50960">
        <w:rPr>
          <w:rFonts w:eastAsia="Times New Roman" w:cs="Calibri"/>
          <w:color w:val="000000"/>
          <w:lang w:eastAsia="es-SV"/>
        </w:rPr>
        <w:t>Nombre o razón social del despacho de auditoría que practicará la auditoría externa de la SAC, que esté inscrito en el Registro de Auditores Externos que lleva la SSF;</w:t>
      </w:r>
    </w:p>
    <w:p w:rsidR="00B00593" w:rsidRPr="00F50960" w:rsidRDefault="00B00593" w:rsidP="00B00593">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B00593" w:rsidRPr="00F50960" w:rsidRDefault="00B00593" w:rsidP="00B00593">
      <w:pPr>
        <w:pStyle w:val="Prrafodelista"/>
        <w:numPr>
          <w:ilvl w:val="0"/>
          <w:numId w:val="35"/>
        </w:numPr>
        <w:tabs>
          <w:tab w:val="left" w:pos="9709"/>
        </w:tabs>
        <w:spacing w:after="0" w:line="240" w:lineRule="auto"/>
        <w:jc w:val="both"/>
        <w:rPr>
          <w:rFonts w:eastAsia="Times New Roman" w:cs="Calibri"/>
          <w:color w:val="000000"/>
          <w:lang w:eastAsia="es-SV"/>
        </w:rPr>
      </w:pPr>
      <w:r w:rsidRPr="00F50960">
        <w:rPr>
          <w:rFonts w:eastAsia="Times New Roman" w:cs="Calibri"/>
          <w:color w:val="000000"/>
          <w:lang w:eastAsia="es-SV"/>
        </w:rPr>
        <w:t>Nombramiento del auditor fiscal, en caso de que no exista;</w:t>
      </w:r>
    </w:p>
    <w:p w:rsidR="00B00593" w:rsidRPr="00F50960" w:rsidRDefault="00B00593" w:rsidP="00B00593">
      <w:pPr>
        <w:pStyle w:val="Prrafodelista"/>
        <w:tabs>
          <w:tab w:val="left" w:pos="9709"/>
        </w:tabs>
        <w:spacing w:after="0" w:line="240" w:lineRule="auto"/>
        <w:ind w:left="425"/>
        <w:jc w:val="both"/>
        <w:rPr>
          <w:rFonts w:eastAsia="Times New Roman" w:cs="Calibri"/>
          <w:color w:val="000000"/>
          <w:lang w:eastAsia="es-SV"/>
        </w:rPr>
      </w:pPr>
    </w:p>
    <w:p w:rsidR="00B00593" w:rsidRPr="00F50960" w:rsidRDefault="00B00593" w:rsidP="00B00593">
      <w:pPr>
        <w:pStyle w:val="Prrafodelista"/>
        <w:numPr>
          <w:ilvl w:val="0"/>
          <w:numId w:val="35"/>
        </w:numPr>
        <w:tabs>
          <w:tab w:val="left" w:pos="9709"/>
        </w:tabs>
        <w:spacing w:after="0" w:line="240" w:lineRule="auto"/>
        <w:ind w:right="-285"/>
        <w:jc w:val="both"/>
        <w:rPr>
          <w:rFonts w:eastAsia="Times New Roman" w:cs="Calibri"/>
          <w:color w:val="000000"/>
          <w:lang w:eastAsia="es-SV"/>
        </w:rPr>
      </w:pPr>
      <w:r w:rsidRPr="00F50960">
        <w:rPr>
          <w:rFonts w:eastAsia="Times New Roman" w:cs="Calibri"/>
          <w:color w:val="000000"/>
          <w:lang w:eastAsia="es-SV"/>
        </w:rPr>
        <w:t>Nómina de los gerentes y demás funcionarios de la entidad que tengan autorización para decidir sobre la concesión de créditos, quienes deben reunir los mismos requisitos de los directores;</w:t>
      </w:r>
    </w:p>
    <w:p w:rsidR="00B00593" w:rsidRPr="00F50960" w:rsidRDefault="00B00593" w:rsidP="00B00593">
      <w:pPr>
        <w:pStyle w:val="Prrafodelista"/>
        <w:tabs>
          <w:tab w:val="left" w:pos="9709"/>
        </w:tabs>
        <w:spacing w:after="0" w:line="240" w:lineRule="auto"/>
        <w:ind w:left="425"/>
        <w:jc w:val="both"/>
        <w:rPr>
          <w:rFonts w:eastAsia="Times New Roman" w:cs="Calibri"/>
          <w:lang w:eastAsia="es-SV"/>
        </w:rPr>
      </w:pPr>
      <w:r w:rsidRPr="00F50960">
        <w:rPr>
          <w:rFonts w:eastAsia="Times New Roman" w:cs="Calibri"/>
          <w:lang w:eastAsia="es-SV"/>
        </w:rPr>
        <w:tab/>
        <w:t> </w:t>
      </w:r>
    </w:p>
    <w:p w:rsidR="00B00593" w:rsidRPr="00F50960" w:rsidRDefault="00B00593" w:rsidP="00B00593">
      <w:pPr>
        <w:pStyle w:val="Prrafodelista"/>
        <w:numPr>
          <w:ilvl w:val="0"/>
          <w:numId w:val="35"/>
        </w:numPr>
        <w:tabs>
          <w:tab w:val="left" w:pos="9709"/>
        </w:tabs>
        <w:spacing w:after="0" w:line="240" w:lineRule="auto"/>
        <w:ind w:right="-285"/>
        <w:jc w:val="both"/>
        <w:rPr>
          <w:rFonts w:eastAsia="Times New Roman" w:cs="Calibri"/>
          <w:color w:val="000000"/>
          <w:lang w:eastAsia="es-SV"/>
        </w:rPr>
      </w:pPr>
      <w:r w:rsidRPr="00F50960">
        <w:rPr>
          <w:rFonts w:eastAsia="Times New Roman" w:cs="Calibri"/>
          <w:color w:val="000000"/>
          <w:lang w:eastAsia="es-SV"/>
        </w:rPr>
        <w:t>Declaración jurada notarial emitida por el Presidente y el Ejecutor Especial que se haya nombrado, en la que se haga constar que sus agencias o establecimientos cumplirán las medidas de seguridad que establecen las normas NPNB1-03 en su anexo 5, en la fecha para la cual la SSF autorice la constitución e inicio de operaciones;</w:t>
      </w:r>
    </w:p>
    <w:p w:rsidR="008D2673" w:rsidRPr="00F50960" w:rsidRDefault="008D2673" w:rsidP="008D2673">
      <w:pPr>
        <w:pStyle w:val="Prrafodelista"/>
        <w:tabs>
          <w:tab w:val="left" w:pos="9709"/>
        </w:tabs>
        <w:spacing w:after="0" w:line="240" w:lineRule="auto"/>
        <w:ind w:left="425" w:right="-285"/>
        <w:jc w:val="both"/>
        <w:rPr>
          <w:rFonts w:eastAsia="Times New Roman" w:cs="Calibri"/>
          <w:color w:val="000000"/>
          <w:lang w:eastAsia="es-SV"/>
        </w:rPr>
      </w:pPr>
    </w:p>
    <w:p w:rsidR="008D2673" w:rsidRPr="00F50960" w:rsidRDefault="004B0D76" w:rsidP="008D2673">
      <w:pPr>
        <w:pStyle w:val="Prrafodelista"/>
        <w:rPr>
          <w:rFonts w:eastAsia="Times New Roman" w:cs="Calibri"/>
          <w:color w:val="000000"/>
          <w:lang w:eastAsia="es-SV"/>
        </w:rPr>
      </w:pPr>
      <w:r w:rsidRPr="00F50960">
        <w:rPr>
          <w:rFonts w:eastAsia="Times New Roman" w:cs="Calibri"/>
          <w:color w:val="000000"/>
          <w:lang w:eastAsia="es-SV"/>
        </w:rPr>
        <w:t xml:space="preserve">                                                            </w:t>
      </w:r>
      <w:r w:rsidR="001F36B9" w:rsidRPr="00F50960">
        <w:rPr>
          <w:rFonts w:eastAsia="Times New Roman" w:cs="Calibri"/>
          <w:color w:val="000000"/>
          <w:lang w:eastAsia="es-SV"/>
        </w:rPr>
        <w:fldChar w:fldCharType="begin"/>
      </w:r>
      <w:r w:rsidR="008D2673" w:rsidRPr="00F50960">
        <w:rPr>
          <w:rFonts w:eastAsia="Times New Roman" w:cs="Calibri"/>
          <w:color w:val="000000"/>
          <w:lang w:eastAsia="es-SV"/>
        </w:rPr>
        <w:instrText xml:space="preserve"> LINK Word.Document.8 "D:\\Procesos de Trámites 2018\\SAC-002\\SAC-002 Req. 21.doc" "" \a \p \f 0 </w:instrText>
      </w:r>
      <w:r w:rsidR="00F50960" w:rsidRPr="00F50960">
        <w:rPr>
          <w:rFonts w:eastAsia="Times New Roman" w:cs="Calibri"/>
          <w:color w:val="000000"/>
          <w:lang w:eastAsia="es-SV"/>
        </w:rPr>
        <w:instrText xml:space="preserve"> \* MERGEFORMAT </w:instrText>
      </w:r>
      <w:r w:rsidR="001F36B9" w:rsidRPr="00F50960">
        <w:rPr>
          <w:rFonts w:eastAsia="Times New Roman" w:cs="Calibri"/>
          <w:color w:val="000000"/>
          <w:lang w:eastAsia="es-SV"/>
        </w:rPr>
        <w:fldChar w:fldCharType="separate"/>
      </w:r>
      <w:r w:rsidR="00C31154">
        <w:rPr>
          <w:rFonts w:eastAsia="Times New Roman" w:cs="Calibri"/>
          <w:noProof/>
          <w:color w:val="000000"/>
          <w:lang w:val="es-SV" w:eastAsia="es-SV"/>
        </w:rPr>
        <w:drawing>
          <wp:inline distT="0" distB="0" distL="0" distR="0">
            <wp:extent cx="981075" cy="628650"/>
            <wp:effectExtent l="0" t="0" r="0" b="0"/>
            <wp:docPr id="1"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628650"/>
                    </a:xfrm>
                    <a:prstGeom prst="rect">
                      <a:avLst/>
                    </a:prstGeom>
                    <a:noFill/>
                    <a:ln>
                      <a:noFill/>
                    </a:ln>
                  </pic:spPr>
                </pic:pic>
              </a:graphicData>
            </a:graphic>
          </wp:inline>
        </w:drawing>
      </w:r>
      <w:r w:rsidR="001F36B9" w:rsidRPr="00F50960">
        <w:rPr>
          <w:rFonts w:eastAsia="Times New Roman" w:cs="Calibri"/>
          <w:color w:val="000000"/>
          <w:lang w:eastAsia="es-SV"/>
        </w:rPr>
        <w:fldChar w:fldCharType="end"/>
      </w:r>
    </w:p>
    <w:p w:rsidR="00B00593" w:rsidRPr="00F50960" w:rsidRDefault="00B00593" w:rsidP="00B00593">
      <w:pPr>
        <w:pStyle w:val="Prrafodelista"/>
        <w:numPr>
          <w:ilvl w:val="0"/>
          <w:numId w:val="35"/>
        </w:numPr>
        <w:tabs>
          <w:tab w:val="left" w:pos="9709"/>
        </w:tabs>
        <w:spacing w:after="0" w:line="240" w:lineRule="auto"/>
        <w:ind w:right="-285"/>
        <w:jc w:val="both"/>
        <w:rPr>
          <w:rFonts w:eastAsia="Times New Roman" w:cs="Calibri"/>
          <w:color w:val="000000"/>
          <w:lang w:eastAsia="es-SV"/>
        </w:rPr>
      </w:pPr>
      <w:r w:rsidRPr="00F50960">
        <w:rPr>
          <w:rFonts w:eastAsia="Times New Roman" w:cs="Calibri"/>
          <w:color w:val="000000"/>
          <w:lang w:eastAsia="es-SV"/>
        </w:rPr>
        <w:t xml:space="preserve">Declaración jurada notarial emitida por el Presidente y el Ejecutor Especial que para efectos de los trámites de la solicitud haya nombrado la entidad, en la que se manifieste que en el desarrollo de sus operaciones se dará cumplimiento, a partir de la fecha en que la Superintendencia autorice la constitución e inicio de operaciones de la sociedad de ahorro y </w:t>
      </w:r>
      <w:r w:rsidRPr="00F50960">
        <w:rPr>
          <w:rFonts w:eastAsia="Times New Roman" w:cs="Calibri"/>
          <w:color w:val="000000"/>
          <w:lang w:eastAsia="es-SV"/>
        </w:rPr>
        <w:lastRenderedPageBreak/>
        <w:t>crédito, a las normas contables y prudenciales emitidas para tales entidades y demás disposiciones aplicables;</w:t>
      </w:r>
    </w:p>
    <w:p w:rsidR="00B00593" w:rsidRPr="00F50960" w:rsidRDefault="00B00593" w:rsidP="00B00593">
      <w:pPr>
        <w:pStyle w:val="Prrafodelista"/>
        <w:tabs>
          <w:tab w:val="left" w:pos="9709"/>
        </w:tabs>
        <w:spacing w:after="0" w:line="240" w:lineRule="auto"/>
        <w:ind w:left="425"/>
        <w:rPr>
          <w:rFonts w:eastAsia="Times New Roman" w:cs="Calibri"/>
          <w:lang w:eastAsia="es-SV"/>
        </w:rPr>
      </w:pPr>
      <w:r w:rsidRPr="00F50960">
        <w:rPr>
          <w:rFonts w:eastAsia="Times New Roman" w:cs="Calibri"/>
          <w:lang w:eastAsia="es-SV"/>
        </w:rPr>
        <w:tab/>
        <w:t> </w:t>
      </w:r>
    </w:p>
    <w:p w:rsidR="00B00593" w:rsidRPr="00F50960" w:rsidRDefault="00B00593" w:rsidP="00B00593">
      <w:pPr>
        <w:pStyle w:val="Prrafodelista"/>
        <w:numPr>
          <w:ilvl w:val="0"/>
          <w:numId w:val="35"/>
        </w:numPr>
        <w:spacing w:after="0" w:line="240" w:lineRule="auto"/>
        <w:ind w:right="-285"/>
        <w:jc w:val="both"/>
        <w:rPr>
          <w:rFonts w:eastAsia="Times New Roman" w:cs="Calibri"/>
          <w:color w:val="000000"/>
          <w:lang w:eastAsia="es-SV"/>
        </w:rPr>
      </w:pPr>
      <w:r w:rsidRPr="00F50960">
        <w:rPr>
          <w:rFonts w:eastAsia="Times New Roman" w:cs="Calibri"/>
          <w:color w:val="000000"/>
          <w:lang w:eastAsia="es-SV"/>
        </w:rPr>
        <w:t>Las políticas, procedimientos operativos y manuales de funciones y de puestos,  debidamente autorizados, relacionados con:</w:t>
      </w:r>
    </w:p>
    <w:p w:rsidR="00B00593" w:rsidRPr="00F50960" w:rsidRDefault="00B00593" w:rsidP="00B00593">
      <w:pPr>
        <w:pStyle w:val="Prrafodelista"/>
        <w:rPr>
          <w:rFonts w:eastAsia="Times New Roman" w:cs="Calibri"/>
          <w:lang w:eastAsia="es-SV"/>
        </w:rPr>
      </w:pPr>
    </w:p>
    <w:p w:rsidR="00A80A10" w:rsidRPr="00F50960" w:rsidRDefault="00B00593" w:rsidP="00A80A10">
      <w:pPr>
        <w:pStyle w:val="Prrafodelista"/>
        <w:numPr>
          <w:ilvl w:val="1"/>
          <w:numId w:val="35"/>
        </w:numPr>
        <w:tabs>
          <w:tab w:val="left" w:pos="993"/>
        </w:tabs>
        <w:spacing w:after="0" w:line="240" w:lineRule="auto"/>
        <w:ind w:left="485" w:right="-285" w:hanging="59"/>
        <w:jc w:val="both"/>
        <w:rPr>
          <w:rFonts w:eastAsia="Times New Roman" w:cs="Calibri"/>
          <w:lang w:eastAsia="es-SV"/>
        </w:rPr>
      </w:pPr>
      <w:r w:rsidRPr="00F50960">
        <w:rPr>
          <w:rFonts w:eastAsia="Times New Roman" w:cs="Calibri"/>
          <w:lang w:eastAsia="es-SV"/>
        </w:rPr>
        <w:t xml:space="preserve">Gestión integral de riesgos que incluya gobierno corporativo (incluye manuales de </w:t>
      </w:r>
      <w:r w:rsidR="00A80A10" w:rsidRPr="00F50960">
        <w:rPr>
          <w:rFonts w:eastAsia="Times New Roman" w:cs="Calibri"/>
          <w:lang w:eastAsia="es-SV"/>
        </w:rPr>
        <w:t xml:space="preserve"> </w:t>
      </w:r>
    </w:p>
    <w:p w:rsidR="00B00593" w:rsidRPr="00F50960" w:rsidRDefault="00A80A10" w:rsidP="00A80A10">
      <w:pPr>
        <w:pStyle w:val="Prrafodelista"/>
        <w:tabs>
          <w:tab w:val="left" w:pos="993"/>
        </w:tabs>
        <w:spacing w:after="0" w:line="240" w:lineRule="auto"/>
        <w:ind w:left="485" w:right="-285"/>
        <w:jc w:val="both"/>
        <w:rPr>
          <w:rFonts w:eastAsia="Times New Roman" w:cs="Calibri"/>
          <w:lang w:eastAsia="es-SV"/>
        </w:rPr>
      </w:pPr>
      <w:r w:rsidRPr="00F50960">
        <w:rPr>
          <w:rFonts w:eastAsia="Times New Roman" w:cs="Calibri"/>
          <w:lang w:eastAsia="es-SV"/>
        </w:rPr>
        <w:tab/>
      </w:r>
      <w:r w:rsidR="00B00593" w:rsidRPr="00F50960">
        <w:rPr>
          <w:rFonts w:eastAsia="Times New Roman" w:cs="Calibri"/>
          <w:lang w:eastAsia="es-SV"/>
        </w:rPr>
        <w:t>gestión);</w:t>
      </w:r>
    </w:p>
    <w:p w:rsidR="00A80A10" w:rsidRPr="00F50960" w:rsidRDefault="00B00593" w:rsidP="00A80A10">
      <w:pPr>
        <w:pStyle w:val="Prrafodelista"/>
        <w:tabs>
          <w:tab w:val="left" w:pos="993"/>
          <w:tab w:val="left" w:pos="1276"/>
        </w:tabs>
        <w:spacing w:after="0" w:line="240" w:lineRule="auto"/>
        <w:ind w:left="426" w:right="-285"/>
        <w:jc w:val="both"/>
      </w:pPr>
      <w:r w:rsidRPr="00F50960">
        <w:rPr>
          <w:rFonts w:eastAsia="Times New Roman" w:cs="Calibri"/>
          <w:lang w:eastAsia="es-SV"/>
        </w:rPr>
        <w:br/>
      </w:r>
      <w:r w:rsidRPr="00F50960">
        <w:t xml:space="preserve">23.2 </w:t>
      </w:r>
      <w:r w:rsidR="00A80A10" w:rsidRPr="00F50960">
        <w:t xml:space="preserve">  </w:t>
      </w:r>
      <w:r w:rsidRPr="00F50960">
        <w:t>Prevención de Lavado de Dinero y Financiamiento al Terrorismo que incluya el</w:t>
      </w:r>
      <w:r w:rsidR="00A80A10" w:rsidRPr="00F50960">
        <w:t xml:space="preserve"> Sistema </w:t>
      </w:r>
    </w:p>
    <w:p w:rsidR="006D63EE" w:rsidRPr="00F50960" w:rsidRDefault="00A80A10" w:rsidP="00A80A10">
      <w:pPr>
        <w:pStyle w:val="Prrafodelista"/>
        <w:tabs>
          <w:tab w:val="left" w:pos="993"/>
          <w:tab w:val="left" w:pos="1276"/>
        </w:tabs>
        <w:spacing w:after="0" w:line="240" w:lineRule="auto"/>
        <w:ind w:left="426" w:right="-285"/>
        <w:jc w:val="both"/>
      </w:pPr>
      <w:r w:rsidRPr="00F50960">
        <w:tab/>
      </w:r>
      <w:r w:rsidR="00B00593" w:rsidRPr="00F50960">
        <w:t>de Monitoreo y alertas parametrizadas;</w:t>
      </w:r>
    </w:p>
    <w:p w:rsidR="006D63EE" w:rsidRPr="00F50960" w:rsidRDefault="006D63EE" w:rsidP="00A80A10">
      <w:pPr>
        <w:pStyle w:val="Prrafodelista"/>
        <w:tabs>
          <w:tab w:val="left" w:pos="709"/>
          <w:tab w:val="left" w:pos="993"/>
        </w:tabs>
        <w:spacing w:after="0" w:line="240" w:lineRule="auto"/>
        <w:ind w:left="426"/>
      </w:pPr>
      <w:r w:rsidRPr="00F50960">
        <w:br/>
        <w:t xml:space="preserve">23.3 </w:t>
      </w:r>
      <w:r w:rsidR="008D2673" w:rsidRPr="00F50960">
        <w:t xml:space="preserve">   </w:t>
      </w:r>
      <w:r w:rsidR="00B00593" w:rsidRPr="00F50960">
        <w:t>Área de negocios;</w:t>
      </w:r>
    </w:p>
    <w:p w:rsidR="006D63EE" w:rsidRPr="00F50960" w:rsidRDefault="00B00593" w:rsidP="006D63EE">
      <w:pPr>
        <w:pStyle w:val="Prrafodelista"/>
        <w:tabs>
          <w:tab w:val="left" w:pos="993"/>
        </w:tabs>
        <w:spacing w:after="0" w:line="240" w:lineRule="auto"/>
        <w:ind w:left="426"/>
      </w:pPr>
      <w:r w:rsidRPr="00F50960">
        <w:br/>
        <w:t xml:space="preserve">23.4 </w:t>
      </w:r>
      <w:r w:rsidR="006D63EE" w:rsidRPr="00F50960">
        <w:t xml:space="preserve"> </w:t>
      </w:r>
      <w:r w:rsidR="006D63EE" w:rsidRPr="00F50960">
        <w:tab/>
      </w:r>
      <w:r w:rsidRPr="00F50960">
        <w:t>Auditoría interna; y</w:t>
      </w:r>
    </w:p>
    <w:p w:rsidR="00B00593" w:rsidRPr="00F50960" w:rsidRDefault="00B00593" w:rsidP="006D63EE">
      <w:pPr>
        <w:pStyle w:val="Prrafodelista"/>
        <w:tabs>
          <w:tab w:val="left" w:pos="993"/>
        </w:tabs>
        <w:spacing w:after="0" w:line="240" w:lineRule="auto"/>
        <w:ind w:left="426"/>
      </w:pPr>
      <w:r w:rsidRPr="00F50960">
        <w:br/>
        <w:t xml:space="preserve">23.5 </w:t>
      </w:r>
      <w:r w:rsidR="006D63EE" w:rsidRPr="00F50960">
        <w:t xml:space="preserve"> </w:t>
      </w:r>
      <w:r w:rsidR="006D63EE" w:rsidRPr="00F50960">
        <w:tab/>
      </w:r>
      <w:r w:rsidRPr="00F50960">
        <w:t>Tecnología de información.</w:t>
      </w:r>
    </w:p>
    <w:p w:rsidR="008D2673" w:rsidRPr="00F50960" w:rsidRDefault="008D2673" w:rsidP="006D63EE">
      <w:pPr>
        <w:pStyle w:val="Prrafodelista"/>
        <w:tabs>
          <w:tab w:val="left" w:pos="993"/>
        </w:tabs>
        <w:spacing w:after="0" w:line="240" w:lineRule="auto"/>
        <w:ind w:left="426"/>
      </w:pPr>
    </w:p>
    <w:p w:rsidR="008D2673" w:rsidRPr="00F50960" w:rsidRDefault="008D2673" w:rsidP="00A80A10">
      <w:pPr>
        <w:pStyle w:val="Prrafodelista"/>
        <w:numPr>
          <w:ilvl w:val="0"/>
          <w:numId w:val="35"/>
        </w:numPr>
        <w:tabs>
          <w:tab w:val="left" w:pos="9709"/>
        </w:tabs>
        <w:spacing w:after="0" w:line="240" w:lineRule="auto"/>
        <w:ind w:right="-285"/>
        <w:rPr>
          <w:rFonts w:eastAsia="Times New Roman" w:cs="Calibri"/>
          <w:color w:val="000000"/>
          <w:lang w:eastAsia="es-SV"/>
        </w:rPr>
      </w:pPr>
      <w:r w:rsidRPr="00F50960">
        <w:rPr>
          <w:rFonts w:eastAsia="Times New Roman" w:cs="Calibri"/>
          <w:color w:val="000000"/>
          <w:lang w:eastAsia="es-SV"/>
        </w:rPr>
        <w:t>En los manuales de funciones y procedimientos operativos para SAC, es obligatorio incluir los ciclos de depósitos, préstamos, cobranzas, compra venta de moneda extranjera y de cartera de inversiones;</w:t>
      </w:r>
    </w:p>
    <w:p w:rsidR="008D2673" w:rsidRPr="00F50960" w:rsidRDefault="008D2673" w:rsidP="008D2673">
      <w:pPr>
        <w:pStyle w:val="Prrafodelista"/>
        <w:tabs>
          <w:tab w:val="left" w:pos="9709"/>
        </w:tabs>
        <w:spacing w:after="0" w:line="240" w:lineRule="auto"/>
        <w:ind w:left="425"/>
        <w:rPr>
          <w:rFonts w:eastAsia="Times New Roman" w:cs="Calibri"/>
          <w:lang w:eastAsia="es-SV"/>
        </w:rPr>
      </w:pPr>
      <w:r w:rsidRPr="00F50960">
        <w:rPr>
          <w:rFonts w:eastAsia="Times New Roman" w:cs="Calibri"/>
          <w:lang w:eastAsia="es-SV"/>
        </w:rPr>
        <w:tab/>
        <w:t> </w:t>
      </w:r>
    </w:p>
    <w:p w:rsidR="008D2673" w:rsidRPr="00F50960" w:rsidRDefault="008D2673" w:rsidP="008D2673">
      <w:pPr>
        <w:pStyle w:val="Prrafodelista"/>
        <w:numPr>
          <w:ilvl w:val="0"/>
          <w:numId w:val="35"/>
        </w:numPr>
        <w:tabs>
          <w:tab w:val="left" w:pos="9709"/>
        </w:tabs>
        <w:spacing w:after="0" w:line="240" w:lineRule="auto"/>
        <w:rPr>
          <w:rFonts w:eastAsia="Times New Roman" w:cs="Calibri"/>
          <w:color w:val="000000"/>
          <w:lang w:eastAsia="es-SV"/>
        </w:rPr>
      </w:pPr>
      <w:r w:rsidRPr="00F50960">
        <w:rPr>
          <w:rFonts w:eastAsia="Times New Roman" w:cs="Calibri"/>
          <w:color w:val="000000"/>
          <w:lang w:eastAsia="es-SV"/>
        </w:rPr>
        <w:t>Organigrama de la sociedad;</w:t>
      </w:r>
    </w:p>
    <w:p w:rsidR="008D2673" w:rsidRPr="00F50960" w:rsidRDefault="008D2673" w:rsidP="008D2673">
      <w:pPr>
        <w:pStyle w:val="Prrafodelista"/>
        <w:tabs>
          <w:tab w:val="left" w:pos="9709"/>
        </w:tabs>
        <w:spacing w:after="0" w:line="240" w:lineRule="auto"/>
        <w:ind w:left="425"/>
        <w:rPr>
          <w:rFonts w:eastAsia="Times New Roman" w:cs="Calibri"/>
          <w:lang w:eastAsia="es-SV"/>
        </w:rPr>
      </w:pPr>
    </w:p>
    <w:p w:rsidR="008D2673" w:rsidRPr="00F50960" w:rsidRDefault="008D2673" w:rsidP="008D2673">
      <w:pPr>
        <w:pStyle w:val="Prrafodelista"/>
        <w:numPr>
          <w:ilvl w:val="0"/>
          <w:numId w:val="35"/>
        </w:numPr>
        <w:tabs>
          <w:tab w:val="left" w:pos="9709"/>
        </w:tabs>
        <w:spacing w:after="0" w:line="240" w:lineRule="auto"/>
        <w:rPr>
          <w:rFonts w:eastAsia="Times New Roman" w:cs="Calibri"/>
          <w:color w:val="000000"/>
          <w:lang w:eastAsia="es-SV"/>
        </w:rPr>
      </w:pPr>
      <w:r w:rsidRPr="00F50960">
        <w:rPr>
          <w:rFonts w:eastAsia="Times New Roman" w:cs="Calibri"/>
          <w:color w:val="000000"/>
          <w:lang w:eastAsia="es-SV"/>
        </w:rPr>
        <w:t>Nombramiento del Oficial de Cumplimiento aprobado por junta Directiva;</w:t>
      </w:r>
    </w:p>
    <w:p w:rsidR="008D2673" w:rsidRPr="00F50960" w:rsidRDefault="008D2673" w:rsidP="008D2673">
      <w:pPr>
        <w:pStyle w:val="Prrafodelista"/>
        <w:tabs>
          <w:tab w:val="left" w:pos="9709"/>
        </w:tabs>
        <w:spacing w:after="0" w:line="240" w:lineRule="auto"/>
        <w:ind w:left="425"/>
        <w:rPr>
          <w:rFonts w:eastAsia="Times New Roman" w:cs="Calibri"/>
          <w:lang w:eastAsia="es-SV"/>
        </w:rPr>
      </w:pPr>
      <w:r w:rsidRPr="00F50960">
        <w:rPr>
          <w:rFonts w:eastAsia="Times New Roman" w:cs="Calibri"/>
          <w:lang w:eastAsia="es-SV"/>
        </w:rPr>
        <w:t> </w:t>
      </w:r>
    </w:p>
    <w:p w:rsidR="008D2673" w:rsidRPr="00F50960" w:rsidRDefault="008D2673" w:rsidP="008D2673">
      <w:pPr>
        <w:pStyle w:val="Prrafodelista"/>
        <w:numPr>
          <w:ilvl w:val="0"/>
          <w:numId w:val="35"/>
        </w:numPr>
        <w:tabs>
          <w:tab w:val="left" w:pos="9709"/>
        </w:tabs>
        <w:spacing w:after="0" w:line="240" w:lineRule="auto"/>
        <w:rPr>
          <w:rFonts w:eastAsia="Times New Roman" w:cs="Calibri"/>
          <w:color w:val="000000"/>
          <w:lang w:eastAsia="es-SV"/>
        </w:rPr>
      </w:pPr>
      <w:r w:rsidRPr="00F50960">
        <w:rPr>
          <w:rFonts w:eastAsia="Times New Roman" w:cs="Calibri"/>
          <w:color w:val="000000"/>
          <w:lang w:eastAsia="es-SV"/>
        </w:rPr>
        <w:t>Programa de capacitaciones en materia de LA/FT;</w:t>
      </w:r>
    </w:p>
    <w:p w:rsidR="008D2673" w:rsidRPr="00F50960" w:rsidRDefault="008D2673" w:rsidP="008D2673">
      <w:pPr>
        <w:pStyle w:val="Prrafodelista"/>
        <w:tabs>
          <w:tab w:val="left" w:pos="9709"/>
        </w:tabs>
        <w:spacing w:after="0" w:line="240" w:lineRule="auto"/>
        <w:ind w:left="425"/>
        <w:rPr>
          <w:rFonts w:eastAsia="Times New Roman" w:cs="Calibri"/>
          <w:lang w:eastAsia="es-SV"/>
        </w:rPr>
      </w:pPr>
      <w:r w:rsidRPr="00F50960">
        <w:rPr>
          <w:rFonts w:eastAsia="Times New Roman" w:cs="Calibri"/>
          <w:lang w:eastAsia="es-SV"/>
        </w:rPr>
        <w:tab/>
        <w:t> </w:t>
      </w:r>
    </w:p>
    <w:p w:rsidR="008D2673" w:rsidRPr="00F50960" w:rsidRDefault="008D2673" w:rsidP="00A80A10">
      <w:pPr>
        <w:pStyle w:val="Prrafodelista"/>
        <w:numPr>
          <w:ilvl w:val="0"/>
          <w:numId w:val="35"/>
        </w:numPr>
        <w:tabs>
          <w:tab w:val="left" w:pos="8789"/>
          <w:tab w:val="left" w:pos="9709"/>
        </w:tabs>
        <w:spacing w:after="0" w:line="240" w:lineRule="auto"/>
        <w:ind w:right="-285"/>
        <w:jc w:val="both"/>
        <w:rPr>
          <w:rFonts w:eastAsia="Times New Roman" w:cs="Calibri"/>
          <w:color w:val="000000"/>
          <w:lang w:eastAsia="es-SV"/>
        </w:rPr>
      </w:pPr>
      <w:r w:rsidRPr="00F50960">
        <w:rPr>
          <w:rFonts w:eastAsia="Times New Roman" w:cs="Calibri"/>
          <w:color w:val="000000"/>
          <w:lang w:eastAsia="es-SV"/>
        </w:rPr>
        <w:t>Copia de modelos de contratos y formularios para operaciones activas y pasivas,</w:t>
      </w:r>
      <w:r w:rsidR="00A80A10" w:rsidRPr="00F50960">
        <w:rPr>
          <w:rFonts w:eastAsia="Times New Roman" w:cs="Calibri"/>
          <w:color w:val="000000"/>
          <w:lang w:eastAsia="es-SV"/>
        </w:rPr>
        <w:t xml:space="preserve"> aprobados </w:t>
      </w:r>
      <w:r w:rsidRPr="00F50960">
        <w:rPr>
          <w:rFonts w:eastAsia="Times New Roman" w:cs="Calibri"/>
          <w:color w:val="000000"/>
          <w:lang w:eastAsia="es-SV"/>
        </w:rPr>
        <w:t xml:space="preserve">por Junta Directiva, además de remitirlos electrónicamente al correo </w:t>
      </w:r>
      <w:hyperlink r:id="rId10" w:history="1">
        <w:r w:rsidRPr="00F50960">
          <w:rPr>
            <w:rStyle w:val="Hipervnculo"/>
            <w:rFonts w:eastAsia="Times New Roman" w:cs="Calibri"/>
            <w:lang w:eastAsia="es-SV"/>
          </w:rPr>
          <w:t>depositodecontratos@ssf.gob.sv</w:t>
        </w:r>
      </w:hyperlink>
      <w:r w:rsidRPr="00F50960">
        <w:rPr>
          <w:rFonts w:eastAsia="Times New Roman" w:cs="Calibri"/>
          <w:color w:val="000000"/>
          <w:lang w:eastAsia="es-SV"/>
        </w:rPr>
        <w:t>;</w:t>
      </w:r>
    </w:p>
    <w:p w:rsidR="008D2673" w:rsidRPr="00F50960" w:rsidRDefault="008D2673" w:rsidP="008D2673">
      <w:pPr>
        <w:pStyle w:val="Prrafodelista"/>
        <w:tabs>
          <w:tab w:val="left" w:pos="9709"/>
        </w:tabs>
        <w:spacing w:after="0" w:line="240" w:lineRule="auto"/>
        <w:ind w:left="425"/>
        <w:rPr>
          <w:rFonts w:eastAsia="Times New Roman" w:cs="Calibri"/>
          <w:lang w:eastAsia="es-SV"/>
        </w:rPr>
      </w:pPr>
      <w:r w:rsidRPr="00F50960">
        <w:rPr>
          <w:rFonts w:eastAsia="Times New Roman" w:cs="Calibri"/>
          <w:lang w:eastAsia="es-SV"/>
        </w:rPr>
        <w:tab/>
        <w:t> </w:t>
      </w:r>
    </w:p>
    <w:p w:rsidR="008D2673" w:rsidRPr="00F50960" w:rsidRDefault="008D2673" w:rsidP="00A80A10">
      <w:pPr>
        <w:pStyle w:val="Prrafodelista"/>
        <w:numPr>
          <w:ilvl w:val="0"/>
          <w:numId w:val="35"/>
        </w:numPr>
        <w:tabs>
          <w:tab w:val="left" w:pos="9709"/>
        </w:tabs>
        <w:spacing w:after="0" w:line="240" w:lineRule="auto"/>
        <w:ind w:right="-285"/>
        <w:jc w:val="both"/>
        <w:rPr>
          <w:rFonts w:eastAsia="Times New Roman" w:cs="Calibri"/>
          <w:lang w:eastAsia="es-SV"/>
        </w:rPr>
      </w:pPr>
      <w:r w:rsidRPr="00F50960">
        <w:rPr>
          <w:rFonts w:eastAsia="Times New Roman" w:cs="Calibri"/>
          <w:lang w:eastAsia="es-SV"/>
        </w:rPr>
        <w:t>Normas de regulación de depósitos a la vista, depósitos a plazo y depósitos en cuentas de ahorro, en cuanto a características, modalidades y condiciones en que podrán constituirse, aprobadas por el BCR en lo referente a transferencia o negociabilidad y al plazo. (según art.55 de la Ley de Bancos);</w:t>
      </w:r>
    </w:p>
    <w:p w:rsidR="008D2673" w:rsidRPr="00F50960" w:rsidRDefault="008D2673" w:rsidP="008D2673">
      <w:pPr>
        <w:pStyle w:val="Prrafodelista"/>
        <w:tabs>
          <w:tab w:val="left" w:pos="9709"/>
        </w:tabs>
        <w:spacing w:after="0" w:line="240" w:lineRule="auto"/>
        <w:ind w:left="425"/>
        <w:rPr>
          <w:rFonts w:eastAsia="Times New Roman" w:cs="Calibri"/>
          <w:lang w:eastAsia="es-SV"/>
        </w:rPr>
      </w:pPr>
      <w:r w:rsidRPr="00F50960">
        <w:rPr>
          <w:rFonts w:eastAsia="Times New Roman" w:cs="Calibri"/>
          <w:lang w:eastAsia="es-SV"/>
        </w:rPr>
        <w:tab/>
        <w:t> </w:t>
      </w:r>
    </w:p>
    <w:p w:rsidR="008D2673" w:rsidRPr="00F50960" w:rsidRDefault="008D2673" w:rsidP="00A80A10">
      <w:pPr>
        <w:pStyle w:val="Prrafodelista"/>
        <w:numPr>
          <w:ilvl w:val="0"/>
          <w:numId w:val="35"/>
        </w:numPr>
        <w:tabs>
          <w:tab w:val="left" w:pos="9709"/>
        </w:tabs>
        <w:spacing w:after="0" w:line="240" w:lineRule="auto"/>
        <w:ind w:right="-285"/>
        <w:jc w:val="both"/>
        <w:rPr>
          <w:rFonts w:eastAsia="Times New Roman" w:cs="Calibri"/>
          <w:lang w:eastAsia="es-SV"/>
        </w:rPr>
      </w:pPr>
      <w:r w:rsidRPr="00F50960">
        <w:rPr>
          <w:rFonts w:eastAsia="Times New Roman" w:cs="Calibri"/>
          <w:color w:val="000000"/>
          <w:lang w:eastAsia="es-SV"/>
        </w:rPr>
        <w:t>Responsables de la Unidad de Riesgos y de Auditoría Interna, incorporados previamente al inicio de operaciones;</w:t>
      </w:r>
    </w:p>
    <w:p w:rsidR="008D2673" w:rsidRPr="00F50960" w:rsidRDefault="008D2673" w:rsidP="008D2673">
      <w:pPr>
        <w:pStyle w:val="Prrafodelista"/>
        <w:rPr>
          <w:rFonts w:eastAsia="Times New Roman" w:cs="Calibri"/>
          <w:lang w:eastAsia="es-SV"/>
        </w:rPr>
      </w:pPr>
    </w:p>
    <w:p w:rsidR="008D2673" w:rsidRPr="00F50960" w:rsidRDefault="008D2673" w:rsidP="008D2673">
      <w:pPr>
        <w:pStyle w:val="Prrafodelista"/>
        <w:numPr>
          <w:ilvl w:val="0"/>
          <w:numId w:val="35"/>
        </w:numPr>
        <w:spacing w:after="0" w:line="240" w:lineRule="auto"/>
        <w:jc w:val="both"/>
        <w:rPr>
          <w:rFonts w:eastAsia="Times New Roman" w:cs="Calibri"/>
          <w:lang w:eastAsia="es-SV"/>
        </w:rPr>
      </w:pPr>
      <w:r w:rsidRPr="00F50960">
        <w:rPr>
          <w:rFonts w:eastAsia="Times New Roman" w:cs="Calibri"/>
          <w:color w:val="000000"/>
          <w:lang w:eastAsia="es-SV"/>
        </w:rPr>
        <w:t>Datos del área de Tecnología:</w:t>
      </w:r>
    </w:p>
    <w:p w:rsidR="008D2673" w:rsidRPr="00F50960" w:rsidRDefault="008D2673" w:rsidP="008D2673">
      <w:pPr>
        <w:pStyle w:val="Prrafodelista"/>
        <w:rPr>
          <w:rFonts w:eastAsia="Times New Roman" w:cs="Calibri"/>
          <w:lang w:eastAsia="es-SV"/>
        </w:rPr>
      </w:pPr>
    </w:p>
    <w:p w:rsidR="00A80A10" w:rsidRPr="00F50960" w:rsidRDefault="008D2673" w:rsidP="00A80A10">
      <w:pPr>
        <w:pStyle w:val="Prrafodelista"/>
        <w:numPr>
          <w:ilvl w:val="1"/>
          <w:numId w:val="35"/>
        </w:numPr>
        <w:tabs>
          <w:tab w:val="left" w:pos="9709"/>
        </w:tabs>
        <w:spacing w:after="0" w:line="240" w:lineRule="auto"/>
        <w:ind w:left="993" w:hanging="567"/>
        <w:rPr>
          <w:rFonts w:eastAsia="Times New Roman" w:cs="Calibri"/>
          <w:lang w:eastAsia="es-SV"/>
        </w:rPr>
      </w:pPr>
      <w:r w:rsidRPr="00F50960">
        <w:rPr>
          <w:rFonts w:eastAsia="Times New Roman" w:cs="Calibri"/>
          <w:lang w:eastAsia="es-SV"/>
        </w:rPr>
        <w:t>Organigrama y  manual de puestos del área de Tecnología;</w:t>
      </w:r>
    </w:p>
    <w:p w:rsidR="00A80A10" w:rsidRPr="00F50960" w:rsidRDefault="008D2673" w:rsidP="00A80A10">
      <w:pPr>
        <w:pStyle w:val="Prrafodelista"/>
        <w:tabs>
          <w:tab w:val="left" w:pos="993"/>
          <w:tab w:val="left" w:pos="8080"/>
          <w:tab w:val="left" w:pos="8504"/>
        </w:tabs>
        <w:spacing w:after="0" w:line="240" w:lineRule="auto"/>
        <w:ind w:left="426" w:firstLine="567"/>
        <w:jc w:val="both"/>
        <w:rPr>
          <w:rFonts w:eastAsia="Times New Roman" w:cs="Calibri"/>
          <w:lang w:eastAsia="es-SV"/>
        </w:rPr>
      </w:pPr>
      <w:r w:rsidRPr="00F50960">
        <w:rPr>
          <w:rFonts w:eastAsia="Times New Roman" w:cs="Calibri"/>
          <w:lang w:eastAsia="es-SV"/>
        </w:rPr>
        <w:br/>
        <w:t xml:space="preserve">31.2 </w:t>
      </w:r>
      <w:r w:rsidR="00A80A10" w:rsidRPr="00F50960">
        <w:rPr>
          <w:rFonts w:eastAsia="Times New Roman" w:cs="Calibri"/>
          <w:lang w:eastAsia="es-SV"/>
        </w:rPr>
        <w:t xml:space="preserve"> </w:t>
      </w:r>
      <w:r w:rsidR="00A80A10" w:rsidRPr="00F50960">
        <w:rPr>
          <w:rFonts w:eastAsia="Times New Roman" w:cs="Calibri"/>
          <w:lang w:eastAsia="es-SV"/>
        </w:rPr>
        <w:tab/>
      </w:r>
      <w:r w:rsidRPr="00F50960">
        <w:rPr>
          <w:rFonts w:eastAsia="Times New Roman" w:cs="Calibri"/>
          <w:lang w:eastAsia="es-SV"/>
        </w:rPr>
        <w:t xml:space="preserve">Documentación </w:t>
      </w:r>
      <w:r w:rsidR="00A80A10" w:rsidRPr="00F50960">
        <w:rPr>
          <w:rFonts w:eastAsia="Times New Roman" w:cs="Calibri"/>
          <w:lang w:eastAsia="es-SV"/>
        </w:rPr>
        <w:t xml:space="preserve"> </w:t>
      </w:r>
      <w:r w:rsidRPr="00F50960">
        <w:rPr>
          <w:rFonts w:eastAsia="Times New Roman" w:cs="Calibri"/>
          <w:lang w:eastAsia="es-SV"/>
        </w:rPr>
        <w:t xml:space="preserve">que </w:t>
      </w:r>
      <w:r w:rsidR="00A80A10" w:rsidRPr="00F50960">
        <w:rPr>
          <w:rFonts w:eastAsia="Times New Roman" w:cs="Calibri"/>
          <w:lang w:eastAsia="es-SV"/>
        </w:rPr>
        <w:t xml:space="preserve"> </w:t>
      </w:r>
      <w:r w:rsidRPr="00F50960">
        <w:rPr>
          <w:rFonts w:eastAsia="Times New Roman" w:cs="Calibri"/>
          <w:lang w:eastAsia="es-SV"/>
        </w:rPr>
        <w:t xml:space="preserve">permita </w:t>
      </w:r>
      <w:r w:rsidR="00A80A10" w:rsidRPr="00F50960">
        <w:rPr>
          <w:rFonts w:eastAsia="Times New Roman" w:cs="Calibri"/>
          <w:lang w:eastAsia="es-SV"/>
        </w:rPr>
        <w:t xml:space="preserve"> </w:t>
      </w:r>
      <w:r w:rsidRPr="00F50960">
        <w:rPr>
          <w:rFonts w:eastAsia="Times New Roman" w:cs="Calibri"/>
          <w:lang w:eastAsia="es-SV"/>
        </w:rPr>
        <w:t xml:space="preserve">identificar </w:t>
      </w:r>
      <w:r w:rsidR="00A80A10" w:rsidRPr="00F50960">
        <w:rPr>
          <w:rFonts w:eastAsia="Times New Roman" w:cs="Calibri"/>
          <w:lang w:eastAsia="es-SV"/>
        </w:rPr>
        <w:t xml:space="preserve"> </w:t>
      </w:r>
      <w:r w:rsidRPr="00F50960">
        <w:rPr>
          <w:rFonts w:eastAsia="Times New Roman" w:cs="Calibri"/>
          <w:lang w:eastAsia="es-SV"/>
        </w:rPr>
        <w:t xml:space="preserve">las </w:t>
      </w:r>
      <w:r w:rsidR="00A80A10" w:rsidRPr="00F50960">
        <w:rPr>
          <w:rFonts w:eastAsia="Times New Roman" w:cs="Calibri"/>
          <w:lang w:eastAsia="es-SV"/>
        </w:rPr>
        <w:t xml:space="preserve"> </w:t>
      </w:r>
      <w:r w:rsidRPr="00F50960">
        <w:rPr>
          <w:rFonts w:eastAsia="Times New Roman" w:cs="Calibri"/>
          <w:lang w:eastAsia="es-SV"/>
        </w:rPr>
        <w:t xml:space="preserve">características </w:t>
      </w:r>
      <w:r w:rsidR="00A80A10" w:rsidRPr="00F50960">
        <w:rPr>
          <w:rFonts w:eastAsia="Times New Roman" w:cs="Calibri"/>
          <w:lang w:eastAsia="es-SV"/>
        </w:rPr>
        <w:t xml:space="preserve"> </w:t>
      </w:r>
      <w:r w:rsidRPr="00F50960">
        <w:rPr>
          <w:rFonts w:eastAsia="Times New Roman" w:cs="Calibri"/>
          <w:lang w:eastAsia="es-SV"/>
        </w:rPr>
        <w:t xml:space="preserve">de  </w:t>
      </w:r>
      <w:r w:rsidR="00A80A10" w:rsidRPr="00F50960">
        <w:rPr>
          <w:rFonts w:eastAsia="Times New Roman" w:cs="Calibri"/>
          <w:lang w:eastAsia="es-SV"/>
        </w:rPr>
        <w:t xml:space="preserve"> </w:t>
      </w:r>
      <w:r w:rsidRPr="00F50960">
        <w:rPr>
          <w:rFonts w:eastAsia="Times New Roman" w:cs="Calibri"/>
          <w:lang w:eastAsia="es-SV"/>
        </w:rPr>
        <w:t xml:space="preserve">la </w:t>
      </w:r>
      <w:r w:rsidR="00A80A10" w:rsidRPr="00F50960">
        <w:rPr>
          <w:rFonts w:eastAsia="Times New Roman" w:cs="Calibri"/>
          <w:lang w:eastAsia="es-SV"/>
        </w:rPr>
        <w:t xml:space="preserve"> </w:t>
      </w:r>
      <w:r w:rsidRPr="00F50960">
        <w:rPr>
          <w:rFonts w:eastAsia="Times New Roman" w:cs="Calibri"/>
          <w:lang w:eastAsia="es-SV"/>
        </w:rPr>
        <w:t xml:space="preserve">plataforma </w:t>
      </w:r>
    </w:p>
    <w:p w:rsidR="00A80A10" w:rsidRPr="00F50960" w:rsidRDefault="008D2673" w:rsidP="00A80A10">
      <w:pPr>
        <w:pStyle w:val="Prrafodelista"/>
        <w:tabs>
          <w:tab w:val="left" w:pos="993"/>
        </w:tabs>
        <w:spacing w:after="0" w:line="240" w:lineRule="auto"/>
        <w:ind w:left="993"/>
        <w:jc w:val="both"/>
        <w:rPr>
          <w:rFonts w:eastAsia="Times New Roman" w:cs="Calibri"/>
          <w:lang w:eastAsia="es-SV"/>
        </w:rPr>
      </w:pPr>
      <w:r w:rsidRPr="00F50960">
        <w:rPr>
          <w:rFonts w:eastAsia="Times New Roman" w:cs="Calibri"/>
          <w:lang w:eastAsia="es-SV"/>
        </w:rPr>
        <w:t>tecnológica, tales como: Servidores, Sistemas Operativos, Bases de Datos, Herramientas de desarrollo de software y Antivirus.</w:t>
      </w:r>
    </w:p>
    <w:p w:rsidR="00A80A10" w:rsidRPr="00F50960" w:rsidRDefault="008D2673" w:rsidP="00A80A10">
      <w:pPr>
        <w:pStyle w:val="Prrafodelista"/>
        <w:tabs>
          <w:tab w:val="left" w:pos="993"/>
        </w:tabs>
        <w:spacing w:after="0" w:line="240" w:lineRule="auto"/>
        <w:ind w:left="426" w:right="-285" w:firstLine="567"/>
        <w:jc w:val="both"/>
        <w:rPr>
          <w:rFonts w:eastAsia="Times New Roman" w:cs="Calibri"/>
          <w:lang w:eastAsia="es-SV"/>
        </w:rPr>
      </w:pPr>
      <w:r w:rsidRPr="00F50960">
        <w:rPr>
          <w:rFonts w:eastAsia="Times New Roman" w:cs="Calibri"/>
          <w:lang w:eastAsia="es-SV"/>
        </w:rPr>
        <w:br/>
        <w:t xml:space="preserve">31.3 </w:t>
      </w:r>
      <w:r w:rsidR="00A80A10" w:rsidRPr="00F50960">
        <w:rPr>
          <w:rFonts w:eastAsia="Times New Roman" w:cs="Calibri"/>
          <w:lang w:eastAsia="es-SV"/>
        </w:rPr>
        <w:tab/>
      </w:r>
      <w:r w:rsidRPr="00F50960">
        <w:rPr>
          <w:rFonts w:eastAsia="Times New Roman" w:cs="Calibri"/>
          <w:lang w:eastAsia="es-SV"/>
        </w:rPr>
        <w:t xml:space="preserve">Inventario de aplicativos puestos en producción (Nombre del Aplicativo, descripción </w:t>
      </w:r>
    </w:p>
    <w:p w:rsidR="00A80A10" w:rsidRPr="00F50960" w:rsidRDefault="00A80A10" w:rsidP="00A80A10">
      <w:pPr>
        <w:pStyle w:val="Prrafodelista"/>
        <w:tabs>
          <w:tab w:val="left" w:pos="426"/>
          <w:tab w:val="left" w:pos="851"/>
        </w:tabs>
        <w:spacing w:after="0" w:line="240" w:lineRule="auto"/>
        <w:ind w:left="426" w:right="-285"/>
        <w:jc w:val="both"/>
        <w:rPr>
          <w:rFonts w:eastAsia="Times New Roman" w:cs="Calibri"/>
          <w:lang w:eastAsia="es-SV"/>
        </w:rPr>
      </w:pPr>
      <w:r w:rsidRPr="00F50960">
        <w:rPr>
          <w:rFonts w:eastAsia="Times New Roman" w:cs="Calibri"/>
          <w:lang w:eastAsia="es-SV"/>
        </w:rPr>
        <w:tab/>
        <w:t xml:space="preserve">   </w:t>
      </w:r>
      <w:r w:rsidR="008D2673" w:rsidRPr="00F50960">
        <w:rPr>
          <w:rFonts w:eastAsia="Times New Roman" w:cs="Calibri"/>
          <w:lang w:eastAsia="es-SV"/>
        </w:rPr>
        <w:t xml:space="preserve">general del sistema, versión, base  de datos, software de desarrollo y otros que se </w:t>
      </w:r>
    </w:p>
    <w:p w:rsidR="00A80A10" w:rsidRPr="00F50960" w:rsidRDefault="00A80A10" w:rsidP="00A80A10">
      <w:pPr>
        <w:pStyle w:val="Prrafodelista"/>
        <w:tabs>
          <w:tab w:val="left" w:pos="426"/>
          <w:tab w:val="left" w:pos="851"/>
        </w:tabs>
        <w:spacing w:after="0" w:line="240" w:lineRule="auto"/>
        <w:ind w:left="426" w:right="-285"/>
        <w:jc w:val="both"/>
        <w:rPr>
          <w:rFonts w:eastAsia="Times New Roman" w:cs="Calibri"/>
          <w:lang w:eastAsia="es-SV"/>
        </w:rPr>
      </w:pPr>
      <w:r w:rsidRPr="00F50960">
        <w:rPr>
          <w:rFonts w:eastAsia="Times New Roman" w:cs="Calibri"/>
          <w:lang w:eastAsia="es-SV"/>
        </w:rPr>
        <w:lastRenderedPageBreak/>
        <w:tab/>
        <w:t xml:space="preserve">   </w:t>
      </w:r>
      <w:r w:rsidR="008D2673" w:rsidRPr="00F50960">
        <w:rPr>
          <w:rFonts w:eastAsia="Times New Roman" w:cs="Calibri"/>
          <w:lang w:eastAsia="es-SV"/>
        </w:rPr>
        <w:t>consideren importantes).</w:t>
      </w:r>
    </w:p>
    <w:p w:rsidR="00A80A10" w:rsidRPr="00F50960" w:rsidRDefault="008D2673" w:rsidP="00A80A10">
      <w:pPr>
        <w:pStyle w:val="Prrafodelista"/>
        <w:tabs>
          <w:tab w:val="left" w:pos="426"/>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31.4 </w:t>
      </w:r>
      <w:r w:rsidR="00A80A10" w:rsidRPr="00F50960">
        <w:rPr>
          <w:rFonts w:eastAsia="Times New Roman" w:cs="Calibri"/>
          <w:lang w:eastAsia="es-SV"/>
        </w:rPr>
        <w:tab/>
      </w:r>
      <w:r w:rsidRPr="00F50960">
        <w:rPr>
          <w:rFonts w:eastAsia="Times New Roman" w:cs="Calibri"/>
          <w:lang w:eastAsia="es-SV"/>
        </w:rPr>
        <w:t xml:space="preserve">Listado de proyectos del área de tecnología que se encuentran en proceso o que se </w:t>
      </w:r>
    </w:p>
    <w:p w:rsidR="00A80A10" w:rsidRPr="00F50960" w:rsidRDefault="00A80A10"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t xml:space="preserve">    </w:t>
      </w:r>
      <w:r w:rsidRPr="00F50960">
        <w:rPr>
          <w:rFonts w:eastAsia="Times New Roman" w:cs="Calibri"/>
          <w:lang w:eastAsia="es-SV"/>
        </w:rPr>
        <w:tab/>
      </w:r>
      <w:r w:rsidRPr="00F50960">
        <w:rPr>
          <w:rFonts w:eastAsia="Times New Roman" w:cs="Calibri"/>
          <w:lang w:eastAsia="es-SV"/>
        </w:rPr>
        <w:tab/>
      </w:r>
      <w:r w:rsidR="008D2673" w:rsidRPr="00F50960">
        <w:rPr>
          <w:rFonts w:eastAsia="Times New Roman" w:cs="Calibri"/>
          <w:lang w:eastAsia="es-SV"/>
        </w:rPr>
        <w:t>desarrollarán en el corto plazo.</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31.5 </w:t>
      </w:r>
      <w:r w:rsidR="00A80A10" w:rsidRPr="00F50960">
        <w:rPr>
          <w:rFonts w:eastAsia="Times New Roman" w:cs="Calibri"/>
          <w:lang w:eastAsia="es-SV"/>
        </w:rPr>
        <w:tab/>
      </w:r>
      <w:r w:rsidRPr="00F50960">
        <w:rPr>
          <w:rFonts w:eastAsia="Times New Roman" w:cs="Calibri"/>
          <w:lang w:eastAsia="es-SV"/>
        </w:rPr>
        <w:t>Diagramas de Red</w:t>
      </w:r>
    </w:p>
    <w:p w:rsidR="00A80A10"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31.6</w:t>
      </w:r>
      <w:r w:rsidR="00A80A10" w:rsidRPr="00F50960">
        <w:rPr>
          <w:rFonts w:eastAsia="Times New Roman" w:cs="Calibri"/>
          <w:lang w:eastAsia="es-SV"/>
        </w:rPr>
        <w:tab/>
      </w:r>
      <w:r w:rsidR="00A80A10" w:rsidRPr="00F50960">
        <w:rPr>
          <w:rFonts w:eastAsia="Times New Roman" w:cs="Calibri"/>
          <w:lang w:eastAsia="es-SV"/>
        </w:rPr>
        <w:tab/>
      </w:r>
      <w:r w:rsidRPr="00F50960">
        <w:rPr>
          <w:rFonts w:eastAsia="Times New Roman" w:cs="Calibri"/>
          <w:lang w:eastAsia="es-SV"/>
        </w:rPr>
        <w:t xml:space="preserve">Detalle de entidades con las cuales se tiene enlace o comunicación, especificando el </w:t>
      </w:r>
    </w:p>
    <w:p w:rsidR="003449F3" w:rsidRPr="00F50960" w:rsidRDefault="00A80A10"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tab/>
        <w:t xml:space="preserve">   </w:t>
      </w:r>
      <w:r w:rsidR="008D2673" w:rsidRPr="00F50960">
        <w:rPr>
          <w:rFonts w:eastAsia="Times New Roman" w:cs="Calibri"/>
          <w:lang w:eastAsia="es-SV"/>
        </w:rPr>
        <w:t>tipo de conexión, detallando el tipo de información que comparten.</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31.7 </w:t>
      </w:r>
      <w:r w:rsidR="00A80A10" w:rsidRPr="00F50960">
        <w:rPr>
          <w:rFonts w:eastAsia="Times New Roman" w:cs="Calibri"/>
          <w:lang w:eastAsia="es-SV"/>
        </w:rPr>
        <w:tab/>
      </w:r>
      <w:r w:rsidRPr="00F50960">
        <w:rPr>
          <w:rFonts w:eastAsia="Times New Roman" w:cs="Calibri"/>
          <w:lang w:eastAsia="es-SV"/>
        </w:rPr>
        <w:t>Documentación Técnica y Manuales de Usuario de los sistemas.</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31.8 </w:t>
      </w:r>
      <w:r w:rsidR="00A80A10" w:rsidRPr="00F50960">
        <w:rPr>
          <w:rFonts w:eastAsia="Times New Roman" w:cs="Calibri"/>
          <w:lang w:eastAsia="es-SV"/>
        </w:rPr>
        <w:tab/>
      </w:r>
      <w:r w:rsidRPr="00F50960">
        <w:rPr>
          <w:rFonts w:eastAsia="Times New Roman" w:cs="Calibri"/>
          <w:lang w:eastAsia="es-SV"/>
        </w:rPr>
        <w:t>Copia del contrato de garantía o mantenimiento del hardware.</w:t>
      </w:r>
    </w:p>
    <w:p w:rsidR="00A80A10"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31.9 </w:t>
      </w:r>
      <w:r w:rsidR="00A80A10" w:rsidRPr="00F50960">
        <w:rPr>
          <w:rFonts w:eastAsia="Times New Roman" w:cs="Calibri"/>
          <w:lang w:eastAsia="es-SV"/>
        </w:rPr>
        <w:tab/>
      </w:r>
      <w:r w:rsidRPr="00F50960">
        <w:rPr>
          <w:rFonts w:eastAsia="Times New Roman" w:cs="Calibri"/>
          <w:lang w:eastAsia="es-SV"/>
        </w:rPr>
        <w:t xml:space="preserve">Copia del contrato de garantía o mantenimiento de los sistemas, si éstos han sido </w:t>
      </w:r>
    </w:p>
    <w:p w:rsidR="003449F3" w:rsidRPr="00F50960" w:rsidRDefault="00A80A10"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tab/>
        <w:t xml:space="preserve">   </w:t>
      </w:r>
      <w:r w:rsidR="008D2673" w:rsidRPr="00F50960">
        <w:rPr>
          <w:rFonts w:eastAsia="Times New Roman" w:cs="Calibri"/>
          <w:lang w:eastAsia="es-SV"/>
        </w:rPr>
        <w:t>contratados a terceros.</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31.10 </w:t>
      </w:r>
      <w:r w:rsidR="00A80A10" w:rsidRPr="00F50960">
        <w:rPr>
          <w:rFonts w:eastAsia="Times New Roman" w:cs="Calibri"/>
          <w:lang w:eastAsia="es-SV"/>
        </w:rPr>
        <w:tab/>
      </w:r>
      <w:r w:rsidRPr="00F50960">
        <w:rPr>
          <w:rFonts w:eastAsia="Times New Roman" w:cs="Calibri"/>
          <w:lang w:eastAsia="es-SV"/>
        </w:rPr>
        <w:t>Inventario de Licencias de Software</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31.11 </w:t>
      </w:r>
      <w:r w:rsidR="00A80A10" w:rsidRPr="00F50960">
        <w:rPr>
          <w:rFonts w:eastAsia="Times New Roman" w:cs="Calibri"/>
          <w:lang w:eastAsia="es-SV"/>
        </w:rPr>
        <w:tab/>
      </w:r>
      <w:r w:rsidRPr="00F50960">
        <w:rPr>
          <w:rFonts w:eastAsia="Times New Roman" w:cs="Calibri"/>
          <w:lang w:eastAsia="es-SV"/>
        </w:rPr>
        <w:t>Inventario Físico del Hardware</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31.12 </w:t>
      </w:r>
      <w:r w:rsidR="00A80A10" w:rsidRPr="00F50960">
        <w:rPr>
          <w:rFonts w:eastAsia="Times New Roman" w:cs="Calibri"/>
          <w:lang w:eastAsia="es-SV"/>
        </w:rPr>
        <w:tab/>
      </w:r>
      <w:r w:rsidRPr="00F50960">
        <w:rPr>
          <w:rFonts w:eastAsia="Times New Roman" w:cs="Calibri"/>
          <w:lang w:eastAsia="es-SV"/>
        </w:rPr>
        <w:t>Plan de contingencia del área de Tecnología de Información</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31.13 </w:t>
      </w:r>
      <w:r w:rsidR="00A80A10" w:rsidRPr="00F50960">
        <w:rPr>
          <w:rFonts w:eastAsia="Times New Roman" w:cs="Calibri"/>
          <w:lang w:eastAsia="es-SV"/>
        </w:rPr>
        <w:tab/>
      </w:r>
      <w:r w:rsidRPr="00F50960">
        <w:rPr>
          <w:rFonts w:eastAsia="Times New Roman" w:cs="Calibri"/>
          <w:lang w:eastAsia="es-SV"/>
        </w:rPr>
        <w:t>Procedimientos para realizar copias de respaldo</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31.14 </w:t>
      </w:r>
      <w:r w:rsidR="00A80A10" w:rsidRPr="00F50960">
        <w:rPr>
          <w:rFonts w:eastAsia="Times New Roman" w:cs="Calibri"/>
          <w:lang w:eastAsia="es-SV"/>
        </w:rPr>
        <w:tab/>
      </w:r>
      <w:r w:rsidRPr="00F50960">
        <w:rPr>
          <w:rFonts w:eastAsia="Times New Roman" w:cs="Calibri"/>
          <w:lang w:eastAsia="es-SV"/>
        </w:rPr>
        <w:t>Políticas de Seguridad Informática</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31.15 </w:t>
      </w:r>
      <w:r w:rsidR="00A80A10" w:rsidRPr="00F50960">
        <w:rPr>
          <w:rFonts w:eastAsia="Times New Roman" w:cs="Calibri"/>
          <w:lang w:eastAsia="es-SV"/>
        </w:rPr>
        <w:tab/>
      </w:r>
      <w:r w:rsidRPr="00F50960">
        <w:rPr>
          <w:rFonts w:eastAsia="Times New Roman" w:cs="Calibri"/>
          <w:lang w:eastAsia="es-SV"/>
        </w:rPr>
        <w:t>Procedimientos para la administración de parches de seguridad</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31.16 </w:t>
      </w:r>
      <w:r w:rsidR="00A80A10" w:rsidRPr="00F50960">
        <w:rPr>
          <w:rFonts w:eastAsia="Times New Roman" w:cs="Calibri"/>
          <w:lang w:eastAsia="es-SV"/>
        </w:rPr>
        <w:tab/>
      </w:r>
      <w:r w:rsidRPr="00F50960">
        <w:rPr>
          <w:rFonts w:eastAsia="Times New Roman" w:cs="Calibri"/>
          <w:lang w:eastAsia="es-SV"/>
        </w:rPr>
        <w:t>Procedimientos para validar la existencia de software no autorizado</w:t>
      </w:r>
    </w:p>
    <w:p w:rsidR="003449F3"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31.17 </w:t>
      </w:r>
      <w:r w:rsidR="00A80A10" w:rsidRPr="00F50960">
        <w:rPr>
          <w:rFonts w:eastAsia="Times New Roman" w:cs="Calibri"/>
          <w:lang w:eastAsia="es-SV"/>
        </w:rPr>
        <w:tab/>
      </w:r>
      <w:r w:rsidRPr="00F50960">
        <w:rPr>
          <w:rFonts w:eastAsia="Times New Roman" w:cs="Calibri"/>
          <w:lang w:eastAsia="es-SV"/>
        </w:rPr>
        <w:t>Procedimientos para la asignación y mantenimiento de claves de acceso.</w:t>
      </w:r>
    </w:p>
    <w:p w:rsidR="00A80A10"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31.18 </w:t>
      </w:r>
      <w:r w:rsidR="00A80A10" w:rsidRPr="00F50960">
        <w:rPr>
          <w:rFonts w:eastAsia="Times New Roman" w:cs="Calibri"/>
          <w:lang w:eastAsia="es-SV"/>
        </w:rPr>
        <w:tab/>
      </w:r>
      <w:r w:rsidRPr="00F50960">
        <w:rPr>
          <w:rFonts w:eastAsia="Times New Roman" w:cs="Calibri"/>
          <w:lang w:eastAsia="es-SV"/>
        </w:rPr>
        <w:t xml:space="preserve">Contar con un sistema electrónico de comunicación de datos con la </w:t>
      </w:r>
    </w:p>
    <w:p w:rsidR="003449F3" w:rsidRPr="00F50960" w:rsidRDefault="00A80A10"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tab/>
      </w:r>
      <w:r w:rsidRPr="00F50960">
        <w:rPr>
          <w:rFonts w:eastAsia="Times New Roman" w:cs="Calibri"/>
          <w:lang w:eastAsia="es-SV"/>
        </w:rPr>
        <w:tab/>
      </w:r>
      <w:r w:rsidR="008D2673" w:rsidRPr="00F50960">
        <w:rPr>
          <w:rFonts w:eastAsia="Times New Roman" w:cs="Calibri"/>
          <w:lang w:eastAsia="es-SV"/>
        </w:rPr>
        <w:t>Superintendencia.</w:t>
      </w:r>
    </w:p>
    <w:p w:rsidR="00F60657" w:rsidRPr="00F50960" w:rsidRDefault="008D2673" w:rsidP="00A80A10">
      <w:pPr>
        <w:pStyle w:val="Prrafodelista"/>
        <w:tabs>
          <w:tab w:val="left" w:pos="426"/>
          <w:tab w:val="left" w:pos="851"/>
          <w:tab w:val="left" w:pos="993"/>
        </w:tabs>
        <w:spacing w:after="0" w:line="240" w:lineRule="auto"/>
        <w:ind w:left="426"/>
        <w:rPr>
          <w:rFonts w:eastAsia="Times New Roman" w:cs="Calibri"/>
          <w:lang w:eastAsia="es-SV"/>
        </w:rPr>
      </w:pPr>
      <w:r w:rsidRPr="00F50960">
        <w:rPr>
          <w:rFonts w:eastAsia="Times New Roman" w:cs="Calibri"/>
          <w:lang w:eastAsia="es-SV"/>
        </w:rPr>
        <w:br/>
        <w:t xml:space="preserve">31.19 </w:t>
      </w:r>
      <w:r w:rsidR="00A80A10" w:rsidRPr="00F50960">
        <w:rPr>
          <w:rFonts w:eastAsia="Times New Roman" w:cs="Calibri"/>
          <w:lang w:eastAsia="es-SV"/>
        </w:rPr>
        <w:tab/>
      </w:r>
      <w:r w:rsidRPr="00F50960">
        <w:rPr>
          <w:rFonts w:eastAsia="Times New Roman" w:cs="Calibri"/>
          <w:lang w:eastAsia="es-SV"/>
        </w:rPr>
        <w:t xml:space="preserve">Para una SAC, el Manual de Procedimientos debe contener un apartado relativo a </w:t>
      </w:r>
    </w:p>
    <w:p w:rsidR="008D2673" w:rsidRPr="00F50960" w:rsidRDefault="008D2673" w:rsidP="00F60657">
      <w:pPr>
        <w:pStyle w:val="Prrafodelista"/>
        <w:tabs>
          <w:tab w:val="left" w:pos="426"/>
          <w:tab w:val="left" w:pos="851"/>
          <w:tab w:val="left" w:pos="993"/>
        </w:tabs>
        <w:spacing w:after="0" w:line="240" w:lineRule="auto"/>
        <w:ind w:left="993"/>
        <w:rPr>
          <w:rFonts w:eastAsia="Times New Roman" w:cs="Calibri"/>
          <w:lang w:eastAsia="es-SV"/>
        </w:rPr>
      </w:pPr>
      <w:r w:rsidRPr="00F50960">
        <w:rPr>
          <w:rFonts w:eastAsia="Times New Roman" w:cs="Calibri"/>
          <w:lang w:eastAsia="es-SV"/>
        </w:rPr>
        <w:t>sistemas de información, que describa los sistemas de procesamiento de datos que se utilizarán en las diferentes actividades de naturaleza económica.</w:t>
      </w:r>
      <w:r w:rsidRPr="00F50960">
        <w:rPr>
          <w:rFonts w:eastAsia="Times New Roman" w:cs="Calibri"/>
          <w:lang w:eastAsia="es-SV"/>
        </w:rPr>
        <w:tab/>
      </w:r>
    </w:p>
    <w:p w:rsidR="00F60657" w:rsidRPr="00F50960" w:rsidRDefault="001C1C46" w:rsidP="00F60657">
      <w:pPr>
        <w:pStyle w:val="Prrafodelista"/>
        <w:tabs>
          <w:tab w:val="left" w:pos="426"/>
          <w:tab w:val="left" w:pos="851"/>
          <w:tab w:val="left" w:pos="993"/>
        </w:tabs>
        <w:spacing w:after="0" w:line="240" w:lineRule="auto"/>
        <w:ind w:left="993"/>
        <w:rPr>
          <w:rFonts w:eastAsia="Times New Roman" w:cs="Calibri"/>
          <w:lang w:eastAsia="es-SV"/>
        </w:rPr>
      </w:pPr>
      <w:r w:rsidRPr="00F50960">
        <w:rPr>
          <w:rFonts w:eastAsia="Times New Roman" w:cs="Calibri"/>
          <w:lang w:eastAsia="es-SV"/>
        </w:rPr>
        <w:t xml:space="preserve"> </w:t>
      </w:r>
    </w:p>
    <w:p w:rsidR="00F60657" w:rsidRPr="00F50960" w:rsidRDefault="001C1C46" w:rsidP="00F60657">
      <w:pPr>
        <w:pStyle w:val="Prrafodelista"/>
        <w:tabs>
          <w:tab w:val="left" w:pos="426"/>
          <w:tab w:val="left" w:pos="851"/>
          <w:tab w:val="left" w:pos="993"/>
        </w:tabs>
        <w:spacing w:after="0" w:line="240" w:lineRule="auto"/>
        <w:ind w:left="993"/>
        <w:rPr>
          <w:rFonts w:eastAsia="Times New Roman" w:cs="Calibri"/>
          <w:lang w:eastAsia="es-SV"/>
        </w:rPr>
      </w:pPr>
      <w:r w:rsidRPr="00F50960">
        <w:rPr>
          <w:rFonts w:eastAsia="Times New Roman" w:cs="Calibri"/>
          <w:lang w:eastAsia="es-SV"/>
        </w:rPr>
        <w:t xml:space="preserve">                                        </w:t>
      </w:r>
      <w:bookmarkStart w:id="1" w:name="_MON_1591014515"/>
      <w:bookmarkEnd w:id="1"/>
      <w:r w:rsidR="008B66DF" w:rsidRPr="00F50960">
        <w:rPr>
          <w:rFonts w:eastAsia="Times New Roman" w:cs="Calibri"/>
          <w:lang w:eastAsia="es-SV"/>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1" o:title=""/>
          </v:shape>
          <o:OLEObject Type="Embed" ProgID="Word.Document.12" ShapeID="_x0000_i1027" DrawAspect="Icon" ObjectID="_1675175078" r:id="rId12">
            <o:FieldCodes>\s</o:FieldCodes>
          </o:OLEObject>
        </w:object>
      </w:r>
    </w:p>
    <w:sectPr w:rsidR="00F60657" w:rsidRPr="00F50960" w:rsidSect="00BB082E">
      <w:footerReference w:type="default" r:id="rId13"/>
      <w:pgSz w:w="11906" w:h="16838"/>
      <w:pgMar w:top="16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E5" w:rsidRDefault="001471E5" w:rsidP="00BB082E">
      <w:pPr>
        <w:spacing w:after="0" w:line="240" w:lineRule="auto"/>
      </w:pPr>
      <w:r>
        <w:separator/>
      </w:r>
    </w:p>
  </w:endnote>
  <w:endnote w:type="continuationSeparator" w:id="0">
    <w:p w:rsidR="001471E5" w:rsidRDefault="001471E5" w:rsidP="00BB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7918"/>
      <w:docPartObj>
        <w:docPartGallery w:val="Page Numbers (Bottom of Page)"/>
        <w:docPartUnique/>
      </w:docPartObj>
    </w:sdtPr>
    <w:sdtEndPr/>
    <w:sdtContent>
      <w:p w:rsidR="00F519F3" w:rsidRDefault="00C31154" w:rsidP="00555371">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E5" w:rsidRDefault="001471E5" w:rsidP="00BB082E">
      <w:pPr>
        <w:spacing w:after="0" w:line="240" w:lineRule="auto"/>
      </w:pPr>
      <w:r>
        <w:separator/>
      </w:r>
    </w:p>
  </w:footnote>
  <w:footnote w:type="continuationSeparator" w:id="0">
    <w:p w:rsidR="001471E5" w:rsidRDefault="001471E5" w:rsidP="00BB0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C61"/>
    <w:multiLevelType w:val="multilevel"/>
    <w:tmpl w:val="41328DF8"/>
    <w:lvl w:ilvl="0">
      <w:start w:val="1"/>
      <w:numFmt w:val="decimal"/>
      <w:lvlText w:val="%1."/>
      <w:lvlJc w:val="left"/>
      <w:pPr>
        <w:ind w:left="644"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1" w15:restartNumberingAfterBreak="0">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4A63487"/>
    <w:multiLevelType w:val="multilevel"/>
    <w:tmpl w:val="CADA9F8A"/>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2" w15:restartNumberingAfterBreak="0">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3" w15:restartNumberingAfterBreak="0">
    <w:nsid w:val="28CF4FF1"/>
    <w:multiLevelType w:val="hybridMultilevel"/>
    <w:tmpl w:val="A3CAF9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067606"/>
    <w:multiLevelType w:val="multilevel"/>
    <w:tmpl w:val="52D88866"/>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16" w15:restartNumberingAfterBreak="0">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CFF0EE0"/>
    <w:multiLevelType w:val="singleLevel"/>
    <w:tmpl w:val="0E5C2A14"/>
    <w:lvl w:ilvl="0">
      <w:start w:val="3"/>
      <w:numFmt w:val="lowerLetter"/>
      <w:lvlText w:val="%1)"/>
      <w:lvlJc w:val="left"/>
      <w:pPr>
        <w:tabs>
          <w:tab w:val="num" w:pos="720"/>
        </w:tabs>
        <w:ind w:left="720" w:hanging="720"/>
      </w:pPr>
    </w:lvl>
  </w:abstractNum>
  <w:abstractNum w:abstractNumId="23" w15:restartNumberingAfterBreak="0">
    <w:nsid w:val="52F42729"/>
    <w:multiLevelType w:val="hybridMultilevel"/>
    <w:tmpl w:val="08A2AF1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15:restartNumberingAfterBreak="0">
    <w:nsid w:val="542670BB"/>
    <w:multiLevelType w:val="multilevel"/>
    <w:tmpl w:val="E99827E0"/>
    <w:lvl w:ilvl="0">
      <w:start w:val="1"/>
      <w:numFmt w:val="decimal"/>
      <w:lvlText w:val="%1."/>
      <w:lvlJc w:val="left"/>
      <w:pPr>
        <w:ind w:left="425"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5" w15:restartNumberingAfterBreak="0">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28" w15:restartNumberingAfterBreak="0">
    <w:nsid w:val="69617F64"/>
    <w:multiLevelType w:val="singleLevel"/>
    <w:tmpl w:val="F49E0966"/>
    <w:lvl w:ilvl="0">
      <w:start w:val="1"/>
      <w:numFmt w:val="lowerLetter"/>
      <w:lvlText w:val="%1)"/>
      <w:lvlJc w:val="left"/>
      <w:pPr>
        <w:tabs>
          <w:tab w:val="num" w:pos="720"/>
        </w:tabs>
        <w:ind w:left="720" w:hanging="720"/>
      </w:pPr>
    </w:lvl>
  </w:abstractNum>
  <w:abstractNum w:abstractNumId="29" w15:restartNumberingAfterBreak="0">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CF6210"/>
    <w:multiLevelType w:val="hybridMultilevel"/>
    <w:tmpl w:val="9C46A9B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1C398A"/>
    <w:multiLevelType w:val="multilevel"/>
    <w:tmpl w:val="F2A444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6"/>
  </w:num>
  <w:num w:numId="3">
    <w:abstractNumId w:val="10"/>
  </w:num>
  <w:num w:numId="4">
    <w:abstractNumId w:val="25"/>
  </w:num>
  <w:num w:numId="5">
    <w:abstractNumId w:val="26"/>
  </w:num>
  <w:num w:numId="6">
    <w:abstractNumId w:val="4"/>
  </w:num>
  <w:num w:numId="7">
    <w:abstractNumId w:val="19"/>
  </w:num>
  <w:num w:numId="8">
    <w:abstractNumId w:val="34"/>
  </w:num>
  <w:num w:numId="9">
    <w:abstractNumId w:val="18"/>
  </w:num>
  <w:num w:numId="10">
    <w:abstractNumId w:val="27"/>
  </w:num>
  <w:num w:numId="11">
    <w:abstractNumId w:val="7"/>
  </w:num>
  <w:num w:numId="12">
    <w:abstractNumId w:val="21"/>
  </w:num>
  <w:num w:numId="13">
    <w:abstractNumId w:val="28"/>
  </w:num>
  <w:num w:numId="14">
    <w:abstractNumId w:val="22"/>
  </w:num>
  <w:num w:numId="15">
    <w:abstractNumId w:val="12"/>
  </w:num>
  <w:num w:numId="16">
    <w:abstractNumId w:val="8"/>
  </w:num>
  <w:num w:numId="17">
    <w:abstractNumId w:val="9"/>
  </w:num>
  <w:num w:numId="18">
    <w:abstractNumId w:val="20"/>
  </w:num>
  <w:num w:numId="19">
    <w:abstractNumId w:val="29"/>
  </w:num>
  <w:num w:numId="20">
    <w:abstractNumId w:val="3"/>
  </w:num>
  <w:num w:numId="21">
    <w:abstractNumId w:val="0"/>
  </w:num>
  <w:num w:numId="22">
    <w:abstractNumId w:val="14"/>
  </w:num>
  <w:num w:numId="23">
    <w:abstractNumId w:val="6"/>
  </w:num>
  <w:num w:numId="24">
    <w:abstractNumId w:val="33"/>
  </w:num>
  <w:num w:numId="25">
    <w:abstractNumId w:val="17"/>
  </w:num>
  <w:num w:numId="26">
    <w:abstractNumId w:val="2"/>
  </w:num>
  <w:num w:numId="27">
    <w:abstractNumId w:val="1"/>
  </w:num>
  <w:num w:numId="28">
    <w:abstractNumId w:val="5"/>
  </w:num>
  <w:num w:numId="29">
    <w:abstractNumId w:val="11"/>
  </w:num>
  <w:num w:numId="30">
    <w:abstractNumId w:val="23"/>
  </w:num>
  <w:num w:numId="31">
    <w:abstractNumId w:val="15"/>
  </w:num>
  <w:num w:numId="32">
    <w:abstractNumId w:val="13"/>
  </w:num>
  <w:num w:numId="33">
    <w:abstractNumId w:val="31"/>
  </w:num>
  <w:num w:numId="34">
    <w:abstractNumId w:val="30"/>
  </w:num>
  <w:num w:numId="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E6"/>
    <w:rsid w:val="00001F79"/>
    <w:rsid w:val="000044E3"/>
    <w:rsid w:val="00011A64"/>
    <w:rsid w:val="00016F2E"/>
    <w:rsid w:val="0001786B"/>
    <w:rsid w:val="00020BBC"/>
    <w:rsid w:val="00024810"/>
    <w:rsid w:val="00027F74"/>
    <w:rsid w:val="00031824"/>
    <w:rsid w:val="00031AF7"/>
    <w:rsid w:val="00035652"/>
    <w:rsid w:val="00036DCA"/>
    <w:rsid w:val="000437C9"/>
    <w:rsid w:val="0005256E"/>
    <w:rsid w:val="0005646B"/>
    <w:rsid w:val="00060AC6"/>
    <w:rsid w:val="00067000"/>
    <w:rsid w:val="000724E5"/>
    <w:rsid w:val="000830FE"/>
    <w:rsid w:val="00085DE2"/>
    <w:rsid w:val="00094789"/>
    <w:rsid w:val="00095B89"/>
    <w:rsid w:val="000A4DD8"/>
    <w:rsid w:val="000B2ADA"/>
    <w:rsid w:val="000C0F71"/>
    <w:rsid w:val="000C172A"/>
    <w:rsid w:val="000D0938"/>
    <w:rsid w:val="000D1183"/>
    <w:rsid w:val="000E1F7E"/>
    <w:rsid w:val="000E2460"/>
    <w:rsid w:val="000E6763"/>
    <w:rsid w:val="000F1182"/>
    <w:rsid w:val="00100F5E"/>
    <w:rsid w:val="00101920"/>
    <w:rsid w:val="00125FEF"/>
    <w:rsid w:val="0013243B"/>
    <w:rsid w:val="00137226"/>
    <w:rsid w:val="001471E5"/>
    <w:rsid w:val="0015486C"/>
    <w:rsid w:val="00154FEA"/>
    <w:rsid w:val="00163375"/>
    <w:rsid w:val="001717D4"/>
    <w:rsid w:val="00174775"/>
    <w:rsid w:val="001858E5"/>
    <w:rsid w:val="001A182A"/>
    <w:rsid w:val="001A3130"/>
    <w:rsid w:val="001A3B7A"/>
    <w:rsid w:val="001A46DA"/>
    <w:rsid w:val="001A535F"/>
    <w:rsid w:val="001A5BA2"/>
    <w:rsid w:val="001B61CD"/>
    <w:rsid w:val="001B7237"/>
    <w:rsid w:val="001C1C46"/>
    <w:rsid w:val="001C7C11"/>
    <w:rsid w:val="001D3DE3"/>
    <w:rsid w:val="001E50E9"/>
    <w:rsid w:val="001F18CD"/>
    <w:rsid w:val="001F36B9"/>
    <w:rsid w:val="00201674"/>
    <w:rsid w:val="00201B38"/>
    <w:rsid w:val="002063B2"/>
    <w:rsid w:val="0021163E"/>
    <w:rsid w:val="002124D6"/>
    <w:rsid w:val="0022300C"/>
    <w:rsid w:val="00223E29"/>
    <w:rsid w:val="002363C4"/>
    <w:rsid w:val="00240322"/>
    <w:rsid w:val="0024436B"/>
    <w:rsid w:val="002458E6"/>
    <w:rsid w:val="00246941"/>
    <w:rsid w:val="00271532"/>
    <w:rsid w:val="00280D31"/>
    <w:rsid w:val="00282EF5"/>
    <w:rsid w:val="002960E2"/>
    <w:rsid w:val="002A48A9"/>
    <w:rsid w:val="002B165A"/>
    <w:rsid w:val="002C10B7"/>
    <w:rsid w:val="002C2369"/>
    <w:rsid w:val="002C2718"/>
    <w:rsid w:val="002C3F26"/>
    <w:rsid w:val="002E049E"/>
    <w:rsid w:val="002E0626"/>
    <w:rsid w:val="002E4B96"/>
    <w:rsid w:val="002E7C78"/>
    <w:rsid w:val="002F4092"/>
    <w:rsid w:val="0032185E"/>
    <w:rsid w:val="00326063"/>
    <w:rsid w:val="003353D2"/>
    <w:rsid w:val="00337A50"/>
    <w:rsid w:val="003407FD"/>
    <w:rsid w:val="00342518"/>
    <w:rsid w:val="003449F3"/>
    <w:rsid w:val="00350D28"/>
    <w:rsid w:val="003525C0"/>
    <w:rsid w:val="00354F10"/>
    <w:rsid w:val="00356D08"/>
    <w:rsid w:val="00361E7B"/>
    <w:rsid w:val="00372233"/>
    <w:rsid w:val="0038622E"/>
    <w:rsid w:val="00386C1F"/>
    <w:rsid w:val="00391750"/>
    <w:rsid w:val="003A1295"/>
    <w:rsid w:val="003A22DB"/>
    <w:rsid w:val="003A57EB"/>
    <w:rsid w:val="003B54E6"/>
    <w:rsid w:val="003B5AB8"/>
    <w:rsid w:val="003C58BF"/>
    <w:rsid w:val="003D6374"/>
    <w:rsid w:val="003F2C42"/>
    <w:rsid w:val="003F4F15"/>
    <w:rsid w:val="003F5FDD"/>
    <w:rsid w:val="0040553D"/>
    <w:rsid w:val="0041104A"/>
    <w:rsid w:val="004124DC"/>
    <w:rsid w:val="0041424B"/>
    <w:rsid w:val="00417053"/>
    <w:rsid w:val="00424EB7"/>
    <w:rsid w:val="004433ED"/>
    <w:rsid w:val="00445E93"/>
    <w:rsid w:val="004525A5"/>
    <w:rsid w:val="0045360D"/>
    <w:rsid w:val="0046395C"/>
    <w:rsid w:val="004710A6"/>
    <w:rsid w:val="00480E29"/>
    <w:rsid w:val="00483C75"/>
    <w:rsid w:val="004963A1"/>
    <w:rsid w:val="00497400"/>
    <w:rsid w:val="004A2E25"/>
    <w:rsid w:val="004A4648"/>
    <w:rsid w:val="004B0D76"/>
    <w:rsid w:val="004B114D"/>
    <w:rsid w:val="004C0E34"/>
    <w:rsid w:val="004C77DE"/>
    <w:rsid w:val="004D0C28"/>
    <w:rsid w:val="004D2398"/>
    <w:rsid w:val="004D23F6"/>
    <w:rsid w:val="004D3402"/>
    <w:rsid w:val="004D7BFB"/>
    <w:rsid w:val="004E6F28"/>
    <w:rsid w:val="004F3077"/>
    <w:rsid w:val="004F3950"/>
    <w:rsid w:val="004F3FB0"/>
    <w:rsid w:val="004F7428"/>
    <w:rsid w:val="005049D4"/>
    <w:rsid w:val="00510610"/>
    <w:rsid w:val="00511D28"/>
    <w:rsid w:val="00515F23"/>
    <w:rsid w:val="00523544"/>
    <w:rsid w:val="005258AC"/>
    <w:rsid w:val="00536DCF"/>
    <w:rsid w:val="00555371"/>
    <w:rsid w:val="00561EBC"/>
    <w:rsid w:val="00567B55"/>
    <w:rsid w:val="00570C76"/>
    <w:rsid w:val="005719A4"/>
    <w:rsid w:val="00576488"/>
    <w:rsid w:val="00584C9D"/>
    <w:rsid w:val="00586589"/>
    <w:rsid w:val="005967BB"/>
    <w:rsid w:val="00596B36"/>
    <w:rsid w:val="005A719C"/>
    <w:rsid w:val="005B2B1C"/>
    <w:rsid w:val="005C3548"/>
    <w:rsid w:val="005C7839"/>
    <w:rsid w:val="005D139C"/>
    <w:rsid w:val="005F028A"/>
    <w:rsid w:val="005F0ABF"/>
    <w:rsid w:val="006068A5"/>
    <w:rsid w:val="006105CE"/>
    <w:rsid w:val="006117C0"/>
    <w:rsid w:val="00613C6C"/>
    <w:rsid w:val="0061701F"/>
    <w:rsid w:val="00624905"/>
    <w:rsid w:val="006404C6"/>
    <w:rsid w:val="00651646"/>
    <w:rsid w:val="00652E61"/>
    <w:rsid w:val="00664C79"/>
    <w:rsid w:val="00667811"/>
    <w:rsid w:val="00680F58"/>
    <w:rsid w:val="00692CA5"/>
    <w:rsid w:val="00692F9D"/>
    <w:rsid w:val="006950D4"/>
    <w:rsid w:val="006B08B1"/>
    <w:rsid w:val="006B0A67"/>
    <w:rsid w:val="006B1F02"/>
    <w:rsid w:val="006C2209"/>
    <w:rsid w:val="006D63EE"/>
    <w:rsid w:val="006D7E05"/>
    <w:rsid w:val="006E10E6"/>
    <w:rsid w:val="006E1EFC"/>
    <w:rsid w:val="006F5C2D"/>
    <w:rsid w:val="006F5DFB"/>
    <w:rsid w:val="00723B02"/>
    <w:rsid w:val="00731C3C"/>
    <w:rsid w:val="00735A11"/>
    <w:rsid w:val="007438A2"/>
    <w:rsid w:val="00757242"/>
    <w:rsid w:val="00776EAD"/>
    <w:rsid w:val="007770FE"/>
    <w:rsid w:val="007903A7"/>
    <w:rsid w:val="007A6ABB"/>
    <w:rsid w:val="007A7323"/>
    <w:rsid w:val="007B27D1"/>
    <w:rsid w:val="007C11C6"/>
    <w:rsid w:val="007C395A"/>
    <w:rsid w:val="007D4728"/>
    <w:rsid w:val="007D6C6E"/>
    <w:rsid w:val="00806841"/>
    <w:rsid w:val="00816A27"/>
    <w:rsid w:val="00817A4D"/>
    <w:rsid w:val="00817CC7"/>
    <w:rsid w:val="00822EA0"/>
    <w:rsid w:val="00831E77"/>
    <w:rsid w:val="0084521A"/>
    <w:rsid w:val="0084650A"/>
    <w:rsid w:val="008500AA"/>
    <w:rsid w:val="008560E0"/>
    <w:rsid w:val="00865358"/>
    <w:rsid w:val="008660FE"/>
    <w:rsid w:val="00867326"/>
    <w:rsid w:val="008766C2"/>
    <w:rsid w:val="0088610B"/>
    <w:rsid w:val="008B1746"/>
    <w:rsid w:val="008B317C"/>
    <w:rsid w:val="008B66DF"/>
    <w:rsid w:val="008C2C2B"/>
    <w:rsid w:val="008C54F1"/>
    <w:rsid w:val="008D0833"/>
    <w:rsid w:val="008D2673"/>
    <w:rsid w:val="008D71BD"/>
    <w:rsid w:val="008E14D3"/>
    <w:rsid w:val="008F0320"/>
    <w:rsid w:val="00904C5E"/>
    <w:rsid w:val="00907BA0"/>
    <w:rsid w:val="00910FA1"/>
    <w:rsid w:val="00915192"/>
    <w:rsid w:val="0092027A"/>
    <w:rsid w:val="00921529"/>
    <w:rsid w:val="009350E1"/>
    <w:rsid w:val="0094171F"/>
    <w:rsid w:val="009469D2"/>
    <w:rsid w:val="009554E7"/>
    <w:rsid w:val="009708FC"/>
    <w:rsid w:val="0097580C"/>
    <w:rsid w:val="00980A66"/>
    <w:rsid w:val="0098293B"/>
    <w:rsid w:val="00982B7B"/>
    <w:rsid w:val="00985171"/>
    <w:rsid w:val="009A429C"/>
    <w:rsid w:val="009A42EF"/>
    <w:rsid w:val="009C2FC1"/>
    <w:rsid w:val="009D0C38"/>
    <w:rsid w:val="009D634A"/>
    <w:rsid w:val="009F1DBB"/>
    <w:rsid w:val="00A20F2E"/>
    <w:rsid w:val="00A234CC"/>
    <w:rsid w:val="00A248DB"/>
    <w:rsid w:val="00A54B93"/>
    <w:rsid w:val="00A56A08"/>
    <w:rsid w:val="00A57068"/>
    <w:rsid w:val="00A57FAF"/>
    <w:rsid w:val="00A62DF9"/>
    <w:rsid w:val="00A63960"/>
    <w:rsid w:val="00A65C83"/>
    <w:rsid w:val="00A6619E"/>
    <w:rsid w:val="00A80A10"/>
    <w:rsid w:val="00A8371B"/>
    <w:rsid w:val="00A93225"/>
    <w:rsid w:val="00AA215B"/>
    <w:rsid w:val="00AA289E"/>
    <w:rsid w:val="00AC23D0"/>
    <w:rsid w:val="00AC4D71"/>
    <w:rsid w:val="00AD1DCE"/>
    <w:rsid w:val="00AD258E"/>
    <w:rsid w:val="00AE23A4"/>
    <w:rsid w:val="00AE2B3D"/>
    <w:rsid w:val="00AE455D"/>
    <w:rsid w:val="00AF290B"/>
    <w:rsid w:val="00AF292C"/>
    <w:rsid w:val="00B00593"/>
    <w:rsid w:val="00B014E1"/>
    <w:rsid w:val="00B065CA"/>
    <w:rsid w:val="00B14897"/>
    <w:rsid w:val="00B2753A"/>
    <w:rsid w:val="00B27DC8"/>
    <w:rsid w:val="00B34CB1"/>
    <w:rsid w:val="00B352C3"/>
    <w:rsid w:val="00B36CF5"/>
    <w:rsid w:val="00B40193"/>
    <w:rsid w:val="00B41C7C"/>
    <w:rsid w:val="00B50819"/>
    <w:rsid w:val="00B6463C"/>
    <w:rsid w:val="00B66ACF"/>
    <w:rsid w:val="00B70EBE"/>
    <w:rsid w:val="00B72970"/>
    <w:rsid w:val="00B7731A"/>
    <w:rsid w:val="00B950E9"/>
    <w:rsid w:val="00B97160"/>
    <w:rsid w:val="00BA4E6F"/>
    <w:rsid w:val="00BB082E"/>
    <w:rsid w:val="00BE154B"/>
    <w:rsid w:val="00BE45C1"/>
    <w:rsid w:val="00BE6C77"/>
    <w:rsid w:val="00BE77D8"/>
    <w:rsid w:val="00C00136"/>
    <w:rsid w:val="00C06E2A"/>
    <w:rsid w:val="00C07FA1"/>
    <w:rsid w:val="00C1238A"/>
    <w:rsid w:val="00C24CA6"/>
    <w:rsid w:val="00C31154"/>
    <w:rsid w:val="00C538DA"/>
    <w:rsid w:val="00C553BA"/>
    <w:rsid w:val="00C62CDD"/>
    <w:rsid w:val="00C6697B"/>
    <w:rsid w:val="00C714C4"/>
    <w:rsid w:val="00C726F4"/>
    <w:rsid w:val="00C75097"/>
    <w:rsid w:val="00C86172"/>
    <w:rsid w:val="00C87B9E"/>
    <w:rsid w:val="00CA0A2C"/>
    <w:rsid w:val="00CB039F"/>
    <w:rsid w:val="00CC4A10"/>
    <w:rsid w:val="00CD07A1"/>
    <w:rsid w:val="00CD36A4"/>
    <w:rsid w:val="00CD6EF2"/>
    <w:rsid w:val="00CE6A65"/>
    <w:rsid w:val="00CE72B9"/>
    <w:rsid w:val="00CE7411"/>
    <w:rsid w:val="00CF399E"/>
    <w:rsid w:val="00D14E87"/>
    <w:rsid w:val="00D26D97"/>
    <w:rsid w:val="00D37ED9"/>
    <w:rsid w:val="00D414CB"/>
    <w:rsid w:val="00D42B00"/>
    <w:rsid w:val="00D44007"/>
    <w:rsid w:val="00D53CE0"/>
    <w:rsid w:val="00D55F4E"/>
    <w:rsid w:val="00D636AF"/>
    <w:rsid w:val="00D77D08"/>
    <w:rsid w:val="00D82379"/>
    <w:rsid w:val="00D82D5D"/>
    <w:rsid w:val="00D832F3"/>
    <w:rsid w:val="00D854ED"/>
    <w:rsid w:val="00D85E7E"/>
    <w:rsid w:val="00D94A2B"/>
    <w:rsid w:val="00DA2889"/>
    <w:rsid w:val="00DA48D4"/>
    <w:rsid w:val="00DA573A"/>
    <w:rsid w:val="00DC1F8B"/>
    <w:rsid w:val="00DC4828"/>
    <w:rsid w:val="00DD004E"/>
    <w:rsid w:val="00DD2975"/>
    <w:rsid w:val="00DD51C4"/>
    <w:rsid w:val="00DD5B91"/>
    <w:rsid w:val="00DE1626"/>
    <w:rsid w:val="00DF2E41"/>
    <w:rsid w:val="00DF5756"/>
    <w:rsid w:val="00E247E4"/>
    <w:rsid w:val="00E4399C"/>
    <w:rsid w:val="00E45DA9"/>
    <w:rsid w:val="00E63205"/>
    <w:rsid w:val="00E64A57"/>
    <w:rsid w:val="00E6663F"/>
    <w:rsid w:val="00E85F58"/>
    <w:rsid w:val="00E87A0D"/>
    <w:rsid w:val="00E92686"/>
    <w:rsid w:val="00E93A61"/>
    <w:rsid w:val="00EA1BC4"/>
    <w:rsid w:val="00EA7010"/>
    <w:rsid w:val="00EC055A"/>
    <w:rsid w:val="00EC311F"/>
    <w:rsid w:val="00ED16CC"/>
    <w:rsid w:val="00ED522A"/>
    <w:rsid w:val="00EE0D48"/>
    <w:rsid w:val="00EE167B"/>
    <w:rsid w:val="00F01531"/>
    <w:rsid w:val="00F03907"/>
    <w:rsid w:val="00F10C9F"/>
    <w:rsid w:val="00F1461A"/>
    <w:rsid w:val="00F16B62"/>
    <w:rsid w:val="00F1722F"/>
    <w:rsid w:val="00F2223A"/>
    <w:rsid w:val="00F30A42"/>
    <w:rsid w:val="00F41C0B"/>
    <w:rsid w:val="00F46EEF"/>
    <w:rsid w:val="00F47739"/>
    <w:rsid w:val="00F50960"/>
    <w:rsid w:val="00F519F3"/>
    <w:rsid w:val="00F5239C"/>
    <w:rsid w:val="00F60657"/>
    <w:rsid w:val="00F610C5"/>
    <w:rsid w:val="00F616B2"/>
    <w:rsid w:val="00F61BD7"/>
    <w:rsid w:val="00F62C0E"/>
    <w:rsid w:val="00F70416"/>
    <w:rsid w:val="00F7494A"/>
    <w:rsid w:val="00F749BC"/>
    <w:rsid w:val="00F861EA"/>
    <w:rsid w:val="00F86B74"/>
    <w:rsid w:val="00FA2BA7"/>
    <w:rsid w:val="00FA4A8B"/>
    <w:rsid w:val="00FA7D1A"/>
    <w:rsid w:val="00FB1C58"/>
    <w:rsid w:val="00FB1F4F"/>
    <w:rsid w:val="00FC2643"/>
    <w:rsid w:val="00FD4BAD"/>
    <w:rsid w:val="00FE0CF5"/>
    <w:rsid w:val="00FE5AE0"/>
    <w:rsid w:val="00FF03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B879014"/>
  <w15:docId w15:val="{88D4A424-246D-422A-A7FA-30108ECA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 w:type="character" w:styleId="Hipervnculo">
    <w:name w:val="Hyperlink"/>
    <w:basedOn w:val="Fuentedeprrafopredeter"/>
    <w:uiPriority w:val="99"/>
    <w:unhideWhenUsed/>
    <w:rsid w:val="008D2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43602084">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162430595">
      <w:bodyDiv w:val="1"/>
      <w:marLeft w:val="0"/>
      <w:marRight w:val="0"/>
      <w:marTop w:val="0"/>
      <w:marBottom w:val="0"/>
      <w:divBdr>
        <w:top w:val="none" w:sz="0" w:space="0" w:color="auto"/>
        <w:left w:val="none" w:sz="0" w:space="0" w:color="auto"/>
        <w:bottom w:val="none" w:sz="0" w:space="0" w:color="auto"/>
        <w:right w:val="none" w:sz="0" w:space="0" w:color="auto"/>
      </w:divBdr>
    </w:div>
    <w:div w:id="1258292088">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Documento_de_Microsoft_Word.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positodecontratos@ssf.gob.s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26AF8-48E0-4392-A20B-338DBC3B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8925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Julio Alfredo Portillo de la O</cp:lastModifiedBy>
  <cp:revision>2</cp:revision>
  <cp:lastPrinted>2021-02-18T23:26:00Z</cp:lastPrinted>
  <dcterms:created xsi:type="dcterms:W3CDTF">2021-02-18T23:38:00Z</dcterms:created>
  <dcterms:modified xsi:type="dcterms:W3CDTF">2021-02-18T23:38:00Z</dcterms:modified>
</cp:coreProperties>
</file>