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A742D7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DF2CAB" w:rsidRDefault="00DF2CAB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SAC-003</w:t>
                  </w:r>
                </w:p>
                <w:p w:rsidR="00DF2CAB" w:rsidRPr="00E22357" w:rsidRDefault="00DF2CAB" w:rsidP="002E4B96">
                  <w:pPr>
                    <w:spacing w:after="0" w:line="240" w:lineRule="auto"/>
                    <w:jc w:val="center"/>
                    <w:rPr>
                      <w:b/>
                      <w:sz w:val="8"/>
                      <w:lang w:val="es-SV"/>
                    </w:rPr>
                  </w:pPr>
                </w:p>
                <w:p w:rsidR="00DF2CAB" w:rsidRDefault="00DF2CAB" w:rsidP="00E22357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Pr="00E22357">
                    <w:rPr>
                      <w:b/>
                      <w:lang w:val="es-SV"/>
                    </w:rPr>
                    <w:t>Autorización de inicio de operaciones de nuevas entidades</w:t>
                  </w:r>
                </w:p>
                <w:p w:rsidR="00DF2CAB" w:rsidRDefault="00DF2CAB" w:rsidP="00E22357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DF2CAB" w:rsidRDefault="00DF2CAB" w:rsidP="00E22357">
                  <w:pPr>
                    <w:spacing w:after="0" w:line="240" w:lineRule="auto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DF2CAB" w:rsidRPr="00E22357" w:rsidRDefault="00DF2CAB" w:rsidP="00E22357">
                  <w:pPr>
                    <w:spacing w:after="0" w:line="240" w:lineRule="auto"/>
                    <w:rPr>
                      <w:bCs/>
                      <w:iCs/>
                      <w:sz w:val="12"/>
                    </w:rPr>
                  </w:pPr>
                </w:p>
                <w:p w:rsidR="00DF2CAB" w:rsidRDefault="00DF2CAB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>
                    <w:rPr>
                      <w:lang w:val="es-SV"/>
                    </w:rPr>
                    <w:t xml:space="preserve">           18/09/2014</w:t>
                  </w:r>
                </w:p>
                <w:p w:rsidR="00DF2CAB" w:rsidRPr="00CF399E" w:rsidRDefault="00DF2CAB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>
                    <w:rPr>
                      <w:lang w:val="es-SV"/>
                    </w:rPr>
                    <w:t xml:space="preserve"> 12/06/2018</w:t>
                  </w:r>
                </w:p>
                <w:p w:rsidR="00DF2CAB" w:rsidRPr="00CF399E" w:rsidRDefault="00DF2CAB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FE0423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FE0423">
        <w:rPr>
          <w:b/>
          <w:bCs/>
          <w:iCs/>
        </w:rPr>
        <w:t>Sujetos a que aplica el trámite específico:</w:t>
      </w:r>
    </w:p>
    <w:p w:rsidR="009057E7" w:rsidRPr="00FE0423" w:rsidRDefault="009057E7" w:rsidP="009057E7">
      <w:pPr>
        <w:spacing w:after="0" w:line="240" w:lineRule="auto"/>
        <w:jc w:val="both"/>
        <w:rPr>
          <w:bCs/>
          <w:iCs/>
        </w:rPr>
      </w:pPr>
      <w:r w:rsidRPr="00FE0423">
        <w:rPr>
          <w:bCs/>
          <w:iCs/>
        </w:rPr>
        <w:t>Sociedades de Ahorro y Crédito</w:t>
      </w:r>
    </w:p>
    <w:p w:rsidR="00DA573A" w:rsidRPr="00FE0423" w:rsidRDefault="00DA573A" w:rsidP="002E4B96">
      <w:pPr>
        <w:spacing w:after="0" w:line="240" w:lineRule="auto"/>
        <w:jc w:val="both"/>
        <w:rPr>
          <w:bCs/>
          <w:iCs/>
        </w:rPr>
      </w:pPr>
    </w:p>
    <w:p w:rsidR="002E4B96" w:rsidRPr="00FE0423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FE0423">
        <w:rPr>
          <w:b/>
          <w:bCs/>
          <w:iCs/>
        </w:rPr>
        <w:t xml:space="preserve">Base legal: </w:t>
      </w:r>
    </w:p>
    <w:p w:rsidR="002E4B96" w:rsidRPr="00FE0423" w:rsidRDefault="002E4B96" w:rsidP="002E4B96">
      <w:pPr>
        <w:spacing w:after="0" w:line="240" w:lineRule="auto"/>
        <w:jc w:val="both"/>
        <w:rPr>
          <w:iCs/>
        </w:rPr>
      </w:pPr>
    </w:p>
    <w:p w:rsidR="00E22357" w:rsidRPr="00FE0423" w:rsidRDefault="00E22357" w:rsidP="00E22357">
      <w:pPr>
        <w:pStyle w:val="Prrafodelista"/>
        <w:numPr>
          <w:ilvl w:val="0"/>
          <w:numId w:val="36"/>
        </w:numPr>
        <w:spacing w:after="0" w:line="240" w:lineRule="auto"/>
        <w:rPr>
          <w:rFonts w:eastAsia="Times New Roman" w:cs="Calibri"/>
          <w:lang w:val="es-SV" w:eastAsia="es-SV"/>
        </w:rPr>
      </w:pPr>
      <w:r w:rsidRPr="00FE0423">
        <w:rPr>
          <w:rFonts w:eastAsia="Times New Roman" w:cs="Calibri"/>
          <w:lang w:val="es-SV" w:eastAsia="es-SV"/>
        </w:rPr>
        <w:t>Ley de Bancos: artículo 20.</w:t>
      </w:r>
    </w:p>
    <w:p w:rsidR="00E22357" w:rsidRPr="00FE0423" w:rsidRDefault="00E22357" w:rsidP="00E22357">
      <w:pPr>
        <w:pStyle w:val="Prrafodelista"/>
        <w:numPr>
          <w:ilvl w:val="0"/>
          <w:numId w:val="36"/>
        </w:numPr>
        <w:spacing w:after="0" w:line="240" w:lineRule="auto"/>
        <w:rPr>
          <w:rFonts w:eastAsia="Times New Roman" w:cs="Calibri"/>
          <w:lang w:val="es-SV" w:eastAsia="es-SV"/>
        </w:rPr>
      </w:pPr>
      <w:r w:rsidRPr="00FE0423">
        <w:rPr>
          <w:rFonts w:eastAsia="Times New Roman" w:cs="Calibri"/>
          <w:lang w:val="es-SV" w:eastAsia="es-SV"/>
        </w:rPr>
        <w:t>Ley de Bancos Cooperativos y Sociedades de Ahorro y Crédito: artículos 155, 157 y 158.</w:t>
      </w:r>
    </w:p>
    <w:p w:rsidR="00E22357" w:rsidRPr="00FE0423" w:rsidRDefault="00E22357" w:rsidP="00E22357">
      <w:pPr>
        <w:pStyle w:val="Prrafodelista"/>
        <w:numPr>
          <w:ilvl w:val="0"/>
          <w:numId w:val="36"/>
        </w:numPr>
        <w:spacing w:after="0" w:line="240" w:lineRule="auto"/>
        <w:rPr>
          <w:rFonts w:eastAsia="Times New Roman" w:cs="Calibri"/>
          <w:lang w:val="es-SV" w:eastAsia="es-SV"/>
        </w:rPr>
      </w:pPr>
      <w:r w:rsidRPr="00FE0423">
        <w:rPr>
          <w:rFonts w:eastAsia="Times New Roman" w:cs="Calibri"/>
          <w:lang w:val="es-SV" w:eastAsia="es-SV"/>
        </w:rPr>
        <w:t>Normas para Constituir y Operar Sociedades de Ahorro y Crédito y para Convertir Entidades en Marcha en Sociedades de Ahorro y Crédito (NPNB1-03).</w:t>
      </w:r>
    </w:p>
    <w:p w:rsidR="00E22357" w:rsidRPr="00FE0423" w:rsidRDefault="00E22357" w:rsidP="00E22357">
      <w:pPr>
        <w:pStyle w:val="Prrafodelista"/>
        <w:spacing w:after="0" w:line="240" w:lineRule="auto"/>
        <w:rPr>
          <w:rFonts w:eastAsia="Times New Roman" w:cs="Calibri"/>
          <w:lang w:val="es-SV" w:eastAsia="es-SV"/>
        </w:rPr>
      </w:pPr>
    </w:p>
    <w:p w:rsidR="002E4B96" w:rsidRPr="00FE0423" w:rsidRDefault="002E4B96" w:rsidP="002E4B96">
      <w:pPr>
        <w:spacing w:after="0" w:line="240" w:lineRule="auto"/>
        <w:jc w:val="both"/>
        <w:rPr>
          <w:iCs/>
          <w:u w:val="single"/>
        </w:rPr>
      </w:pPr>
      <w:r w:rsidRPr="00FE0423">
        <w:rPr>
          <w:b/>
          <w:bCs/>
          <w:iCs/>
          <w:u w:val="single"/>
        </w:rPr>
        <w:t>Requisitos a presentar:</w:t>
      </w:r>
    </w:p>
    <w:p w:rsidR="002E4B96" w:rsidRPr="00FE0423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2E4B96" w:rsidRPr="00FE0423" w:rsidRDefault="00E22357" w:rsidP="00E22357">
      <w:pPr>
        <w:spacing w:after="0" w:line="240" w:lineRule="auto"/>
        <w:jc w:val="both"/>
        <w:rPr>
          <w:b/>
          <w:bCs/>
          <w:iCs/>
        </w:rPr>
      </w:pPr>
      <w:r w:rsidRPr="00FE0423">
        <w:rPr>
          <w:b/>
          <w:bCs/>
          <w:iCs/>
        </w:rPr>
        <w:t>I</w:t>
      </w:r>
      <w:r w:rsidRPr="00FE0423">
        <w:rPr>
          <w:b/>
          <w:bCs/>
          <w:iCs/>
        </w:rPr>
        <w:tab/>
        <w:t>PARA AUTORIZAR EL INICIO DE OPERACIONES:</w:t>
      </w:r>
    </w:p>
    <w:p w:rsidR="00E22357" w:rsidRPr="00FE0423" w:rsidRDefault="00E22357" w:rsidP="00E22357">
      <w:pPr>
        <w:spacing w:after="0" w:line="240" w:lineRule="auto"/>
        <w:jc w:val="both"/>
        <w:rPr>
          <w:b/>
          <w:bCs/>
          <w:iCs/>
        </w:rPr>
      </w:pPr>
    </w:p>
    <w:p w:rsidR="00DF2CAB" w:rsidRPr="00FE0423" w:rsidRDefault="00DF2CAB" w:rsidP="00DF2CAB">
      <w:pPr>
        <w:pStyle w:val="Prrafodelista"/>
        <w:numPr>
          <w:ilvl w:val="0"/>
          <w:numId w:val="37"/>
        </w:numPr>
        <w:tabs>
          <w:tab w:val="left" w:pos="6665"/>
        </w:tabs>
        <w:spacing w:after="0" w:line="240" w:lineRule="auto"/>
        <w:ind w:right="-285"/>
        <w:jc w:val="both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>suscrita por  el Presidente de la Sociedad de Ahorro y Crédito,  dentro de un plazo de 180 días contados a partir de la fecha de comunicación del acuerdo de autorización para la constitución de Sociedad de Ahorro y Crédito;</w:t>
      </w:r>
      <w:r w:rsidRPr="00FE0423">
        <w:rPr>
          <w:rFonts w:eastAsia="Times New Roman" w:cs="Calibri"/>
          <w:color w:val="000000"/>
          <w:lang w:eastAsia="es-SV"/>
        </w:rPr>
        <w:tab/>
        <w:t> </w:t>
      </w:r>
    </w:p>
    <w:p w:rsidR="00DF2CAB" w:rsidRPr="00FE0423" w:rsidRDefault="00DF2CAB" w:rsidP="00DF2CAB">
      <w:pPr>
        <w:pStyle w:val="Prrafodelista"/>
        <w:tabs>
          <w:tab w:val="left" w:pos="6665"/>
        </w:tabs>
        <w:spacing w:after="0" w:line="240" w:lineRule="auto"/>
        <w:ind w:left="425" w:right="-285"/>
        <w:jc w:val="both"/>
        <w:rPr>
          <w:rFonts w:eastAsia="Times New Roman" w:cs="Calibri"/>
          <w:color w:val="000000"/>
          <w:lang w:eastAsia="es-SV"/>
        </w:rPr>
      </w:pPr>
    </w:p>
    <w:p w:rsidR="00DF2CAB" w:rsidRPr="00FE0423" w:rsidRDefault="00DF2CAB" w:rsidP="00DF2CAB">
      <w:pPr>
        <w:pStyle w:val="Prrafodelista"/>
        <w:numPr>
          <w:ilvl w:val="0"/>
          <w:numId w:val="37"/>
        </w:numPr>
        <w:tabs>
          <w:tab w:val="left" w:pos="6665"/>
        </w:tabs>
        <w:spacing w:after="0" w:line="240" w:lineRule="auto"/>
        <w:ind w:right="-285"/>
        <w:jc w:val="both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>La solicitud debe relacionar cuando fue autorizada la constitución por esta Superintendencia, así como información sobre la inscripción de la escritura de constitución de la sociedad en el Registro de Comercio;</w:t>
      </w:r>
    </w:p>
    <w:p w:rsidR="00DF2CAB" w:rsidRPr="00FE0423" w:rsidRDefault="00DF2CAB" w:rsidP="00DF2CAB">
      <w:pPr>
        <w:pStyle w:val="Prrafodelista"/>
        <w:tabs>
          <w:tab w:val="left" w:pos="6665"/>
        </w:tabs>
        <w:spacing w:after="0" w:line="240" w:lineRule="auto"/>
        <w:ind w:left="425" w:right="-285"/>
        <w:jc w:val="both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  <w:t> </w:t>
      </w:r>
    </w:p>
    <w:p w:rsidR="00DF2CAB" w:rsidRPr="00FE0423" w:rsidRDefault="00DF2CAB" w:rsidP="00DF2CAB">
      <w:pPr>
        <w:pStyle w:val="Prrafodelista"/>
        <w:numPr>
          <w:ilvl w:val="0"/>
          <w:numId w:val="37"/>
        </w:numPr>
        <w:spacing w:after="0" w:line="240" w:lineRule="auto"/>
        <w:ind w:right="-285"/>
        <w:jc w:val="both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Adjuntar la información siguiente: </w:t>
      </w:r>
    </w:p>
    <w:p w:rsidR="00DF2CAB" w:rsidRPr="00FE0423" w:rsidRDefault="00DF2CAB" w:rsidP="00DF2CAB">
      <w:pPr>
        <w:pStyle w:val="Prrafodelista"/>
        <w:rPr>
          <w:rFonts w:eastAsia="Times New Roman" w:cs="Calibri"/>
          <w:color w:val="000000"/>
          <w:lang w:eastAsia="es-SV"/>
        </w:rPr>
      </w:pPr>
    </w:p>
    <w:p w:rsidR="00DF2CAB" w:rsidRPr="00FE0423" w:rsidRDefault="00DF2CAB" w:rsidP="00DF2CAB">
      <w:pPr>
        <w:pStyle w:val="Prrafodelista"/>
        <w:numPr>
          <w:ilvl w:val="1"/>
          <w:numId w:val="37"/>
        </w:numPr>
        <w:ind w:hanging="141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Las políticas, procedimientos operativos y manuales de funciones y de puestos,  </w:t>
      </w:r>
    </w:p>
    <w:p w:rsidR="00DF2CAB" w:rsidRPr="00FE0423" w:rsidRDefault="00DF2CAB" w:rsidP="00DF2CAB">
      <w:pPr>
        <w:pStyle w:val="Prrafodelista"/>
        <w:tabs>
          <w:tab w:val="left" w:pos="709"/>
        </w:tabs>
        <w:ind w:left="42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</w:t>
      </w:r>
      <w:proofErr w:type="gramStart"/>
      <w:r w:rsidRPr="00FE0423">
        <w:rPr>
          <w:rFonts w:eastAsia="Times New Roman" w:cs="Calibri"/>
          <w:color w:val="000000"/>
          <w:lang w:eastAsia="es-SV"/>
        </w:rPr>
        <w:t>debidamente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autorizados, relacionados con: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>a.</w:t>
      </w:r>
      <w:r w:rsidRPr="00FE0423">
        <w:rPr>
          <w:rFonts w:eastAsia="Times New Roman" w:cs="Calibri"/>
          <w:color w:val="000000"/>
          <w:lang w:eastAsia="es-SV"/>
        </w:rPr>
        <w:tab/>
        <w:t xml:space="preserve">Gestión integral de riesgos que incluya gobierno corporativo (incluye manuales de  </w:t>
      </w:r>
    </w:p>
    <w:p w:rsidR="00DF2CAB" w:rsidRPr="00FE0423" w:rsidRDefault="00DF2CAB" w:rsidP="00DF2CAB">
      <w:pPr>
        <w:pStyle w:val="Prrafodelista"/>
        <w:ind w:left="42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gestión</w:t>
      </w:r>
      <w:proofErr w:type="gramEnd"/>
      <w:r w:rsidRPr="00FE0423">
        <w:rPr>
          <w:rFonts w:eastAsia="Times New Roman" w:cs="Calibri"/>
          <w:color w:val="000000"/>
          <w:lang w:eastAsia="es-SV"/>
        </w:rPr>
        <w:t>);</w:t>
      </w:r>
    </w:p>
    <w:p w:rsidR="00DF2CAB" w:rsidRPr="00FE0423" w:rsidRDefault="00DF2CAB" w:rsidP="00DF2CAB">
      <w:pPr>
        <w:pStyle w:val="Prrafodelista"/>
        <w:ind w:left="425" w:firstLine="283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br/>
        <w:t xml:space="preserve">b. </w:t>
      </w:r>
      <w:r w:rsidRPr="00FE0423">
        <w:rPr>
          <w:rFonts w:eastAsia="Times New Roman" w:cs="Calibri"/>
          <w:color w:val="000000"/>
          <w:lang w:eastAsia="es-SV"/>
        </w:rPr>
        <w:tab/>
        <w:t xml:space="preserve">Prevención de Lavado de Dinero y Financiamiento al Terrorismo que incluya el Sistema </w:t>
      </w:r>
    </w:p>
    <w:p w:rsidR="00DF2CAB" w:rsidRPr="00FE0423" w:rsidRDefault="00DF2CAB" w:rsidP="00DF2CAB">
      <w:pPr>
        <w:pStyle w:val="Prrafodelista"/>
        <w:ind w:left="42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de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Monitoreo y alertas </w:t>
      </w:r>
      <w:proofErr w:type="spellStart"/>
      <w:r w:rsidRPr="00FE0423">
        <w:rPr>
          <w:rFonts w:eastAsia="Times New Roman" w:cs="Calibri"/>
          <w:color w:val="000000"/>
          <w:lang w:eastAsia="es-SV"/>
        </w:rPr>
        <w:t>parametrizadas</w:t>
      </w:r>
      <w:proofErr w:type="spellEnd"/>
      <w:r w:rsidRPr="00FE0423">
        <w:rPr>
          <w:rFonts w:eastAsia="Times New Roman" w:cs="Calibri"/>
          <w:color w:val="000000"/>
          <w:lang w:eastAsia="es-SV"/>
        </w:rPr>
        <w:t>;</w:t>
      </w:r>
      <w:r w:rsidRPr="00FE0423">
        <w:rPr>
          <w:rFonts w:eastAsia="Times New Roman" w:cs="Calibri"/>
          <w:color w:val="000000"/>
          <w:lang w:eastAsia="es-SV"/>
        </w:rPr>
        <w:br/>
        <w:t xml:space="preserve">c. </w:t>
      </w:r>
      <w:r w:rsidRPr="00FE0423">
        <w:rPr>
          <w:rFonts w:eastAsia="Times New Roman" w:cs="Calibri"/>
          <w:color w:val="000000"/>
          <w:lang w:eastAsia="es-SV"/>
        </w:rPr>
        <w:tab/>
        <w:t>Área de negocios;</w:t>
      </w:r>
      <w:r w:rsidRPr="00FE0423">
        <w:rPr>
          <w:rFonts w:eastAsia="Times New Roman" w:cs="Calibri"/>
          <w:color w:val="000000"/>
          <w:lang w:eastAsia="es-SV"/>
        </w:rPr>
        <w:br/>
        <w:t xml:space="preserve">d. </w:t>
      </w:r>
      <w:r w:rsidRPr="00FE0423">
        <w:rPr>
          <w:rFonts w:eastAsia="Times New Roman" w:cs="Calibri"/>
          <w:color w:val="000000"/>
          <w:lang w:eastAsia="es-SV"/>
        </w:rPr>
        <w:tab/>
        <w:t>Auditoría interna; y</w:t>
      </w:r>
      <w:r w:rsidRPr="00FE0423">
        <w:rPr>
          <w:rFonts w:eastAsia="Times New Roman" w:cs="Calibri"/>
          <w:color w:val="000000"/>
          <w:lang w:eastAsia="es-SV"/>
        </w:rPr>
        <w:br/>
        <w:t xml:space="preserve">e. </w:t>
      </w:r>
      <w:r w:rsidRPr="00FE0423">
        <w:rPr>
          <w:rFonts w:eastAsia="Times New Roman" w:cs="Calibri"/>
          <w:color w:val="000000"/>
          <w:lang w:eastAsia="es-SV"/>
        </w:rPr>
        <w:tab/>
        <w:t>Tecnología de información.</w:t>
      </w:r>
    </w:p>
    <w:p w:rsidR="00DF2CAB" w:rsidRPr="00FE0423" w:rsidRDefault="00DF2CAB" w:rsidP="00DF2CAB">
      <w:pPr>
        <w:pStyle w:val="Prrafodelista"/>
        <w:ind w:left="425" w:firstLine="283"/>
        <w:rPr>
          <w:rFonts w:eastAsia="Times New Roman" w:cs="Calibri"/>
          <w:color w:val="000000"/>
          <w:lang w:eastAsia="es-SV"/>
        </w:rPr>
      </w:pPr>
    </w:p>
    <w:p w:rsidR="00A526F8" w:rsidRPr="00FE0423" w:rsidRDefault="00DF2CAB" w:rsidP="00A526F8">
      <w:pPr>
        <w:pStyle w:val="Prrafodelista"/>
        <w:numPr>
          <w:ilvl w:val="1"/>
          <w:numId w:val="37"/>
        </w:numPr>
        <w:spacing w:after="0" w:line="240" w:lineRule="auto"/>
        <w:ind w:right="-285" w:hanging="141"/>
        <w:jc w:val="both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En los manuales de funciones y procedimientos operativos, es obligatorio incluir los ciclos </w:t>
      </w:r>
    </w:p>
    <w:p w:rsidR="00A526F8" w:rsidRPr="00FE0423" w:rsidRDefault="00A526F8" w:rsidP="00A526F8">
      <w:pPr>
        <w:pStyle w:val="Prrafodelista"/>
        <w:spacing w:after="0" w:line="240" w:lineRule="auto"/>
        <w:ind w:left="425" w:right="-285"/>
        <w:jc w:val="both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lastRenderedPageBreak/>
        <w:t xml:space="preserve">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de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depósitos, préstamos, cobranzas, compra venta de moneda extranjera, inversiones, </w:t>
      </w:r>
    </w:p>
    <w:p w:rsidR="00DF2CAB" w:rsidRPr="00FE0423" w:rsidRDefault="00A526F8" w:rsidP="00A526F8">
      <w:pPr>
        <w:pStyle w:val="Prrafodelista"/>
        <w:spacing w:after="0" w:line="240" w:lineRule="auto"/>
        <w:ind w:left="425" w:right="-285"/>
        <w:jc w:val="both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avales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y fianzas y cartas de crédito (cuando aplique);</w:t>
      </w:r>
    </w:p>
    <w:p w:rsidR="00A526F8" w:rsidRPr="00FE0423" w:rsidRDefault="00DF2CAB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br/>
        <w:t xml:space="preserve">3.3 </w:t>
      </w:r>
      <w:r w:rsidR="00A526F8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Organigrama de la sociedad;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3.4 </w:t>
      </w:r>
      <w:r w:rsidR="00A526F8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Nombramiento del Oficial de Cumplimiento aprobado por junta Directiva;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3.5 </w:t>
      </w:r>
      <w:r w:rsidR="00A526F8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Programa de capacitaciones en materia de LA/FT;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3.6 </w:t>
      </w:r>
      <w:r w:rsidR="00A526F8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 xml:space="preserve">Responsables de la Unidad de Riesgos y de Auditoría Interna, incorporados </w:t>
      </w:r>
    </w:p>
    <w:p w:rsidR="00A526F8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previamente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al inicio de operaciones;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3.7 </w:t>
      </w:r>
      <w:r w:rsidRPr="00FE0423">
        <w:rPr>
          <w:rFonts w:eastAsia="Times New Roman" w:cs="Calibri"/>
          <w:color w:val="000000"/>
          <w:lang w:eastAsia="es-SV"/>
        </w:rPr>
        <w:t xml:space="preserve"> </w:t>
      </w:r>
      <w:r w:rsidR="00DF2CAB" w:rsidRPr="00FE0423">
        <w:rPr>
          <w:rFonts w:eastAsia="Times New Roman" w:cs="Calibri"/>
          <w:color w:val="000000"/>
          <w:lang w:eastAsia="es-SV"/>
        </w:rPr>
        <w:t xml:space="preserve">Detalle de productos y servicios ofrecidos al público, adjuntando los modelos de </w:t>
      </w:r>
    </w:p>
    <w:p w:rsidR="00A526F8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contratos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relacionados para su depósito, que deberán remitirse en forma física y </w:t>
      </w:r>
    </w:p>
    <w:p w:rsidR="00A526F8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electrónica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>, solicitando expresamente su depósito;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3.8 </w:t>
      </w:r>
      <w:r w:rsidRPr="00FE0423">
        <w:rPr>
          <w:rFonts w:eastAsia="Times New Roman" w:cs="Calibri"/>
          <w:color w:val="000000"/>
          <w:lang w:eastAsia="es-SV"/>
        </w:rPr>
        <w:t xml:space="preserve">  </w:t>
      </w:r>
      <w:r w:rsidR="00DF2CAB" w:rsidRPr="00FE0423">
        <w:rPr>
          <w:rFonts w:eastAsia="Times New Roman" w:cs="Calibri"/>
          <w:color w:val="000000"/>
          <w:lang w:eastAsia="es-SV"/>
        </w:rPr>
        <w:t xml:space="preserve">La descripción del mobiliario y equipo a utilizar; 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3.9 </w:t>
      </w:r>
      <w:r w:rsidRPr="00FE0423">
        <w:rPr>
          <w:rFonts w:eastAsia="Times New Roman" w:cs="Calibri"/>
          <w:color w:val="000000"/>
          <w:lang w:eastAsia="es-SV"/>
        </w:rPr>
        <w:t xml:space="preserve">  </w:t>
      </w:r>
      <w:r w:rsidR="00DF2CAB" w:rsidRPr="00FE0423">
        <w:rPr>
          <w:rFonts w:eastAsia="Times New Roman" w:cs="Calibri"/>
          <w:color w:val="000000"/>
          <w:lang w:eastAsia="es-SV"/>
        </w:rPr>
        <w:t>La descripción de los sistemas de vigilancia y de los seguros a contratar;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3.10 Normas de regulación de depósitos a la vista, depósitos a plazo y depósitos en cuentas </w:t>
      </w:r>
    </w:p>
    <w:p w:rsidR="00A526F8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de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ahorro, en cuanto a características, modalidades y condiciones en que podrán </w:t>
      </w:r>
    </w:p>
    <w:p w:rsidR="00A526F8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constituirse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>, aprobadas por el BCR;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3.11 Debe dar cumplimiento a las medidas de seguridad de las agencias según lo </w:t>
      </w:r>
    </w:p>
    <w:p w:rsidR="00A526F8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  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establecido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en las Normas para la Apertura, Cierre y Funcionamiento de las Agencias </w:t>
      </w:r>
    </w:p>
    <w:p w:rsidR="003847C2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   </w:t>
      </w:r>
      <w:r w:rsidR="00DF2CAB" w:rsidRPr="00FE0423">
        <w:rPr>
          <w:rFonts w:eastAsia="Times New Roman" w:cs="Calibri"/>
          <w:color w:val="000000"/>
          <w:lang w:eastAsia="es-SV"/>
        </w:rPr>
        <w:t>(NPB1-14);</w:t>
      </w:r>
    </w:p>
    <w:p w:rsidR="003847C2" w:rsidRPr="00FE0423" w:rsidRDefault="003847C2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</w:p>
    <w:bookmarkStart w:id="0" w:name="_MON_1590497450"/>
    <w:bookmarkEnd w:id="0"/>
    <w:p w:rsidR="00A526F8" w:rsidRPr="00FE0423" w:rsidRDefault="000B05BF" w:rsidP="003847C2">
      <w:pPr>
        <w:pStyle w:val="Prrafodelista"/>
        <w:tabs>
          <w:tab w:val="left" w:pos="284"/>
          <w:tab w:val="left" w:pos="709"/>
          <w:tab w:val="left" w:pos="6665"/>
        </w:tabs>
        <w:spacing w:after="0" w:line="240" w:lineRule="auto"/>
        <w:ind w:left="142"/>
        <w:jc w:val="center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pt" o:ole="">
            <v:imagedata r:id="rId8" o:title=""/>
          </v:shape>
          <o:OLEObject Type="Embed" ProgID="Word.Document.12" ShapeID="_x0000_i1025" DrawAspect="Icon" ObjectID="_1591014694" r:id="rId9">
            <o:FieldCodes>\s</o:FieldCodes>
          </o:OLEObject>
        </w:object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 </w:t>
      </w:r>
      <w:r w:rsidR="00DF2CAB" w:rsidRPr="00FE0423">
        <w:rPr>
          <w:rFonts w:eastAsia="Times New Roman" w:cs="Calibri"/>
          <w:color w:val="000000"/>
          <w:lang w:eastAsia="es-SV"/>
        </w:rPr>
        <w:br/>
        <w:t>3.12 El Sistema Contable debe ser autorizado previamente, para lo cual deberán remitir la</w:t>
      </w:r>
    </w:p>
    <w:p w:rsidR="00A526F8" w:rsidRPr="00FE0423" w:rsidRDefault="00A526F8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426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</w:t>
      </w:r>
      <w:r w:rsidR="003847C2" w:rsidRPr="00FE0423">
        <w:rPr>
          <w:rFonts w:eastAsia="Times New Roman" w:cs="Calibri"/>
          <w:color w:val="000000"/>
          <w:lang w:eastAsia="es-SV"/>
        </w:rPr>
        <w:t xml:space="preserve">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información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siguiente: (se autoriza dentro del proceso de inicio de operaciones)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a.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>Datos generales:</w:t>
      </w:r>
    </w:p>
    <w:p w:rsidR="00A526F8" w:rsidRPr="00FE0423" w:rsidRDefault="00DF2CAB" w:rsidP="00A526F8">
      <w:pPr>
        <w:pStyle w:val="Prrafodelista"/>
        <w:tabs>
          <w:tab w:val="left" w:pos="709"/>
          <w:tab w:val="left" w:pos="6665"/>
        </w:tabs>
        <w:spacing w:after="0" w:line="240" w:lineRule="auto"/>
        <w:ind w:left="426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i. </w:t>
      </w:r>
      <w:r w:rsidR="00A526F8" w:rsidRPr="00FE0423">
        <w:rPr>
          <w:rFonts w:eastAsia="Times New Roman" w:cs="Calibri"/>
          <w:color w:val="000000"/>
          <w:lang w:eastAsia="es-SV"/>
        </w:rPr>
        <w:t xml:space="preserve">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Número de Identificación Tributaria (NIT); </w:t>
      </w:r>
      <w:r w:rsidRPr="00FE0423">
        <w:rPr>
          <w:rFonts w:eastAsia="Times New Roman" w:cs="Calibri"/>
          <w:color w:val="000000"/>
          <w:lang w:eastAsia="es-SV"/>
        </w:rPr>
        <w:br/>
      </w:r>
      <w:proofErr w:type="spellStart"/>
      <w:r w:rsidRPr="00FE0423">
        <w:rPr>
          <w:rFonts w:eastAsia="Times New Roman" w:cs="Calibri"/>
          <w:color w:val="000000"/>
          <w:lang w:eastAsia="es-SV"/>
        </w:rPr>
        <w:t>ii</w:t>
      </w:r>
      <w:proofErr w:type="spellEnd"/>
      <w:r w:rsidRPr="00FE0423">
        <w:rPr>
          <w:rFonts w:eastAsia="Times New Roman" w:cs="Calibri"/>
          <w:color w:val="000000"/>
          <w:lang w:eastAsia="es-SV"/>
        </w:rPr>
        <w:t xml:space="preserve">.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Dirección exacta de la oficina donde se llevará la contabilidad; </w:t>
      </w:r>
      <w:r w:rsidRPr="00FE0423">
        <w:rPr>
          <w:rFonts w:eastAsia="Times New Roman" w:cs="Calibri"/>
          <w:color w:val="000000"/>
          <w:lang w:eastAsia="es-SV"/>
        </w:rPr>
        <w:br/>
      </w:r>
      <w:proofErr w:type="spellStart"/>
      <w:r w:rsidRPr="00FE0423">
        <w:rPr>
          <w:rFonts w:eastAsia="Times New Roman" w:cs="Calibri"/>
          <w:color w:val="000000"/>
          <w:lang w:eastAsia="es-SV"/>
        </w:rPr>
        <w:t>iii</w:t>
      </w:r>
      <w:proofErr w:type="spellEnd"/>
      <w:r w:rsidRPr="00FE0423">
        <w:rPr>
          <w:rFonts w:eastAsia="Times New Roman" w:cs="Calibri"/>
          <w:color w:val="000000"/>
          <w:lang w:eastAsia="es-SV"/>
        </w:rPr>
        <w:t xml:space="preserve">.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Número de teléfono y nombre del Contador con título reconocido; y</w:t>
      </w:r>
      <w:r w:rsidRPr="00FE0423">
        <w:rPr>
          <w:rFonts w:eastAsia="Times New Roman" w:cs="Calibri"/>
          <w:color w:val="000000"/>
          <w:lang w:eastAsia="es-SV"/>
        </w:rPr>
        <w:br/>
      </w:r>
      <w:proofErr w:type="spellStart"/>
      <w:r w:rsidRPr="00FE0423">
        <w:rPr>
          <w:rFonts w:eastAsia="Times New Roman" w:cs="Calibri"/>
          <w:color w:val="000000"/>
          <w:lang w:eastAsia="es-SV"/>
        </w:rPr>
        <w:t>iv</w:t>
      </w:r>
      <w:proofErr w:type="spellEnd"/>
      <w:r w:rsidRPr="00FE0423">
        <w:rPr>
          <w:rFonts w:eastAsia="Times New Roman" w:cs="Calibri"/>
          <w:color w:val="000000"/>
          <w:lang w:eastAsia="es-SV"/>
        </w:rPr>
        <w:t xml:space="preserve">.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Dirección de la empresa.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b.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Datos del Registro Contable: </w:t>
      </w:r>
    </w:p>
    <w:p w:rsidR="00A526F8" w:rsidRPr="00FE0423" w:rsidRDefault="00DF2CAB" w:rsidP="00A526F8">
      <w:pPr>
        <w:pStyle w:val="Prrafodelista"/>
        <w:numPr>
          <w:ilvl w:val="0"/>
          <w:numId w:val="38"/>
        </w:numPr>
        <w:tabs>
          <w:tab w:val="left" w:pos="709"/>
          <w:tab w:val="left" w:pos="6665"/>
        </w:tabs>
        <w:spacing w:after="0" w:line="240" w:lineRule="auto"/>
        <w:ind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Lista de Libros Principales y Auxiliares, adjuntando una muestra de una página de cada </w:t>
      </w:r>
    </w:p>
    <w:p w:rsidR="00A526F8" w:rsidRPr="00FE0423" w:rsidRDefault="00A526F8" w:rsidP="00A526F8">
      <w:pPr>
        <w:tabs>
          <w:tab w:val="left" w:pos="709"/>
          <w:tab w:val="left" w:pos="6665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  U</w:t>
      </w:r>
      <w:r w:rsidR="00DF2CAB" w:rsidRPr="00FE0423">
        <w:rPr>
          <w:rFonts w:eastAsia="Times New Roman" w:cs="Calibri"/>
          <w:color w:val="000000"/>
          <w:lang w:eastAsia="es-SV"/>
        </w:rPr>
        <w:t>no</w:t>
      </w:r>
      <w:r w:rsidRPr="00FE0423">
        <w:rPr>
          <w:rFonts w:eastAsia="Times New Roman" w:cs="Calibri"/>
          <w:color w:val="000000"/>
          <w:lang w:eastAsia="es-SV"/>
        </w:rPr>
        <w:t xml:space="preserve"> </w:t>
      </w:r>
      <w:r w:rsidR="00DF2CAB" w:rsidRPr="00FE0423">
        <w:rPr>
          <w:rFonts w:eastAsia="Times New Roman" w:cs="Calibri"/>
          <w:color w:val="000000"/>
          <w:lang w:eastAsia="es-SV"/>
        </w:rPr>
        <w:t>de ellos; y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proofErr w:type="spellStart"/>
      <w:r w:rsidR="00DF2CAB" w:rsidRPr="00FE0423">
        <w:rPr>
          <w:rFonts w:eastAsia="Times New Roman" w:cs="Calibri"/>
          <w:color w:val="000000"/>
          <w:lang w:eastAsia="es-SV"/>
        </w:rPr>
        <w:t>ii</w:t>
      </w:r>
      <w:proofErr w:type="spellEnd"/>
      <w:r w:rsidR="00DF2CAB" w:rsidRPr="00FE0423">
        <w:rPr>
          <w:rFonts w:eastAsia="Times New Roman" w:cs="Calibri"/>
          <w:color w:val="000000"/>
          <w:lang w:eastAsia="es-SV"/>
        </w:rPr>
        <w:t xml:space="preserve">.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 xml:space="preserve">Descripción de la forma en que se registrarán las transacciones en cada uno de esos </w:t>
      </w:r>
    </w:p>
    <w:p w:rsidR="00A526F8" w:rsidRPr="00FE0423" w:rsidRDefault="00A526F8" w:rsidP="00A526F8">
      <w:pPr>
        <w:tabs>
          <w:tab w:val="left" w:pos="709"/>
          <w:tab w:val="left" w:pos="6665"/>
        </w:tabs>
        <w:spacing w:after="0" w:line="240" w:lineRule="auto"/>
        <w:ind w:left="284" w:right="-285" w:firstLine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libros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>.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3.13 Comprobantes fundamentales, Ingresos, Egresos, Diario y demás necesarios: </w:t>
      </w:r>
      <w:r w:rsidR="00DF2CAB" w:rsidRPr="00FE0423">
        <w:rPr>
          <w:rFonts w:eastAsia="Times New Roman" w:cs="Calibri"/>
          <w:color w:val="000000"/>
          <w:lang w:eastAsia="es-SV"/>
        </w:rPr>
        <w:br/>
      </w:r>
    </w:p>
    <w:p w:rsidR="00A526F8" w:rsidRPr="00FE0423" w:rsidRDefault="00DF2CAB" w:rsidP="00AF4709">
      <w:pPr>
        <w:tabs>
          <w:tab w:val="left" w:pos="709"/>
          <w:tab w:val="left" w:pos="6665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lastRenderedPageBreak/>
        <w:t xml:space="preserve">a.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Muestra de formularios contables (Ingresos, Egresos, Diario, etc.);</w:t>
      </w:r>
      <w:r w:rsidRPr="00FE0423">
        <w:rPr>
          <w:rFonts w:eastAsia="Times New Roman" w:cs="Calibri"/>
          <w:color w:val="000000"/>
          <w:lang w:eastAsia="es-SV"/>
        </w:rPr>
        <w:br/>
        <w:t xml:space="preserve">b.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Detalle de los documentos justificativos de cada comprobante;</w:t>
      </w:r>
      <w:r w:rsidRPr="00FE0423">
        <w:rPr>
          <w:rFonts w:eastAsia="Times New Roman" w:cs="Calibri"/>
          <w:color w:val="000000"/>
          <w:lang w:eastAsia="es-SV"/>
        </w:rPr>
        <w:br/>
        <w:t xml:space="preserve">c. </w:t>
      </w:r>
      <w:r w:rsidR="00A526F8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Indicación de quién será el funcionario encargado de autorizar los comprobantes de </w:t>
      </w:r>
    </w:p>
    <w:p w:rsidR="003847C2" w:rsidRPr="00FE0423" w:rsidRDefault="003847C2" w:rsidP="00AF4709">
      <w:pPr>
        <w:tabs>
          <w:tab w:val="left" w:pos="709"/>
          <w:tab w:val="left" w:pos="6665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</w:p>
    <w:p w:rsidR="00A526F8" w:rsidRPr="00FE0423" w:rsidRDefault="00A526F8" w:rsidP="00A526F8">
      <w:pPr>
        <w:tabs>
          <w:tab w:val="left" w:pos="709"/>
          <w:tab w:val="left" w:pos="6665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>Ingresos, Egresos y Diario, para su respectivo asiento en los registros;</w:t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d.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 xml:space="preserve">Indicación de si se harán comprobantes por cada operación o grupo de operaciones y en </w:t>
      </w:r>
    </w:p>
    <w:p w:rsidR="00A526F8" w:rsidRPr="00FE0423" w:rsidRDefault="00A526F8" w:rsidP="00A526F8">
      <w:pPr>
        <w:tabs>
          <w:tab w:val="left" w:pos="709"/>
          <w:tab w:val="left" w:pos="6665"/>
        </w:tabs>
        <w:spacing w:after="0" w:line="240" w:lineRule="auto"/>
        <w:ind w:left="284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   </w:t>
      </w: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que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período.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3.14 Modelos de estados financieros básicos a utilizar según el período de presentación </w:t>
      </w:r>
    </w:p>
    <w:p w:rsidR="00AF4709" w:rsidRPr="00FE0423" w:rsidRDefault="00A526F8" w:rsidP="00AF4709">
      <w:pPr>
        <w:tabs>
          <w:tab w:val="left" w:pos="709"/>
          <w:tab w:val="left" w:pos="6665"/>
        </w:tabs>
        <w:spacing w:after="0" w:line="240" w:lineRule="auto"/>
        <w:ind w:left="284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>(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diarios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>, semanales, mensuales, trimestrales y anuales);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>3.15 Matriz de cumplimiento regulatorio;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3.16 Requerimientos Informáticos: </w:t>
      </w:r>
    </w:p>
    <w:p w:rsidR="00AF4709" w:rsidRPr="00FE0423" w:rsidRDefault="00DF2CAB" w:rsidP="00AF4709">
      <w:pPr>
        <w:tabs>
          <w:tab w:val="left" w:pos="6665"/>
        </w:tabs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br/>
        <w:t xml:space="preserve">a.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Descripción general del sistema y de los principales procesos;</w:t>
      </w:r>
      <w:r w:rsidRPr="00FE0423">
        <w:rPr>
          <w:rFonts w:eastAsia="Times New Roman" w:cs="Calibri"/>
          <w:color w:val="000000"/>
          <w:lang w:eastAsia="es-SV"/>
        </w:rPr>
        <w:br/>
        <w:t xml:space="preserve">b.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Diseño Relacional de los Archivos (E-R);</w:t>
      </w:r>
      <w:r w:rsidRPr="00FE0423">
        <w:rPr>
          <w:rFonts w:eastAsia="Times New Roman" w:cs="Calibri"/>
          <w:color w:val="000000"/>
          <w:lang w:eastAsia="es-SV"/>
        </w:rPr>
        <w:br/>
        <w:t xml:space="preserve">c.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Descripción y Diseño detallado de los archivos y campos (Diccionario de datos);</w:t>
      </w:r>
      <w:r w:rsidRPr="00FE0423">
        <w:rPr>
          <w:rFonts w:eastAsia="Times New Roman" w:cs="Calibri"/>
          <w:color w:val="000000"/>
          <w:lang w:eastAsia="es-SV"/>
        </w:rPr>
        <w:br/>
        <w:t xml:space="preserve">d.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 xml:space="preserve">Manuales de Usuario para los sistemas, ejemplos: Número único de identificación de </w:t>
      </w:r>
    </w:p>
    <w:p w:rsidR="00AF4709" w:rsidRPr="00FE0423" w:rsidRDefault="00DF2CAB" w:rsidP="00AF4709">
      <w:pPr>
        <w:tabs>
          <w:tab w:val="left" w:pos="6665"/>
        </w:tabs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cliente</w:t>
      </w:r>
      <w:proofErr w:type="gramEnd"/>
      <w:r w:rsidRPr="00FE0423">
        <w:rPr>
          <w:rFonts w:eastAsia="Times New Roman" w:cs="Calibri"/>
          <w:color w:val="000000"/>
          <w:lang w:eastAsia="es-SV"/>
        </w:rPr>
        <w:t>, Contabilidad, Caja, Préstamos, Ahorros y Depósitos a plazo fijo</w:t>
      </w:r>
      <w:r w:rsidRPr="00FE0423">
        <w:rPr>
          <w:rFonts w:eastAsia="Times New Roman" w:cs="Calibri"/>
          <w:color w:val="000000"/>
          <w:lang w:eastAsia="es-SV"/>
        </w:rPr>
        <w:br/>
        <w:t xml:space="preserve">e.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Copia de los programas fuentes en disco compacto (CD);</w:t>
      </w:r>
      <w:r w:rsidRPr="00FE0423">
        <w:rPr>
          <w:rFonts w:eastAsia="Times New Roman" w:cs="Calibri"/>
          <w:color w:val="000000"/>
          <w:lang w:eastAsia="es-SV"/>
        </w:rPr>
        <w:br/>
        <w:t xml:space="preserve">f.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 </w:t>
      </w:r>
      <w:r w:rsidRPr="00FE0423">
        <w:rPr>
          <w:rFonts w:eastAsia="Times New Roman" w:cs="Calibri"/>
          <w:color w:val="000000"/>
          <w:lang w:eastAsia="es-SV"/>
        </w:rPr>
        <w:t xml:space="preserve">Listado del tipo de usuarios que tendrán acceso, especificando el nivel jerárquico del </w:t>
      </w:r>
    </w:p>
    <w:p w:rsidR="00AF4709" w:rsidRPr="00FE0423" w:rsidRDefault="00DF2CAB" w:rsidP="00AF4709">
      <w:pPr>
        <w:tabs>
          <w:tab w:val="left" w:pos="6665"/>
        </w:tabs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usuario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y el tipo de acceso que tendrán a cada una de las opciones del sistema; </w:t>
      </w:r>
    </w:p>
    <w:p w:rsidR="00AF4709" w:rsidRPr="00FE0423" w:rsidRDefault="00DF2CAB" w:rsidP="00AF4709">
      <w:pPr>
        <w:tabs>
          <w:tab w:val="left" w:pos="6665"/>
        </w:tabs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incluyendo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la frecuencia con que se genera y número de copias cómo se distribuye. Si los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</w:p>
    <w:p w:rsidR="00AF4709" w:rsidRPr="00FE0423" w:rsidRDefault="00DF2CAB" w:rsidP="00AF4709">
      <w:pPr>
        <w:tabs>
          <w:tab w:val="left" w:pos="6665"/>
        </w:tabs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sistemas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están den desarrollo, describir el procedimiento para probar y aprobar los </w:t>
      </w:r>
    </w:p>
    <w:p w:rsidR="00AF4709" w:rsidRPr="00FE0423" w:rsidRDefault="00DF2CAB" w:rsidP="00AF4709">
      <w:pPr>
        <w:tabs>
          <w:tab w:val="left" w:pos="6665"/>
        </w:tabs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programas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y las responsabilidades de estas actividades.</w:t>
      </w:r>
      <w:r w:rsidRPr="00FE0423">
        <w:rPr>
          <w:rFonts w:eastAsia="Times New Roman" w:cs="Calibri"/>
          <w:color w:val="000000"/>
          <w:lang w:eastAsia="es-SV"/>
        </w:rPr>
        <w:br/>
        <w:t xml:space="preserve">g.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 xml:space="preserve">Detalle de los reportes que genera el sistema, especificando por cada uno la frecuencia </w:t>
      </w:r>
    </w:p>
    <w:p w:rsidR="00AF4709" w:rsidRPr="00FE0423" w:rsidRDefault="00AF4709" w:rsidP="00AF4709">
      <w:pPr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con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que se genera, el número de copias y como se distribuyen;</w:t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h. </w:t>
      </w:r>
      <w:r w:rsidRPr="00FE0423">
        <w:rPr>
          <w:rFonts w:eastAsia="Times New Roman" w:cs="Calibri"/>
          <w:color w:val="000000"/>
          <w:lang w:eastAsia="es-SV"/>
        </w:rPr>
        <w:t xml:space="preserve"> </w:t>
      </w:r>
      <w:r w:rsidR="00DF2CAB" w:rsidRPr="00FE0423">
        <w:rPr>
          <w:rFonts w:eastAsia="Times New Roman" w:cs="Calibri"/>
          <w:color w:val="000000"/>
          <w:lang w:eastAsia="es-SV"/>
        </w:rPr>
        <w:t xml:space="preserve">Procedimiento para probar y aprobar los programas así como las responsabilidades de </w:t>
      </w:r>
    </w:p>
    <w:p w:rsidR="00AF4709" w:rsidRPr="00FE0423" w:rsidRDefault="00DF2CAB" w:rsidP="00AF4709">
      <w:pPr>
        <w:spacing w:after="0" w:line="240" w:lineRule="auto"/>
        <w:ind w:left="426" w:right="-285" w:firstLine="282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estas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actividades;</w:t>
      </w:r>
      <w:r w:rsidRPr="00FE0423">
        <w:rPr>
          <w:rFonts w:eastAsia="Times New Roman" w:cs="Calibri"/>
          <w:color w:val="000000"/>
          <w:lang w:eastAsia="es-SV"/>
        </w:rPr>
        <w:br/>
        <w:t xml:space="preserve">i.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 </w:t>
      </w:r>
      <w:r w:rsidRPr="00FE0423">
        <w:rPr>
          <w:rFonts w:eastAsia="Times New Roman" w:cs="Calibri"/>
          <w:color w:val="000000"/>
          <w:lang w:eastAsia="es-SV"/>
        </w:rPr>
        <w:t>Inventario y características del equipo informático;</w:t>
      </w:r>
      <w:r w:rsidRPr="00FE0423">
        <w:rPr>
          <w:rFonts w:eastAsia="Times New Roman" w:cs="Calibri"/>
          <w:color w:val="000000"/>
          <w:lang w:eastAsia="es-SV"/>
        </w:rPr>
        <w:br/>
        <w:t xml:space="preserve">j.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 </w:t>
      </w:r>
      <w:r w:rsidRPr="00FE0423">
        <w:rPr>
          <w:rFonts w:eastAsia="Times New Roman" w:cs="Calibri"/>
          <w:color w:val="000000"/>
          <w:lang w:eastAsia="es-SV"/>
        </w:rPr>
        <w:t xml:space="preserve">Características detalladas de las herramientas de desarrollo; </w:t>
      </w:r>
      <w:r w:rsidRPr="00FE0423">
        <w:rPr>
          <w:rFonts w:eastAsia="Times New Roman" w:cs="Calibri"/>
          <w:color w:val="000000"/>
          <w:lang w:eastAsia="es-SV"/>
        </w:rPr>
        <w:br/>
        <w:t xml:space="preserve">k.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Copia del contrato de garantía o mantenimiento del equipo central y periféricos;</w:t>
      </w:r>
      <w:r w:rsidRPr="00FE0423">
        <w:rPr>
          <w:rFonts w:eastAsia="Times New Roman" w:cs="Calibri"/>
          <w:color w:val="000000"/>
          <w:lang w:eastAsia="es-SV"/>
        </w:rPr>
        <w:br/>
        <w:t xml:space="preserve">l.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 </w:t>
      </w:r>
      <w:r w:rsidRPr="00FE0423">
        <w:rPr>
          <w:rFonts w:eastAsia="Times New Roman" w:cs="Calibri"/>
          <w:color w:val="000000"/>
          <w:lang w:eastAsia="es-SV"/>
        </w:rPr>
        <w:t xml:space="preserve">Copia del contrato de garantía o mantenimiento de los programas, si éstos han sido </w:t>
      </w:r>
    </w:p>
    <w:p w:rsidR="00AF4709" w:rsidRPr="00FE0423" w:rsidRDefault="00DF2CAB" w:rsidP="00AF4709">
      <w:pPr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contratados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a consultores;</w:t>
      </w:r>
      <w:r w:rsidRPr="00FE0423">
        <w:rPr>
          <w:rFonts w:eastAsia="Times New Roman" w:cs="Calibri"/>
          <w:color w:val="000000"/>
          <w:lang w:eastAsia="es-SV"/>
        </w:rPr>
        <w:br/>
        <w:t>m. Procedimientos para realizar Back-up;</w:t>
      </w:r>
    </w:p>
    <w:p w:rsidR="003A614D" w:rsidRPr="00FE0423" w:rsidRDefault="00DF2CAB" w:rsidP="003A614D">
      <w:pPr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n. </w:t>
      </w:r>
      <w:r w:rsidR="00AF4709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Documentación en concordancia a la NPB4-50:</w:t>
      </w:r>
    </w:p>
    <w:p w:rsidR="00AF4709" w:rsidRPr="00FE0423" w:rsidRDefault="00DF2CAB" w:rsidP="003A614D">
      <w:pPr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br/>
        <w:t xml:space="preserve">i.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Análisis de Impacto en el Negocio (BIA); </w:t>
      </w:r>
      <w:r w:rsidRPr="00FE0423">
        <w:rPr>
          <w:rFonts w:eastAsia="Times New Roman" w:cs="Calibri"/>
          <w:color w:val="000000"/>
          <w:lang w:eastAsia="es-SV"/>
        </w:rPr>
        <w:br/>
      </w:r>
      <w:proofErr w:type="spellStart"/>
      <w:r w:rsidRPr="00FE0423">
        <w:rPr>
          <w:rFonts w:eastAsia="Times New Roman" w:cs="Calibri"/>
          <w:color w:val="000000"/>
          <w:lang w:eastAsia="es-SV"/>
        </w:rPr>
        <w:t>ii</w:t>
      </w:r>
      <w:proofErr w:type="spellEnd"/>
      <w:r w:rsidRPr="00FE0423">
        <w:rPr>
          <w:rFonts w:eastAsia="Times New Roman" w:cs="Calibri"/>
          <w:color w:val="000000"/>
          <w:lang w:eastAsia="es-SV"/>
        </w:rPr>
        <w:t xml:space="preserve">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Plan de continuidad del negocio con sus respectivos planes de contingencia; </w:t>
      </w:r>
      <w:r w:rsidRPr="00FE0423">
        <w:rPr>
          <w:rFonts w:eastAsia="Times New Roman" w:cs="Calibri"/>
          <w:color w:val="000000"/>
          <w:lang w:eastAsia="es-SV"/>
        </w:rPr>
        <w:br/>
      </w:r>
      <w:proofErr w:type="spellStart"/>
      <w:r w:rsidRPr="00FE0423">
        <w:rPr>
          <w:rFonts w:eastAsia="Times New Roman" w:cs="Calibri"/>
          <w:color w:val="000000"/>
          <w:lang w:eastAsia="es-SV"/>
        </w:rPr>
        <w:t>iii</w:t>
      </w:r>
      <w:proofErr w:type="spellEnd"/>
      <w:r w:rsidRPr="00FE0423">
        <w:rPr>
          <w:rFonts w:eastAsia="Times New Roman" w:cs="Calibri"/>
          <w:color w:val="000000"/>
          <w:lang w:eastAsia="es-SV"/>
        </w:rPr>
        <w:t xml:space="preserve">. Plan de Recuperación de Desastres; </w:t>
      </w:r>
      <w:r w:rsidRPr="00FE0423">
        <w:rPr>
          <w:rFonts w:eastAsia="Times New Roman" w:cs="Calibri"/>
          <w:color w:val="000000"/>
          <w:lang w:eastAsia="es-SV"/>
        </w:rPr>
        <w:br/>
      </w:r>
      <w:proofErr w:type="spellStart"/>
      <w:r w:rsidRPr="00FE0423">
        <w:rPr>
          <w:rFonts w:eastAsia="Times New Roman" w:cs="Calibri"/>
          <w:color w:val="000000"/>
          <w:lang w:eastAsia="es-SV"/>
        </w:rPr>
        <w:t>iv</w:t>
      </w:r>
      <w:proofErr w:type="spellEnd"/>
      <w:r w:rsidRPr="00FE0423">
        <w:rPr>
          <w:rFonts w:eastAsia="Times New Roman" w:cs="Calibri"/>
          <w:color w:val="000000"/>
          <w:lang w:eastAsia="es-SV"/>
        </w:rPr>
        <w:t xml:space="preserve">. Plan de Gestión de Incidentes. 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o.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Procedimientos autorizados para el manejo de claves de acceso; </w:t>
      </w:r>
      <w:r w:rsidRPr="00FE0423">
        <w:rPr>
          <w:rFonts w:eastAsia="Times New Roman" w:cs="Calibri"/>
          <w:color w:val="000000"/>
          <w:lang w:eastAsia="es-SV"/>
        </w:rPr>
        <w:br/>
        <w:t xml:space="preserve">p.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Normas autorizadas para el mantenimiento de los sistemas;</w:t>
      </w:r>
      <w:r w:rsidRPr="00FE0423">
        <w:rPr>
          <w:rFonts w:eastAsia="Times New Roman" w:cs="Calibri"/>
          <w:color w:val="000000"/>
          <w:lang w:eastAsia="es-SV"/>
        </w:rPr>
        <w:br/>
        <w:t xml:space="preserve">q.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Normas de higiene para el equipo de cómputo y sus periféricos;</w:t>
      </w:r>
      <w:r w:rsidRPr="00FE0423">
        <w:rPr>
          <w:rFonts w:eastAsia="Times New Roman" w:cs="Calibri"/>
          <w:color w:val="000000"/>
          <w:lang w:eastAsia="es-SV"/>
        </w:rPr>
        <w:br/>
        <w:t xml:space="preserve">r.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Diagrama de Red, sobre la interrelación y comunicación de datos del sistema central, sus </w:t>
      </w:r>
    </w:p>
    <w:p w:rsidR="00AF4709" w:rsidRPr="00FE0423" w:rsidRDefault="00DF2CAB" w:rsidP="00AF4709">
      <w:pPr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sistemas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periféricos (Agencias) y las conexiones externas.</w:t>
      </w:r>
      <w:r w:rsidRPr="00FE0423">
        <w:rPr>
          <w:rFonts w:eastAsia="Times New Roman" w:cs="Calibri"/>
          <w:color w:val="000000"/>
          <w:lang w:eastAsia="es-SV"/>
        </w:rPr>
        <w:br/>
        <w:t xml:space="preserve">s.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Inventario de licencias de software a utilizar;</w:t>
      </w:r>
      <w:r w:rsidRPr="00FE0423">
        <w:rPr>
          <w:rFonts w:eastAsia="Times New Roman" w:cs="Calibri"/>
          <w:color w:val="000000"/>
          <w:lang w:eastAsia="es-SV"/>
        </w:rPr>
        <w:br/>
        <w:t xml:space="preserve">t.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Evidencia de que cuentan con un sistema electrónico de comunicación para el envío y </w:t>
      </w:r>
    </w:p>
    <w:p w:rsidR="00AF4709" w:rsidRPr="00FE0423" w:rsidRDefault="00DF2CAB" w:rsidP="00AF4709">
      <w:pPr>
        <w:spacing w:after="0" w:line="240" w:lineRule="auto"/>
        <w:ind w:left="426" w:right="-285" w:firstLine="283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lastRenderedPageBreak/>
        <w:t>recibo</w:t>
      </w:r>
      <w:proofErr w:type="gramEnd"/>
      <w:r w:rsidRPr="00FE0423">
        <w:rPr>
          <w:rFonts w:eastAsia="Times New Roman" w:cs="Calibri"/>
          <w:color w:val="000000"/>
          <w:lang w:eastAsia="es-SV"/>
        </w:rPr>
        <w:t xml:space="preserve"> de información con la Superintendencia;  </w:t>
      </w:r>
      <w:r w:rsidRPr="00FE0423">
        <w:rPr>
          <w:rFonts w:eastAsia="Times New Roman" w:cs="Calibri"/>
          <w:color w:val="000000"/>
          <w:lang w:eastAsia="es-SV"/>
        </w:rPr>
        <w:br/>
        <w:t xml:space="preserve">u.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Organigrama  del departamento de cómputo y contabilidad; y</w:t>
      </w:r>
      <w:r w:rsidRPr="00FE0423">
        <w:rPr>
          <w:rFonts w:eastAsia="Times New Roman" w:cs="Calibri"/>
          <w:color w:val="000000"/>
          <w:lang w:eastAsia="es-SV"/>
        </w:rPr>
        <w:br/>
        <w:t xml:space="preserve">v.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 xml:space="preserve">Procedimiento para el registro de pistas de auditoría o bitácoras en el aplicativo </w:t>
      </w:r>
    </w:p>
    <w:p w:rsidR="003A614D" w:rsidRPr="00FE0423" w:rsidRDefault="00DF2CAB" w:rsidP="003A614D">
      <w:pPr>
        <w:spacing w:after="0" w:line="240" w:lineRule="auto"/>
        <w:ind w:left="426" w:right="-285" w:firstLine="282"/>
        <w:rPr>
          <w:rFonts w:eastAsia="Times New Roman" w:cs="Calibri"/>
          <w:color w:val="000000"/>
          <w:lang w:eastAsia="es-SV"/>
        </w:rPr>
      </w:pPr>
      <w:proofErr w:type="gramStart"/>
      <w:r w:rsidRPr="00FE0423">
        <w:rPr>
          <w:rFonts w:eastAsia="Times New Roman" w:cs="Calibri"/>
          <w:color w:val="000000"/>
          <w:lang w:eastAsia="es-SV"/>
        </w:rPr>
        <w:t>informático</w:t>
      </w:r>
      <w:proofErr w:type="gramEnd"/>
      <w:r w:rsidRPr="00FE0423">
        <w:rPr>
          <w:rFonts w:eastAsia="Times New Roman" w:cs="Calibri"/>
          <w:color w:val="000000"/>
          <w:lang w:eastAsia="es-SV"/>
        </w:rPr>
        <w:t>, que incluya el nombre de archivo o tabla y la descripción de los campos.</w:t>
      </w:r>
      <w:r w:rsidRPr="00FE0423">
        <w:rPr>
          <w:rFonts w:eastAsia="Times New Roman" w:cs="Calibri"/>
          <w:color w:val="000000"/>
          <w:lang w:eastAsia="es-SV"/>
        </w:rPr>
        <w:br/>
        <w:t>w.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Política de Seguridad Informática.</w:t>
      </w:r>
      <w:r w:rsidRPr="00FE0423">
        <w:rPr>
          <w:rFonts w:eastAsia="Times New Roman" w:cs="Calibri"/>
          <w:color w:val="000000"/>
          <w:lang w:eastAsia="es-SV"/>
        </w:rPr>
        <w:br/>
        <w:t xml:space="preserve">x. </w:t>
      </w:r>
      <w:r w:rsidR="00AF4709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Contar con un ambiente de pr</w:t>
      </w:r>
      <w:r w:rsidR="003A614D" w:rsidRPr="00FE0423">
        <w:rPr>
          <w:rFonts w:eastAsia="Times New Roman" w:cs="Calibri"/>
          <w:color w:val="000000"/>
          <w:lang w:eastAsia="es-SV"/>
        </w:rPr>
        <w:t>uebas debidamente configurado.</w:t>
      </w:r>
    </w:p>
    <w:p w:rsidR="003A614D" w:rsidRPr="00FE0423" w:rsidRDefault="003A614D" w:rsidP="003A614D">
      <w:pPr>
        <w:spacing w:after="0" w:line="240" w:lineRule="auto"/>
        <w:ind w:left="426" w:right="-285" w:firstLine="567"/>
        <w:rPr>
          <w:rFonts w:eastAsia="Times New Roman" w:cs="Calibri"/>
          <w:color w:val="000000"/>
          <w:lang w:eastAsia="es-SV"/>
        </w:rPr>
      </w:pPr>
    </w:p>
    <w:p w:rsidR="003A614D" w:rsidRPr="00FE0423" w:rsidRDefault="00DF2CAB" w:rsidP="003A614D">
      <w:pPr>
        <w:tabs>
          <w:tab w:val="left" w:pos="709"/>
        </w:tabs>
        <w:spacing w:after="0" w:line="240" w:lineRule="auto"/>
        <w:ind w:left="426" w:right="-285" w:hanging="142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3.17 Documentar que el área de Tecnología ha completado al 100% las pruebas de los distintos </w:t>
      </w:r>
    </w:p>
    <w:p w:rsidR="003A614D" w:rsidRPr="00FE0423" w:rsidRDefault="003A614D" w:rsidP="003A614D">
      <w:pPr>
        <w:tabs>
          <w:tab w:val="left" w:pos="426"/>
          <w:tab w:val="left" w:pos="709"/>
        </w:tabs>
        <w:spacing w:after="0" w:line="240" w:lineRule="auto"/>
        <w:ind w:left="284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sistemas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incluidos en el inicio de operaciones, en ambiente de producción.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3.18 Presentar Informes de auditoría Interna sobre las pruebas realizadas a los sistemas, </w:t>
      </w:r>
    </w:p>
    <w:p w:rsidR="003A614D" w:rsidRPr="00FE0423" w:rsidRDefault="003A614D" w:rsidP="003847C2">
      <w:pPr>
        <w:tabs>
          <w:tab w:val="left" w:pos="426"/>
          <w:tab w:val="left" w:pos="709"/>
          <w:tab w:val="left" w:pos="851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considerando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>: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a.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 xml:space="preserve">La Elaboración de los informes  por cada sistema relacionado con los productos y servicios </w:t>
      </w:r>
    </w:p>
    <w:p w:rsidR="003A614D" w:rsidRPr="00FE0423" w:rsidRDefault="003A614D" w:rsidP="003A614D">
      <w:pPr>
        <w:tabs>
          <w:tab w:val="left" w:pos="426"/>
          <w:tab w:val="left" w:pos="709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incluidos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en el inicio de operaciones; y</w:t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b.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 xml:space="preserve">Documentación de las pruebas que se ejecutaron como parte de las evaluaciones  </w:t>
      </w:r>
    </w:p>
    <w:p w:rsidR="003A614D" w:rsidRPr="00FE0423" w:rsidRDefault="003A614D" w:rsidP="003A614D">
      <w:pPr>
        <w:tabs>
          <w:tab w:val="left" w:pos="426"/>
          <w:tab w:val="left" w:pos="709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Pr="00FE0423">
        <w:rPr>
          <w:rFonts w:eastAsia="Times New Roman" w:cs="Calibri"/>
          <w:color w:val="000000"/>
          <w:lang w:eastAsia="es-SV"/>
        </w:rPr>
        <w:t>realizadas</w:t>
      </w:r>
      <w:proofErr w:type="gramEnd"/>
      <w:r w:rsidRPr="00FE0423">
        <w:rPr>
          <w:rFonts w:eastAsia="Times New Roman" w:cs="Calibri"/>
          <w:color w:val="000000"/>
          <w:lang w:eastAsia="es-SV"/>
        </w:rPr>
        <w:t>.</w:t>
      </w:r>
    </w:p>
    <w:p w:rsidR="003A614D" w:rsidRPr="00FE0423" w:rsidRDefault="003A614D" w:rsidP="003A614D">
      <w:pPr>
        <w:tabs>
          <w:tab w:val="left" w:pos="426"/>
          <w:tab w:val="left" w:pos="709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</w:p>
    <w:p w:rsidR="003A614D" w:rsidRPr="00FE0423" w:rsidRDefault="00DF2CAB" w:rsidP="003A614D">
      <w:pPr>
        <w:tabs>
          <w:tab w:val="left" w:pos="426"/>
          <w:tab w:val="left" w:pos="709"/>
        </w:tabs>
        <w:spacing w:after="0" w:line="240" w:lineRule="auto"/>
        <w:ind w:left="284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3.19 Registrar las acciones de la Sociedad de Ahorro y Crédito en la Bolsa de Valores de El </w:t>
      </w:r>
    </w:p>
    <w:p w:rsidR="003A614D" w:rsidRPr="00FE0423" w:rsidRDefault="003A614D" w:rsidP="003A614D">
      <w:pPr>
        <w:tabs>
          <w:tab w:val="left" w:pos="426"/>
          <w:tab w:val="left" w:pos="709"/>
        </w:tabs>
        <w:spacing w:after="0" w:line="240" w:lineRule="auto"/>
        <w:ind w:left="426" w:right="-285" w:hanging="142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>Salvador, S.A., conforme a lo establecido en el artículo 6 de la Ley de Bancos:</w:t>
      </w:r>
      <w:r w:rsidR="00DF2CAB" w:rsidRPr="00FE0423">
        <w:rPr>
          <w:rFonts w:eastAsia="Times New Roman" w:cs="Calibri"/>
          <w:color w:val="000000"/>
          <w:lang w:eastAsia="es-SV"/>
        </w:rPr>
        <w:br/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a.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 xml:space="preserve">Realizar el trámite a más tardar 60 días después de que se haya inscrito la escritura </w:t>
      </w:r>
    </w:p>
    <w:p w:rsidR="003A614D" w:rsidRPr="00FE0423" w:rsidRDefault="003A614D" w:rsidP="003A614D">
      <w:pPr>
        <w:tabs>
          <w:tab w:val="left" w:pos="426"/>
          <w:tab w:val="left" w:pos="709"/>
        </w:tabs>
        <w:spacing w:after="0" w:line="240" w:lineRule="auto"/>
        <w:ind w:left="426" w:right="-285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correspondiente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en el Registro de Comercio; y</w:t>
      </w:r>
      <w:r w:rsidR="00DF2CAB" w:rsidRPr="00FE0423">
        <w:rPr>
          <w:rFonts w:eastAsia="Times New Roman" w:cs="Calibri"/>
          <w:color w:val="000000"/>
          <w:lang w:eastAsia="es-SV"/>
        </w:rPr>
        <w:br/>
        <w:t xml:space="preserve">b. </w:t>
      </w:r>
      <w:r w:rsidRPr="00FE0423">
        <w:rPr>
          <w:rFonts w:eastAsia="Times New Roman" w:cs="Calibri"/>
          <w:color w:val="000000"/>
          <w:lang w:eastAsia="es-SV"/>
        </w:rPr>
        <w:tab/>
      </w:r>
      <w:r w:rsidR="00DF2CAB" w:rsidRPr="00FE0423">
        <w:rPr>
          <w:rFonts w:eastAsia="Times New Roman" w:cs="Calibri"/>
          <w:color w:val="000000"/>
          <w:lang w:eastAsia="es-SV"/>
        </w:rPr>
        <w:t xml:space="preserve">Registrar las acciones de tesorería </w:t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previo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a su colocación, si fuere el caso.</w:t>
      </w:r>
    </w:p>
    <w:p w:rsidR="003A614D" w:rsidRPr="00FE0423" w:rsidRDefault="00DF2CAB" w:rsidP="003A614D">
      <w:pPr>
        <w:tabs>
          <w:tab w:val="left" w:pos="284"/>
          <w:tab w:val="left" w:pos="709"/>
        </w:tabs>
        <w:spacing w:after="0" w:line="240" w:lineRule="auto"/>
        <w:ind w:left="284" w:right="-285" w:firstLine="142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br/>
        <w:t xml:space="preserve">3.20 Copia de actas del Órgano Director donde se acordó la autorización de políticas, manuales </w:t>
      </w:r>
    </w:p>
    <w:p w:rsidR="00DF2CAB" w:rsidRPr="00FE0423" w:rsidRDefault="003A614D" w:rsidP="003A614D">
      <w:pPr>
        <w:tabs>
          <w:tab w:val="left" w:pos="284"/>
          <w:tab w:val="left" w:pos="709"/>
        </w:tabs>
        <w:spacing w:after="0" w:line="240" w:lineRule="auto"/>
        <w:ind w:left="284" w:right="-285" w:firstLine="142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ab/>
      </w:r>
      <w:proofErr w:type="gramStart"/>
      <w:r w:rsidR="00DF2CAB" w:rsidRPr="00FE0423">
        <w:rPr>
          <w:rFonts w:eastAsia="Times New Roman" w:cs="Calibri"/>
          <w:color w:val="000000"/>
          <w:lang w:eastAsia="es-SV"/>
        </w:rPr>
        <w:t>y</w:t>
      </w:r>
      <w:proofErr w:type="gramEnd"/>
      <w:r w:rsidR="00DF2CAB" w:rsidRPr="00FE0423">
        <w:rPr>
          <w:rFonts w:eastAsia="Times New Roman" w:cs="Calibri"/>
          <w:color w:val="000000"/>
          <w:lang w:eastAsia="es-SV"/>
        </w:rPr>
        <w:t xml:space="preserve"> reglamentos, etc.</w:t>
      </w:r>
    </w:p>
    <w:p w:rsidR="00DF2CAB" w:rsidRPr="00FE0423" w:rsidRDefault="00DF2CAB" w:rsidP="003A614D">
      <w:pPr>
        <w:spacing w:after="0" w:line="240" w:lineRule="auto"/>
        <w:jc w:val="both"/>
        <w:rPr>
          <w:b/>
          <w:bCs/>
          <w:iCs/>
        </w:rPr>
      </w:pPr>
      <w:r w:rsidRPr="00FE0423">
        <w:rPr>
          <w:b/>
          <w:bCs/>
          <w:iCs/>
        </w:rPr>
        <w:tab/>
      </w:r>
    </w:p>
    <w:p w:rsidR="00DF2CAB" w:rsidRPr="00FE0423" w:rsidRDefault="00DF2CAB" w:rsidP="003A614D">
      <w:pPr>
        <w:spacing w:after="0" w:line="240" w:lineRule="auto"/>
        <w:jc w:val="both"/>
        <w:rPr>
          <w:b/>
          <w:bCs/>
          <w:iCs/>
        </w:rPr>
      </w:pPr>
      <w:r w:rsidRPr="00FE0423">
        <w:rPr>
          <w:b/>
          <w:bCs/>
          <w:iCs/>
        </w:rPr>
        <w:t>II.          POSTERIOR A LA COMUNICACIÓN DEL ACUERDO DE CONSEJO DIRECTIVO</w:t>
      </w:r>
      <w:r w:rsidRPr="00FE0423">
        <w:rPr>
          <w:b/>
          <w:bCs/>
          <w:iCs/>
        </w:rPr>
        <w:tab/>
        <w:t> </w:t>
      </w:r>
    </w:p>
    <w:p w:rsidR="00DF2CAB" w:rsidRPr="00FE0423" w:rsidRDefault="00DF2CAB" w:rsidP="00DF2CAB">
      <w:pPr>
        <w:tabs>
          <w:tab w:val="left" w:pos="6665"/>
        </w:tabs>
        <w:spacing w:after="0" w:line="240" w:lineRule="auto"/>
        <w:ind w:left="65"/>
        <w:rPr>
          <w:rFonts w:eastAsia="Times New Roman" w:cs="Calibri"/>
          <w:color w:val="000000"/>
          <w:lang w:eastAsia="es-SV"/>
        </w:rPr>
      </w:pPr>
    </w:p>
    <w:p w:rsidR="00DF2CAB" w:rsidRPr="00FE0423" w:rsidRDefault="00DF2CAB" w:rsidP="003A614D">
      <w:pPr>
        <w:tabs>
          <w:tab w:val="left" w:pos="709"/>
          <w:tab w:val="left" w:pos="6665"/>
        </w:tabs>
        <w:spacing w:after="0" w:line="240" w:lineRule="auto"/>
        <w:ind w:left="284"/>
        <w:rPr>
          <w:rFonts w:eastAsia="Times New Roman" w:cs="Calibri"/>
          <w:color w:val="000000"/>
          <w:lang w:eastAsia="es-SV"/>
        </w:rPr>
      </w:pPr>
      <w:r w:rsidRPr="00FE0423">
        <w:rPr>
          <w:rFonts w:eastAsia="Times New Roman" w:cs="Calibri"/>
          <w:color w:val="000000"/>
          <w:lang w:eastAsia="es-SV"/>
        </w:rPr>
        <w:t xml:space="preserve">1.1 </w:t>
      </w:r>
      <w:r w:rsidR="003A614D" w:rsidRPr="00FE0423">
        <w:rPr>
          <w:rFonts w:eastAsia="Times New Roman" w:cs="Calibri"/>
          <w:color w:val="000000"/>
          <w:lang w:eastAsia="es-SV"/>
        </w:rPr>
        <w:t xml:space="preserve"> </w:t>
      </w:r>
      <w:r w:rsidRPr="00FE0423">
        <w:rPr>
          <w:rFonts w:eastAsia="Times New Roman" w:cs="Calibri"/>
          <w:color w:val="000000"/>
          <w:lang w:eastAsia="es-SV"/>
        </w:rPr>
        <w:t>El día en que abrirá sus puertas al público, detallando el horario de atención;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1.2 </w:t>
      </w:r>
      <w:r w:rsidR="003A614D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Nómina del personal superior de la institución;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1.3 </w:t>
      </w:r>
      <w:r w:rsidR="003A614D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Un Registro de las firmas autorizadas; y</w:t>
      </w:r>
      <w:r w:rsidRPr="00FE0423">
        <w:rPr>
          <w:rFonts w:eastAsia="Times New Roman" w:cs="Calibri"/>
          <w:color w:val="000000"/>
          <w:lang w:eastAsia="es-SV"/>
        </w:rPr>
        <w:br/>
      </w:r>
      <w:r w:rsidRPr="00FE0423">
        <w:rPr>
          <w:rFonts w:eastAsia="Times New Roman" w:cs="Calibri"/>
          <w:color w:val="000000"/>
          <w:lang w:eastAsia="es-SV"/>
        </w:rPr>
        <w:br/>
        <w:t xml:space="preserve">1.4 </w:t>
      </w:r>
      <w:r w:rsidR="003A614D" w:rsidRPr="00FE0423">
        <w:rPr>
          <w:rFonts w:eastAsia="Times New Roman" w:cs="Calibri"/>
          <w:color w:val="000000"/>
          <w:lang w:eastAsia="es-SV"/>
        </w:rPr>
        <w:tab/>
      </w:r>
      <w:r w:rsidRPr="00FE0423">
        <w:rPr>
          <w:rFonts w:eastAsia="Times New Roman" w:cs="Calibri"/>
          <w:color w:val="000000"/>
          <w:lang w:eastAsia="es-SV"/>
        </w:rPr>
        <w:t>Número de Identificación Tributaria (NIT).</w:t>
      </w:r>
      <w:r w:rsidRPr="00FE0423">
        <w:rPr>
          <w:rFonts w:eastAsia="Times New Roman" w:cs="Calibri"/>
          <w:color w:val="000000"/>
          <w:lang w:eastAsia="es-SV"/>
        </w:rPr>
        <w:tab/>
      </w:r>
    </w:p>
    <w:sectPr w:rsidR="00DF2CAB" w:rsidRPr="00FE0423" w:rsidSect="00BB082E">
      <w:headerReference w:type="default" r:id="rId10"/>
      <w:footerReference w:type="default" r:id="rId11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225" w:rsidRDefault="005B7225" w:rsidP="00BB082E">
      <w:pPr>
        <w:spacing w:after="0" w:line="240" w:lineRule="auto"/>
      </w:pPr>
      <w:r>
        <w:separator/>
      </w:r>
    </w:p>
  </w:endnote>
  <w:endnote w:type="continuationSeparator" w:id="0">
    <w:p w:rsidR="005B7225" w:rsidRDefault="005B7225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DF2CAB" w:rsidRDefault="00A742D7" w:rsidP="00555371">
        <w:pPr>
          <w:pStyle w:val="Piedepgina"/>
          <w:jc w:val="right"/>
        </w:pPr>
        <w:fldSimple w:instr=" PAGE   \* MERGEFORMAT ">
          <w:r w:rsidR="00FE042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225" w:rsidRDefault="005B7225" w:rsidP="00BB082E">
      <w:pPr>
        <w:spacing w:after="0" w:line="240" w:lineRule="auto"/>
      </w:pPr>
      <w:r>
        <w:separator/>
      </w:r>
    </w:p>
  </w:footnote>
  <w:footnote w:type="continuationSeparator" w:id="0">
    <w:p w:rsidR="005B7225" w:rsidRDefault="005B7225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CAB" w:rsidRDefault="00DF2CAB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8600579"/>
    <w:multiLevelType w:val="multilevel"/>
    <w:tmpl w:val="CC5EF04E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5" w:hanging="1440"/>
      </w:pPr>
      <w:rPr>
        <w:rFonts w:hint="default"/>
      </w:r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86A4B6D"/>
    <w:multiLevelType w:val="hybridMultilevel"/>
    <w:tmpl w:val="85FA41F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63487"/>
    <w:multiLevelType w:val="multilevel"/>
    <w:tmpl w:val="CADA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4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5">
    <w:nsid w:val="28CF4FF1"/>
    <w:multiLevelType w:val="hybridMultilevel"/>
    <w:tmpl w:val="A3CAF9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5067606"/>
    <w:multiLevelType w:val="multilevel"/>
    <w:tmpl w:val="52D888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4" w:hanging="1440"/>
      </w:pPr>
      <w:rPr>
        <w:rFonts w:hint="default"/>
      </w:rPr>
    </w:lvl>
  </w:abstractNum>
  <w:abstractNum w:abstractNumId="18">
    <w:nsid w:val="36D555F1"/>
    <w:multiLevelType w:val="hybridMultilevel"/>
    <w:tmpl w:val="799E0856"/>
    <w:lvl w:ilvl="0" w:tplc="0E38FBAC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6">
    <w:nsid w:val="52F42729"/>
    <w:multiLevelType w:val="hybridMultilevel"/>
    <w:tmpl w:val="08A2AF1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2670BB"/>
    <w:multiLevelType w:val="multilevel"/>
    <w:tmpl w:val="E99827E0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5" w:hanging="1440"/>
      </w:pPr>
      <w:rPr>
        <w:rFonts w:hint="default"/>
      </w:rPr>
    </w:lvl>
  </w:abstractNum>
  <w:abstractNum w:abstractNumId="28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1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2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F6210"/>
    <w:multiLevelType w:val="hybridMultilevel"/>
    <w:tmpl w:val="9C46A9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C398A"/>
    <w:multiLevelType w:val="multilevel"/>
    <w:tmpl w:val="F2A4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12"/>
  </w:num>
  <w:num w:numId="4">
    <w:abstractNumId w:val="28"/>
  </w:num>
  <w:num w:numId="5">
    <w:abstractNumId w:val="29"/>
  </w:num>
  <w:num w:numId="6">
    <w:abstractNumId w:val="5"/>
  </w:num>
  <w:num w:numId="7">
    <w:abstractNumId w:val="22"/>
  </w:num>
  <w:num w:numId="8">
    <w:abstractNumId w:val="37"/>
  </w:num>
  <w:num w:numId="9">
    <w:abstractNumId w:val="21"/>
  </w:num>
  <w:num w:numId="10">
    <w:abstractNumId w:val="30"/>
  </w:num>
  <w:num w:numId="11">
    <w:abstractNumId w:val="9"/>
  </w:num>
  <w:num w:numId="12">
    <w:abstractNumId w:val="24"/>
  </w:num>
  <w:num w:numId="13">
    <w:abstractNumId w:val="31"/>
  </w:num>
  <w:num w:numId="14">
    <w:abstractNumId w:val="25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32"/>
  </w:num>
  <w:num w:numId="20">
    <w:abstractNumId w:val="4"/>
  </w:num>
  <w:num w:numId="21">
    <w:abstractNumId w:val="0"/>
  </w:num>
  <w:num w:numId="22">
    <w:abstractNumId w:val="16"/>
  </w:num>
  <w:num w:numId="23">
    <w:abstractNumId w:val="8"/>
  </w:num>
  <w:num w:numId="24">
    <w:abstractNumId w:val="36"/>
  </w:num>
  <w:num w:numId="25">
    <w:abstractNumId w:val="20"/>
  </w:num>
  <w:num w:numId="26">
    <w:abstractNumId w:val="3"/>
  </w:num>
  <w:num w:numId="27">
    <w:abstractNumId w:val="1"/>
  </w:num>
  <w:num w:numId="28">
    <w:abstractNumId w:val="6"/>
  </w:num>
  <w:num w:numId="29">
    <w:abstractNumId w:val="13"/>
  </w:num>
  <w:num w:numId="30">
    <w:abstractNumId w:val="26"/>
  </w:num>
  <w:num w:numId="31">
    <w:abstractNumId w:val="17"/>
  </w:num>
  <w:num w:numId="32">
    <w:abstractNumId w:val="15"/>
  </w:num>
  <w:num w:numId="33">
    <w:abstractNumId w:val="34"/>
  </w:num>
  <w:num w:numId="34">
    <w:abstractNumId w:val="33"/>
  </w:num>
  <w:num w:numId="35">
    <w:abstractNumId w:val="27"/>
  </w:num>
  <w:num w:numId="36">
    <w:abstractNumId w:val="7"/>
  </w:num>
  <w:num w:numId="37">
    <w:abstractNumId w:val="2"/>
  </w:num>
  <w:num w:numId="38">
    <w:abstractNumId w:val="1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3C7B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0AC6"/>
    <w:rsid w:val="00067000"/>
    <w:rsid w:val="000724E5"/>
    <w:rsid w:val="000830FE"/>
    <w:rsid w:val="00085DE2"/>
    <w:rsid w:val="00094789"/>
    <w:rsid w:val="00095B89"/>
    <w:rsid w:val="000A4DD8"/>
    <w:rsid w:val="000B05BF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07B6E"/>
    <w:rsid w:val="00120DF5"/>
    <w:rsid w:val="00125FEF"/>
    <w:rsid w:val="00131B10"/>
    <w:rsid w:val="0013243B"/>
    <w:rsid w:val="00137226"/>
    <w:rsid w:val="00163375"/>
    <w:rsid w:val="001717D4"/>
    <w:rsid w:val="00174775"/>
    <w:rsid w:val="001858E5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E50E9"/>
    <w:rsid w:val="001F18CD"/>
    <w:rsid w:val="00201674"/>
    <w:rsid w:val="002063B2"/>
    <w:rsid w:val="0021163E"/>
    <w:rsid w:val="002124D6"/>
    <w:rsid w:val="0022300C"/>
    <w:rsid w:val="00223E29"/>
    <w:rsid w:val="00240322"/>
    <w:rsid w:val="0024436B"/>
    <w:rsid w:val="002458E6"/>
    <w:rsid w:val="00246941"/>
    <w:rsid w:val="00255C95"/>
    <w:rsid w:val="00271532"/>
    <w:rsid w:val="00280D31"/>
    <w:rsid w:val="00282EF5"/>
    <w:rsid w:val="002960E2"/>
    <w:rsid w:val="002A48A9"/>
    <w:rsid w:val="002B165A"/>
    <w:rsid w:val="002C10B7"/>
    <w:rsid w:val="002C2369"/>
    <w:rsid w:val="002C2718"/>
    <w:rsid w:val="002C3F26"/>
    <w:rsid w:val="002E049E"/>
    <w:rsid w:val="002E0626"/>
    <w:rsid w:val="002E4B96"/>
    <w:rsid w:val="002E7C78"/>
    <w:rsid w:val="002F4092"/>
    <w:rsid w:val="0032185E"/>
    <w:rsid w:val="00326063"/>
    <w:rsid w:val="003353D2"/>
    <w:rsid w:val="00337A50"/>
    <w:rsid w:val="003407FD"/>
    <w:rsid w:val="00342518"/>
    <w:rsid w:val="003449F3"/>
    <w:rsid w:val="00350D28"/>
    <w:rsid w:val="003525C0"/>
    <w:rsid w:val="00354F10"/>
    <w:rsid w:val="00356D08"/>
    <w:rsid w:val="00361E7B"/>
    <w:rsid w:val="00372233"/>
    <w:rsid w:val="0037479D"/>
    <w:rsid w:val="003847C2"/>
    <w:rsid w:val="0038622E"/>
    <w:rsid w:val="00386C1F"/>
    <w:rsid w:val="00391750"/>
    <w:rsid w:val="003A1295"/>
    <w:rsid w:val="003A22DB"/>
    <w:rsid w:val="003A614D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7053"/>
    <w:rsid w:val="00424EB7"/>
    <w:rsid w:val="004433ED"/>
    <w:rsid w:val="00445E93"/>
    <w:rsid w:val="004525A5"/>
    <w:rsid w:val="0045360D"/>
    <w:rsid w:val="0046395C"/>
    <w:rsid w:val="004710A6"/>
    <w:rsid w:val="00480E29"/>
    <w:rsid w:val="00483C75"/>
    <w:rsid w:val="00497400"/>
    <w:rsid w:val="004A2E25"/>
    <w:rsid w:val="004A4648"/>
    <w:rsid w:val="004B114D"/>
    <w:rsid w:val="004C77DE"/>
    <w:rsid w:val="004D0C28"/>
    <w:rsid w:val="004D2398"/>
    <w:rsid w:val="004D3402"/>
    <w:rsid w:val="004D7BFB"/>
    <w:rsid w:val="004E6F28"/>
    <w:rsid w:val="004F3077"/>
    <w:rsid w:val="004F3950"/>
    <w:rsid w:val="005049D4"/>
    <w:rsid w:val="00510610"/>
    <w:rsid w:val="00511D28"/>
    <w:rsid w:val="00515F23"/>
    <w:rsid w:val="00523544"/>
    <w:rsid w:val="005258AC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67BB"/>
    <w:rsid w:val="00596B36"/>
    <w:rsid w:val="005A67A1"/>
    <w:rsid w:val="005A719C"/>
    <w:rsid w:val="005B2B1C"/>
    <w:rsid w:val="005B7225"/>
    <w:rsid w:val="005C3548"/>
    <w:rsid w:val="005C7839"/>
    <w:rsid w:val="005D139C"/>
    <w:rsid w:val="005F028A"/>
    <w:rsid w:val="005F0ABF"/>
    <w:rsid w:val="006068A5"/>
    <w:rsid w:val="006105CE"/>
    <w:rsid w:val="006117C0"/>
    <w:rsid w:val="00613C6C"/>
    <w:rsid w:val="0061701F"/>
    <w:rsid w:val="00624905"/>
    <w:rsid w:val="006404C6"/>
    <w:rsid w:val="00651646"/>
    <w:rsid w:val="00652E61"/>
    <w:rsid w:val="00664C79"/>
    <w:rsid w:val="00667811"/>
    <w:rsid w:val="00680F58"/>
    <w:rsid w:val="00692CA5"/>
    <w:rsid w:val="00692F9D"/>
    <w:rsid w:val="006950D4"/>
    <w:rsid w:val="006A0875"/>
    <w:rsid w:val="006B08B1"/>
    <w:rsid w:val="006B0A67"/>
    <w:rsid w:val="006B1F02"/>
    <w:rsid w:val="006C2209"/>
    <w:rsid w:val="006D63EE"/>
    <w:rsid w:val="006D7E05"/>
    <w:rsid w:val="006E10E6"/>
    <w:rsid w:val="006E1EFC"/>
    <w:rsid w:val="006F5C2D"/>
    <w:rsid w:val="006F5DFB"/>
    <w:rsid w:val="00717ACD"/>
    <w:rsid w:val="00723B02"/>
    <w:rsid w:val="00731C3C"/>
    <w:rsid w:val="00735A11"/>
    <w:rsid w:val="007438A2"/>
    <w:rsid w:val="00757242"/>
    <w:rsid w:val="00776EAD"/>
    <w:rsid w:val="007903A7"/>
    <w:rsid w:val="007A6ABB"/>
    <w:rsid w:val="007A7323"/>
    <w:rsid w:val="007B27D1"/>
    <w:rsid w:val="007C11C6"/>
    <w:rsid w:val="007C395A"/>
    <w:rsid w:val="007C51B0"/>
    <w:rsid w:val="007D4728"/>
    <w:rsid w:val="007D6C6E"/>
    <w:rsid w:val="00806841"/>
    <w:rsid w:val="00816A27"/>
    <w:rsid w:val="00817A4D"/>
    <w:rsid w:val="00817CC7"/>
    <w:rsid w:val="00822EA0"/>
    <w:rsid w:val="00831E77"/>
    <w:rsid w:val="0084521A"/>
    <w:rsid w:val="0084650A"/>
    <w:rsid w:val="008500AA"/>
    <w:rsid w:val="008560E0"/>
    <w:rsid w:val="00865358"/>
    <w:rsid w:val="008660FE"/>
    <w:rsid w:val="00867326"/>
    <w:rsid w:val="008766C2"/>
    <w:rsid w:val="0088610B"/>
    <w:rsid w:val="008B1746"/>
    <w:rsid w:val="008B317C"/>
    <w:rsid w:val="008C2C2B"/>
    <w:rsid w:val="008C54F1"/>
    <w:rsid w:val="008D0833"/>
    <w:rsid w:val="008D2673"/>
    <w:rsid w:val="008D71BD"/>
    <w:rsid w:val="008E14D3"/>
    <w:rsid w:val="008F0320"/>
    <w:rsid w:val="00904C5E"/>
    <w:rsid w:val="009057E7"/>
    <w:rsid w:val="00907BA0"/>
    <w:rsid w:val="00910FA1"/>
    <w:rsid w:val="0092027A"/>
    <w:rsid w:val="00921529"/>
    <w:rsid w:val="009350E1"/>
    <w:rsid w:val="0094171F"/>
    <w:rsid w:val="009469D2"/>
    <w:rsid w:val="009554E7"/>
    <w:rsid w:val="009708FC"/>
    <w:rsid w:val="0097580C"/>
    <w:rsid w:val="0098293B"/>
    <w:rsid w:val="00982B7B"/>
    <w:rsid w:val="00985171"/>
    <w:rsid w:val="00986489"/>
    <w:rsid w:val="009A429C"/>
    <w:rsid w:val="009A42EF"/>
    <w:rsid w:val="009C2FC1"/>
    <w:rsid w:val="009D0C38"/>
    <w:rsid w:val="009D634A"/>
    <w:rsid w:val="009F1DBB"/>
    <w:rsid w:val="009F317B"/>
    <w:rsid w:val="00A20F2E"/>
    <w:rsid w:val="00A248DB"/>
    <w:rsid w:val="00A526F8"/>
    <w:rsid w:val="00A54B93"/>
    <w:rsid w:val="00A57068"/>
    <w:rsid w:val="00A57FAF"/>
    <w:rsid w:val="00A62DF9"/>
    <w:rsid w:val="00A65C83"/>
    <w:rsid w:val="00A6619E"/>
    <w:rsid w:val="00A742D7"/>
    <w:rsid w:val="00A80A10"/>
    <w:rsid w:val="00A8371B"/>
    <w:rsid w:val="00A93225"/>
    <w:rsid w:val="00AA215B"/>
    <w:rsid w:val="00AA289E"/>
    <w:rsid w:val="00AC23D0"/>
    <w:rsid w:val="00AC4D71"/>
    <w:rsid w:val="00AD1DCE"/>
    <w:rsid w:val="00AD258E"/>
    <w:rsid w:val="00AE23A4"/>
    <w:rsid w:val="00AE2B3D"/>
    <w:rsid w:val="00AF290B"/>
    <w:rsid w:val="00AF292C"/>
    <w:rsid w:val="00AF4709"/>
    <w:rsid w:val="00B00593"/>
    <w:rsid w:val="00B014E1"/>
    <w:rsid w:val="00B065CA"/>
    <w:rsid w:val="00B14897"/>
    <w:rsid w:val="00B2753A"/>
    <w:rsid w:val="00B34CB1"/>
    <w:rsid w:val="00B36CF5"/>
    <w:rsid w:val="00B40193"/>
    <w:rsid w:val="00B41C7C"/>
    <w:rsid w:val="00B45374"/>
    <w:rsid w:val="00B50819"/>
    <w:rsid w:val="00B6463C"/>
    <w:rsid w:val="00B6685C"/>
    <w:rsid w:val="00B70EBE"/>
    <w:rsid w:val="00B72970"/>
    <w:rsid w:val="00B7731A"/>
    <w:rsid w:val="00B950E9"/>
    <w:rsid w:val="00BA4E6F"/>
    <w:rsid w:val="00BB082E"/>
    <w:rsid w:val="00BE154B"/>
    <w:rsid w:val="00BE45C1"/>
    <w:rsid w:val="00BE6C77"/>
    <w:rsid w:val="00BF7AEB"/>
    <w:rsid w:val="00C00136"/>
    <w:rsid w:val="00C06E2A"/>
    <w:rsid w:val="00C07FA1"/>
    <w:rsid w:val="00C1238A"/>
    <w:rsid w:val="00C12A28"/>
    <w:rsid w:val="00C24CA6"/>
    <w:rsid w:val="00C538DA"/>
    <w:rsid w:val="00C553BA"/>
    <w:rsid w:val="00C62CDD"/>
    <w:rsid w:val="00C714C4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ED9"/>
    <w:rsid w:val="00D414CB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A573A"/>
    <w:rsid w:val="00DC1F8B"/>
    <w:rsid w:val="00DC4828"/>
    <w:rsid w:val="00DD004E"/>
    <w:rsid w:val="00DD2975"/>
    <w:rsid w:val="00DD51C4"/>
    <w:rsid w:val="00DD5B91"/>
    <w:rsid w:val="00DE1626"/>
    <w:rsid w:val="00DF2CAB"/>
    <w:rsid w:val="00DF2E41"/>
    <w:rsid w:val="00DF5756"/>
    <w:rsid w:val="00E22058"/>
    <w:rsid w:val="00E22357"/>
    <w:rsid w:val="00E247E4"/>
    <w:rsid w:val="00E4399C"/>
    <w:rsid w:val="00E45DA9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0657"/>
    <w:rsid w:val="00F610C5"/>
    <w:rsid w:val="00F616B2"/>
    <w:rsid w:val="00F61BD7"/>
    <w:rsid w:val="00F62C0E"/>
    <w:rsid w:val="00F70416"/>
    <w:rsid w:val="00F7494A"/>
    <w:rsid w:val="00F749BC"/>
    <w:rsid w:val="00F85B7A"/>
    <w:rsid w:val="00F861EA"/>
    <w:rsid w:val="00F86B74"/>
    <w:rsid w:val="00FA2BA7"/>
    <w:rsid w:val="00FA4A8B"/>
    <w:rsid w:val="00FA7D1A"/>
    <w:rsid w:val="00FB1C58"/>
    <w:rsid w:val="00FB1F4F"/>
    <w:rsid w:val="00FC2643"/>
    <w:rsid w:val="00FD4BAD"/>
    <w:rsid w:val="00FE0423"/>
    <w:rsid w:val="00FE0CF5"/>
    <w:rsid w:val="00FE5AE0"/>
    <w:rsid w:val="00FF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  <w:style w:type="character" w:styleId="Hipervnculo">
    <w:name w:val="Hyperlink"/>
    <w:basedOn w:val="Fuentedeprrafopredeter"/>
    <w:uiPriority w:val="99"/>
    <w:unhideWhenUsed/>
    <w:rsid w:val="008D2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5118-15BC-4FC8-B301-7B6BE1E9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7</cp:revision>
  <cp:lastPrinted>2014-09-02T16:41:00Z</cp:lastPrinted>
  <dcterms:created xsi:type="dcterms:W3CDTF">2018-06-14T22:03:00Z</dcterms:created>
  <dcterms:modified xsi:type="dcterms:W3CDTF">2018-06-20T21:39:00Z</dcterms:modified>
</cp:coreProperties>
</file>