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651122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596B5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Pr="00596B5A">
                    <w:rPr>
                      <w:b/>
                      <w:lang w:val="es-SV"/>
                    </w:rPr>
                    <w:t>6-</w:t>
                  </w:r>
                  <w:r w:rsidR="00F77C1E">
                    <w:rPr>
                      <w:b/>
                      <w:lang w:val="es-SV"/>
                    </w:rPr>
                    <w:t>B</w:t>
                  </w:r>
                </w:p>
                <w:p w:rsidR="00EC311F" w:rsidRPr="00CF399E" w:rsidRDefault="00EC311F" w:rsidP="00E63205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="00B70EBE" w:rsidRPr="00CF399E">
                    <w:rPr>
                      <w:b/>
                      <w:lang w:val="es-SV"/>
                    </w:rPr>
                    <w:t xml:space="preserve">Autorización </w:t>
                  </w:r>
                  <w:r w:rsidR="00354F10">
                    <w:rPr>
                      <w:b/>
                      <w:lang w:val="es-SV"/>
                    </w:rPr>
                    <w:t>de fusiones de entidades</w:t>
                  </w:r>
                  <w:r w:rsidR="002E4B96">
                    <w:rPr>
                      <w:b/>
                      <w:lang w:val="es-SV"/>
                    </w:rPr>
                    <w:t xml:space="preserve"> (Autorización </w:t>
                  </w:r>
                  <w:r w:rsidR="00476593">
                    <w:rPr>
                      <w:b/>
                      <w:lang w:val="es-SV"/>
                    </w:rPr>
                    <w:t xml:space="preserve">del </w:t>
                  </w:r>
                  <w:r w:rsidR="002E4B96">
                    <w:rPr>
                      <w:b/>
                      <w:lang w:val="es-SV"/>
                    </w:rPr>
                    <w:t>proceso de fusión)</w:t>
                  </w:r>
                </w:p>
                <w:p w:rsidR="00F77C1E" w:rsidRDefault="00F77C1E" w:rsidP="00CF399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CB4A24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CB4A24">
        <w:rPr>
          <w:b/>
          <w:bCs/>
          <w:iCs/>
        </w:rPr>
        <w:t>Sujetos a que aplica el trámite específico:</w:t>
      </w:r>
    </w:p>
    <w:p w:rsidR="002E4B96" w:rsidRPr="00CB4A24" w:rsidRDefault="002E4B96" w:rsidP="002E4B96">
      <w:pPr>
        <w:spacing w:after="0" w:line="240" w:lineRule="auto"/>
        <w:jc w:val="both"/>
        <w:rPr>
          <w:bCs/>
          <w:iCs/>
        </w:rPr>
      </w:pPr>
      <w:r w:rsidRPr="00CB4A24">
        <w:rPr>
          <w:bCs/>
          <w:iCs/>
        </w:rPr>
        <w:t>Sociedades de Ahorro y Crédito</w:t>
      </w:r>
    </w:p>
    <w:p w:rsidR="002E4B96" w:rsidRPr="00CB4A24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CB4A24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CB4A24">
        <w:rPr>
          <w:b/>
          <w:bCs/>
          <w:iCs/>
        </w:rPr>
        <w:t xml:space="preserve">Base legal: </w:t>
      </w:r>
    </w:p>
    <w:p w:rsidR="002E4B96" w:rsidRPr="00CB4A24" w:rsidRDefault="002E4B96" w:rsidP="002E4B96">
      <w:pPr>
        <w:spacing w:after="0" w:line="240" w:lineRule="auto"/>
        <w:jc w:val="both"/>
        <w:rPr>
          <w:iCs/>
        </w:rPr>
      </w:pPr>
    </w:p>
    <w:p w:rsidR="00596B5A" w:rsidRPr="00CB4A24" w:rsidRDefault="00596B5A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CB4A24">
        <w:rPr>
          <w:iCs/>
        </w:rPr>
        <w:t>Código de Comercio: Artículos del 315 al 321.</w:t>
      </w:r>
    </w:p>
    <w:p w:rsidR="002E4B96" w:rsidRPr="00CB4A24" w:rsidRDefault="002E4B96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CB4A24">
        <w:rPr>
          <w:iCs/>
        </w:rPr>
        <w:t xml:space="preserve">Ley de Supervisión y Regulación del Sistema Financiero: Artículo 15 Literal d. </w:t>
      </w:r>
    </w:p>
    <w:p w:rsidR="00A27558" w:rsidRPr="00CB4A24" w:rsidRDefault="00A27558" w:rsidP="00A275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CB4A24">
        <w:rPr>
          <w:iCs/>
        </w:rPr>
        <w:t xml:space="preserve">Ley de Bancos Cooperativos y Sociedades de Ahorro y Crédito: </w:t>
      </w:r>
      <w:r w:rsidR="00A07497" w:rsidRPr="00CB4A24">
        <w:rPr>
          <w:iCs/>
        </w:rPr>
        <w:t>A</w:t>
      </w:r>
      <w:r w:rsidRPr="00CB4A24">
        <w:rPr>
          <w:iCs/>
        </w:rPr>
        <w:t>rt.157</w:t>
      </w:r>
    </w:p>
    <w:p w:rsidR="00A27558" w:rsidRPr="00CB4A24" w:rsidRDefault="00A27558" w:rsidP="00A275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CB4A24">
        <w:rPr>
          <w:iCs/>
        </w:rPr>
        <w:t>Ley de Bancos: Artículos 21 y 229.</w:t>
      </w:r>
    </w:p>
    <w:p w:rsidR="00A27558" w:rsidRPr="00CB4A24" w:rsidRDefault="00A27558" w:rsidP="00A275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CB4A24">
        <w:rPr>
          <w:iCs/>
        </w:rPr>
        <w:t>Ley de Competencia: Artículos 31 al 36.</w:t>
      </w:r>
    </w:p>
    <w:p w:rsidR="00F77C1E" w:rsidRPr="00CB4A24" w:rsidRDefault="00F77C1E" w:rsidP="00F77C1E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es-SV"/>
        </w:rPr>
      </w:pPr>
      <w:r w:rsidRPr="00CB4A24">
        <w:rPr>
          <w:rFonts w:eastAsia="Times New Roman" w:cs="Times New Roman"/>
          <w:lang w:eastAsia="es-SV"/>
        </w:rPr>
        <w:t xml:space="preserve">Normas para la modificación de pactos sociales de los Bancos (NPB4-34) (Arts. del </w:t>
      </w:r>
      <w:r w:rsidR="00A07497" w:rsidRPr="00CB4A24">
        <w:rPr>
          <w:rFonts w:eastAsia="Times New Roman" w:cs="Times New Roman"/>
          <w:lang w:eastAsia="es-SV"/>
        </w:rPr>
        <w:t xml:space="preserve"> </w:t>
      </w:r>
      <w:r w:rsidRPr="00CB4A24">
        <w:rPr>
          <w:rFonts w:eastAsia="Times New Roman" w:cs="Times New Roman"/>
          <w:lang w:eastAsia="es-SV"/>
        </w:rPr>
        <w:t>7 al 11).</w:t>
      </w:r>
    </w:p>
    <w:p w:rsidR="00F77C1E" w:rsidRPr="00CB4A24" w:rsidRDefault="00F77C1E" w:rsidP="00F77C1E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2E4B96" w:rsidRPr="00CB4A24" w:rsidRDefault="002E4B96" w:rsidP="002E4B96">
      <w:pPr>
        <w:spacing w:after="0" w:line="240" w:lineRule="auto"/>
        <w:jc w:val="both"/>
        <w:rPr>
          <w:iCs/>
          <w:u w:val="single"/>
        </w:rPr>
      </w:pPr>
      <w:r w:rsidRPr="00CB4A24">
        <w:rPr>
          <w:b/>
          <w:bCs/>
          <w:iCs/>
          <w:u w:val="single"/>
        </w:rPr>
        <w:t>Requisitos a presentar:</w:t>
      </w:r>
    </w:p>
    <w:p w:rsidR="002E4B96" w:rsidRPr="00CB4A24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Solicitud dirigida al Superintendente del Sistema Financiero suscrita por la persona designada para ejecutar la fusión o el Representante Legal, en la que solicite autorización de lo siguiente:</w:t>
      </w: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1"/>
          <w:numId w:val="29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CB4A24">
        <w:rPr>
          <w:rFonts w:eastAsia="Times New Roman" w:cs="Times New Roman"/>
          <w:lang w:eastAsia="es-SV"/>
        </w:rPr>
        <w:t>Llevar a cabo la fusión.</w:t>
      </w:r>
    </w:p>
    <w:p w:rsidR="00E31C61" w:rsidRPr="00CB4A24" w:rsidRDefault="00E31C61" w:rsidP="00E31C61">
      <w:pPr>
        <w:pStyle w:val="Prrafodelista"/>
        <w:numPr>
          <w:ilvl w:val="1"/>
          <w:numId w:val="29"/>
        </w:numPr>
        <w:spacing w:after="0" w:line="240" w:lineRule="auto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lang w:eastAsia="es-SV"/>
        </w:rPr>
        <w:t xml:space="preserve">Modificar la </w:t>
      </w:r>
      <w:r w:rsidR="002F20A8" w:rsidRPr="00CB4A24">
        <w:rPr>
          <w:rFonts w:eastAsia="Times New Roman" w:cs="Times New Roman"/>
          <w:lang w:eastAsia="es-SV"/>
        </w:rPr>
        <w:t>E</w:t>
      </w:r>
      <w:r w:rsidRPr="00CB4A24">
        <w:rPr>
          <w:rFonts w:eastAsia="Times New Roman" w:cs="Times New Roman"/>
          <w:lang w:eastAsia="es-SV"/>
        </w:rPr>
        <w:t xml:space="preserve">scritura del Pacto Social o </w:t>
      </w:r>
      <w:r w:rsidR="002F20A8" w:rsidRPr="00CB4A24">
        <w:rPr>
          <w:rFonts w:eastAsia="Times New Roman" w:cs="Times New Roman"/>
          <w:lang w:eastAsia="es-SV"/>
        </w:rPr>
        <w:t>E</w:t>
      </w:r>
      <w:r w:rsidRPr="00CB4A24">
        <w:rPr>
          <w:rFonts w:eastAsia="Times New Roman" w:cs="Times New Roman"/>
          <w:lang w:eastAsia="es-SV"/>
        </w:rPr>
        <w:t>statutos.</w:t>
      </w:r>
    </w:p>
    <w:p w:rsidR="00E31C61" w:rsidRPr="00CB4A24" w:rsidRDefault="00E31C61" w:rsidP="00E31C61">
      <w:pPr>
        <w:spacing w:after="0" w:line="240" w:lineRule="auto"/>
        <w:ind w:left="720"/>
        <w:jc w:val="both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 xml:space="preserve">Constancia de la inscripción de los acuerdos de Junta General Extraordinaria de Accionistas en el Registro de Comercio de la República de El Salvador. </w:t>
      </w:r>
    </w:p>
    <w:p w:rsidR="00AE4552" w:rsidRPr="00CB4A24" w:rsidRDefault="00AE4552" w:rsidP="00AE4552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Copia de las publicaciones del acuerdo de fusión inscrito y último balance auditado de las sociedades a fusionar, por una sola vez en dos diarios de circulación nacional.</w:t>
      </w:r>
    </w:p>
    <w:p w:rsidR="00AE4552" w:rsidRPr="00CB4A24" w:rsidRDefault="00AE4552" w:rsidP="00AE4552">
      <w:pPr>
        <w:pStyle w:val="Prrafodelista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 xml:space="preserve">Proyecto de la </w:t>
      </w:r>
      <w:r w:rsidR="002F20A8" w:rsidRPr="00CB4A24">
        <w:rPr>
          <w:rFonts w:eastAsia="Times New Roman" w:cs="Times New Roman"/>
          <w:color w:val="000000"/>
          <w:lang w:eastAsia="es-SV"/>
        </w:rPr>
        <w:t>E</w:t>
      </w:r>
      <w:r w:rsidRPr="00CB4A24">
        <w:rPr>
          <w:rFonts w:eastAsia="Times New Roman" w:cs="Times New Roman"/>
          <w:color w:val="000000"/>
          <w:lang w:eastAsia="es-SV"/>
        </w:rPr>
        <w:t>scritura del nuevo Pacto Social con las modificaciones por fusión de sociedades para su respectiva autorización.</w:t>
      </w:r>
    </w:p>
    <w:p w:rsidR="00AE4552" w:rsidRPr="00CB4A24" w:rsidRDefault="00AE4552" w:rsidP="00AE4552">
      <w:pPr>
        <w:pStyle w:val="Prrafodelista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Cuadro comparativo de la redacción vigente y nueva de las cláusulas a revisar en el pacto social de la sociedad absorbente.</w:t>
      </w:r>
    </w:p>
    <w:p w:rsidR="00AE4552" w:rsidRPr="00CB4A24" w:rsidRDefault="00AE4552" w:rsidP="00AE4552">
      <w:pPr>
        <w:pStyle w:val="Prrafodelista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Cuadro que contenga la situación accionaria de la entidad después de la fusión, detallando el porcentaje de participación accionaria de cada una de las entidades a fusionar, número de acciones y capital social.</w:t>
      </w:r>
    </w:p>
    <w:p w:rsidR="00AE4552" w:rsidRPr="00CB4A24" w:rsidRDefault="00AE4552" w:rsidP="00AE4552">
      <w:pPr>
        <w:pStyle w:val="Prrafodelista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Estructura organizacional del nuevo Grupo Financiero una vez se lleve a cabo la fusión, en los casos en que aplique.</w:t>
      </w:r>
    </w:p>
    <w:p w:rsidR="00AE4552" w:rsidRPr="00CB4A24" w:rsidRDefault="00AE4552" w:rsidP="00AE4552">
      <w:pPr>
        <w:pStyle w:val="Prrafodelista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proofErr w:type="gramStart"/>
      <w:r w:rsidRPr="00CB4A24">
        <w:rPr>
          <w:rFonts w:eastAsia="Times New Roman" w:cs="Times New Roman"/>
          <w:color w:val="000000"/>
          <w:lang w:eastAsia="es-SV"/>
        </w:rPr>
        <w:t>Estados Financieros proyectados de la sociedad absorbente consolidado con las sociedades</w:t>
      </w:r>
      <w:r w:rsidRPr="00CB4A24">
        <w:rPr>
          <w:rFonts w:eastAsia="Times New Roman" w:cs="Times New Roman"/>
          <w:color w:val="FF0000"/>
          <w:lang w:eastAsia="es-SV"/>
        </w:rPr>
        <w:t xml:space="preserve"> </w:t>
      </w:r>
      <w:r w:rsidRPr="00CB4A24">
        <w:rPr>
          <w:rFonts w:eastAsia="Times New Roman" w:cs="Times New Roman"/>
          <w:color w:val="000000"/>
          <w:lang w:eastAsia="es-SV"/>
        </w:rPr>
        <w:t xml:space="preserve"> absorbidas</w:t>
      </w:r>
      <w:proofErr w:type="gramEnd"/>
      <w:r w:rsidRPr="00CB4A24">
        <w:rPr>
          <w:rFonts w:eastAsia="Times New Roman" w:cs="Times New Roman"/>
          <w:color w:val="000000"/>
          <w:lang w:eastAsia="es-SV"/>
        </w:rPr>
        <w:t>.</w:t>
      </w:r>
    </w:p>
    <w:p w:rsidR="00AE4552" w:rsidRPr="00CB4A24" w:rsidRDefault="00AE4552" w:rsidP="00AE4552">
      <w:pPr>
        <w:pStyle w:val="Prrafodelista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Fondo patrimonial proyectado de la sociedad absorbente consolidado con las sociedades</w:t>
      </w:r>
      <w:r w:rsidRPr="00CB4A24">
        <w:rPr>
          <w:rFonts w:eastAsia="Times New Roman" w:cs="Times New Roman"/>
          <w:color w:val="FF0000"/>
          <w:lang w:eastAsia="es-SV"/>
        </w:rPr>
        <w:t xml:space="preserve"> </w:t>
      </w:r>
      <w:r w:rsidRPr="00CB4A24">
        <w:rPr>
          <w:rFonts w:eastAsia="Times New Roman" w:cs="Times New Roman"/>
          <w:color w:val="000000"/>
          <w:lang w:eastAsia="es-SV"/>
        </w:rPr>
        <w:t>absorbidas.</w:t>
      </w:r>
    </w:p>
    <w:p w:rsidR="00AE4552" w:rsidRPr="00CB4A24" w:rsidRDefault="00AE4552" w:rsidP="00AE4552">
      <w:pPr>
        <w:pStyle w:val="Prrafodelista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Documentación en la cual se establezca no objeción de la Casa Matriz para llevar a cabo la fusión,  en los casos que aplique.</w:t>
      </w:r>
    </w:p>
    <w:p w:rsidR="00AE4552" w:rsidRPr="00CB4A24" w:rsidRDefault="00AE4552" w:rsidP="00AE4552">
      <w:pPr>
        <w:pStyle w:val="Prrafodelista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Certificaciones emitidas por los Auditores Externos de las sociedades involucradas referentes a que el capital social se encuentra totalmente suscrito y pagado.</w:t>
      </w: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12. Detalle de los integrantes de la Comisión Liquidadora de la entidad que es absorbida o de las que se disuelven para constituir una nueva.</w:t>
      </w: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13. Publicación de la Comisión Liquidadora en el Diario Oficial y en un periódico de circulación nacional, en el que se haga saber el estado de la disolución de la entidad mencionada en el numeral anterior, y se inste a los acreedores para que se presenten ante la comisión a verificar el monto de los créditos dentro de los quince días siguientes a la última publicación.</w:t>
      </w: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14. Constancia del Órgano Judicial de la Corte Suprema de Justicia, Juzgado de lo Civil, Juzgado de lo Laboral y Juzgado de lo Mercantil, en las que conste que en el período comprendido de publicación no se encontró ningún registro de demanda presentada de oposición a la fusión.</w:t>
      </w: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15. Requerimientos tecnológicos:</w:t>
      </w: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15.1. Proceso de fusión a nivel tecnológico y validación del funcionamiento del mismo.</w:t>
      </w:r>
      <w:r w:rsidRPr="00CB4A24">
        <w:rPr>
          <w:rFonts w:eastAsia="Times New Roman" w:cs="Times New Roman"/>
          <w:color w:val="000000"/>
          <w:lang w:eastAsia="es-SV"/>
        </w:rPr>
        <w:br/>
        <w:t>15.2. Descripción de la nueva área de tecnología de información que como mínimo incluya: organigrama del área, plan estratégico, cronograma del proyecto de fusión, herramientas de seguridad, ubicación física del centro de datos y sitio alterno.</w:t>
      </w:r>
      <w:r w:rsidRPr="00CB4A24">
        <w:rPr>
          <w:rFonts w:eastAsia="Times New Roman" w:cs="Times New Roman"/>
          <w:color w:val="000000"/>
          <w:lang w:eastAsia="es-SV"/>
        </w:rPr>
        <w:br/>
        <w:t xml:space="preserve">15.3. Descripción de todos los servicios informáticos implementados incluyendo para los </w:t>
      </w:r>
      <w:proofErr w:type="spellStart"/>
      <w:r w:rsidRPr="00CB4A24">
        <w:rPr>
          <w:rFonts w:eastAsia="Times New Roman" w:cs="Times New Roman"/>
          <w:color w:val="000000"/>
          <w:lang w:eastAsia="es-SV"/>
        </w:rPr>
        <w:t>tercerizados</w:t>
      </w:r>
      <w:proofErr w:type="spellEnd"/>
      <w:r w:rsidRPr="00CB4A24">
        <w:rPr>
          <w:rFonts w:eastAsia="Times New Roman" w:cs="Times New Roman"/>
          <w:color w:val="000000"/>
          <w:lang w:eastAsia="es-SV"/>
        </w:rPr>
        <w:t>, la información del proveedor.</w:t>
      </w:r>
      <w:r w:rsidRPr="00CB4A24">
        <w:rPr>
          <w:rFonts w:eastAsia="Times New Roman" w:cs="Times New Roman"/>
          <w:color w:val="000000"/>
          <w:lang w:eastAsia="es-SV"/>
        </w:rPr>
        <w:br/>
        <w:t>15.4. Plan de contingencia:</w:t>
      </w:r>
      <w:r w:rsidRPr="00CB4A24">
        <w:rPr>
          <w:rFonts w:eastAsia="Times New Roman" w:cs="Times New Roman"/>
          <w:color w:val="000000"/>
          <w:lang w:eastAsia="es-SV"/>
        </w:rPr>
        <w:br/>
      </w:r>
      <w:r w:rsidRPr="00CB4A24">
        <w:rPr>
          <w:rFonts w:eastAsia="Times New Roman" w:cs="Times New Roman"/>
          <w:color w:val="000000"/>
          <w:lang w:eastAsia="es-SV"/>
        </w:rPr>
        <w:br/>
        <w:t>a. Análisis de Impacto en el Negocio (BIA).</w:t>
      </w:r>
      <w:r w:rsidRPr="00CB4A24">
        <w:rPr>
          <w:rFonts w:eastAsia="Times New Roman" w:cs="Times New Roman"/>
          <w:color w:val="000000"/>
          <w:lang w:eastAsia="es-SV"/>
        </w:rPr>
        <w:br/>
        <w:t>b. Plan de continuidad del Negocio (BCP).</w:t>
      </w:r>
      <w:r w:rsidRPr="00CB4A24">
        <w:rPr>
          <w:rFonts w:eastAsia="Times New Roman" w:cs="Times New Roman"/>
          <w:color w:val="000000"/>
          <w:lang w:eastAsia="es-SV"/>
        </w:rPr>
        <w:br/>
        <w:t>c. Plan de recuperación ante Desastres (DRP).</w:t>
      </w:r>
      <w:r w:rsidRPr="00CB4A24">
        <w:rPr>
          <w:rFonts w:eastAsia="Times New Roman" w:cs="Times New Roman"/>
          <w:color w:val="000000"/>
          <w:lang w:eastAsia="es-SV"/>
        </w:rPr>
        <w:br/>
      </w:r>
      <w:r w:rsidRPr="00CB4A24">
        <w:rPr>
          <w:rFonts w:eastAsia="Times New Roman" w:cs="Times New Roman"/>
          <w:color w:val="000000"/>
          <w:lang w:eastAsia="es-SV"/>
        </w:rPr>
        <w:br/>
        <w:t>15.5. Inventario de aplicaciones que se mantendrán en producción, en donde se incluya descripción y características.</w:t>
      </w:r>
      <w:r w:rsidRPr="00CB4A24">
        <w:rPr>
          <w:rFonts w:eastAsia="Times New Roman" w:cs="Times New Roman"/>
          <w:color w:val="000000"/>
          <w:lang w:eastAsia="es-SV"/>
        </w:rPr>
        <w:br/>
        <w:t>15.6. Plan de migración de datos.</w:t>
      </w:r>
      <w:r w:rsidRPr="00CB4A24">
        <w:rPr>
          <w:rFonts w:eastAsia="Times New Roman" w:cs="Times New Roman"/>
          <w:color w:val="000000"/>
          <w:lang w:eastAsia="es-SV"/>
        </w:rPr>
        <w:br/>
        <w:t>15.7. Diagramas de comunicaciones (en el que se pueda visualizar como está conformada la infraestructura de red de las entidades), que incluya los enlaces o conexiones hacia entidades externas, así como si los equipos son servidores físicos y virtuales.</w:t>
      </w:r>
      <w:r w:rsidRPr="00CB4A24">
        <w:rPr>
          <w:rFonts w:eastAsia="Times New Roman" w:cs="Times New Roman"/>
          <w:color w:val="000000"/>
          <w:lang w:eastAsia="es-SV"/>
        </w:rPr>
        <w:br/>
        <w:t>15.8. Análisis de riesgos y el sistema de gestión de seguridad de la información implementado o por implementar, que incluya como mínimo la Política de Seguridad Informática.</w:t>
      </w:r>
      <w:r w:rsidRPr="00CB4A24">
        <w:rPr>
          <w:rFonts w:eastAsia="Times New Roman" w:cs="Times New Roman"/>
          <w:color w:val="000000"/>
          <w:lang w:eastAsia="es-SV"/>
        </w:rPr>
        <w:br/>
        <w:t>15.9. Manuales y Políticas de gestión de riesgos: crédito, operacional, mercado y liquidez, LA-FT.</w:t>
      </w:r>
      <w:r w:rsidRPr="00CB4A24">
        <w:rPr>
          <w:rFonts w:eastAsia="Times New Roman" w:cs="Times New Roman"/>
          <w:color w:val="000000"/>
          <w:lang w:eastAsia="es-SV"/>
        </w:rPr>
        <w:br/>
        <w:t>15.10. Documentación de las pruebas de TI efectuadas en el proceso de fusión, así como las actas o certificación de usuario y los informes de revisión por parte de auditoría interna.</w:t>
      </w: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16. Requerimientos para prevención de lavado de dinero y financiamiento del terrorismo (LA/FT):</w:t>
      </w: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lastRenderedPageBreak/>
        <w:t>16.1. Nombramiento del Oficial de Cumplimiento aprobado por junta Directiva.</w:t>
      </w:r>
      <w:r w:rsidRPr="00CB4A24">
        <w:rPr>
          <w:rFonts w:eastAsia="Times New Roman" w:cs="Times New Roman"/>
          <w:color w:val="000000"/>
          <w:lang w:eastAsia="es-SV"/>
        </w:rPr>
        <w:br/>
        <w:t>16.2. Manual de Prevención de LA/FT aprobado por Junta Directiva.</w:t>
      </w:r>
      <w:r w:rsidRPr="00CB4A24">
        <w:rPr>
          <w:rFonts w:eastAsia="Times New Roman" w:cs="Times New Roman"/>
          <w:color w:val="000000"/>
          <w:lang w:eastAsia="es-SV"/>
        </w:rPr>
        <w:br/>
        <w:t>16.3. Manual del Sistema de Monitoreo a utilizar.</w:t>
      </w:r>
      <w:r w:rsidRPr="00CB4A24">
        <w:rPr>
          <w:rFonts w:eastAsia="Times New Roman" w:cs="Times New Roman"/>
          <w:color w:val="000000"/>
          <w:lang w:eastAsia="es-SV"/>
        </w:rPr>
        <w:br/>
        <w:t xml:space="preserve">16.4. Detalle de las alertas </w:t>
      </w:r>
      <w:proofErr w:type="spellStart"/>
      <w:r w:rsidRPr="00CB4A24">
        <w:rPr>
          <w:rFonts w:eastAsia="Times New Roman" w:cs="Times New Roman"/>
          <w:color w:val="000000"/>
          <w:lang w:eastAsia="es-SV"/>
        </w:rPr>
        <w:t>parametrizadas</w:t>
      </w:r>
      <w:proofErr w:type="spellEnd"/>
      <w:r w:rsidRPr="00CB4A24">
        <w:rPr>
          <w:rFonts w:eastAsia="Times New Roman" w:cs="Times New Roman"/>
          <w:color w:val="000000"/>
          <w:lang w:eastAsia="es-SV"/>
        </w:rPr>
        <w:t xml:space="preserve"> en el Sistema de Monitoreo.</w:t>
      </w:r>
      <w:r w:rsidRPr="00CB4A24">
        <w:rPr>
          <w:rFonts w:eastAsia="Times New Roman" w:cs="Times New Roman"/>
          <w:color w:val="000000"/>
          <w:lang w:eastAsia="es-SV"/>
        </w:rPr>
        <w:br/>
        <w:t>16.5. Detalle de productos y servicios ofrecidos al público.</w:t>
      </w:r>
      <w:r w:rsidRPr="00CB4A24">
        <w:rPr>
          <w:rFonts w:eastAsia="Times New Roman" w:cs="Times New Roman"/>
          <w:color w:val="000000"/>
          <w:lang w:eastAsia="es-SV"/>
        </w:rPr>
        <w:br/>
        <w:t>16.6. Programa de capacitaciones en materia de LA/FT.</w:t>
      </w:r>
    </w:p>
    <w:p w:rsidR="002F20A8" w:rsidRPr="00CB4A24" w:rsidRDefault="002F20A8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</w:p>
    <w:p w:rsidR="00E31C61" w:rsidRPr="00CB4A24" w:rsidRDefault="00E31C61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17. Detalle del número de agencias y/o establecimientos, cajeros automáticos y número de empleados  de las entidades antes y después de la fusión.</w:t>
      </w:r>
    </w:p>
    <w:p w:rsidR="002F20A8" w:rsidRPr="00CB4A24" w:rsidRDefault="002F20A8" w:rsidP="00E31C61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</w:p>
    <w:p w:rsidR="0038622E" w:rsidRPr="00CB4A24" w:rsidRDefault="00E31C61" w:rsidP="002F20A8">
      <w:pPr>
        <w:spacing w:after="0" w:line="240" w:lineRule="auto"/>
        <w:rPr>
          <w:rFonts w:eastAsia="Times New Roman" w:cs="Times New Roman"/>
          <w:color w:val="000000"/>
          <w:lang w:eastAsia="es-SV"/>
        </w:rPr>
      </w:pPr>
      <w:r w:rsidRPr="00CB4A24">
        <w:rPr>
          <w:rFonts w:eastAsia="Times New Roman" w:cs="Times New Roman"/>
          <w:color w:val="000000"/>
          <w:lang w:eastAsia="es-SV"/>
        </w:rPr>
        <w:t>18. Detallar el proceso de cambio de imagen y sustitución de papelería si es procedente.</w:t>
      </w:r>
    </w:p>
    <w:sectPr w:rsidR="0038622E" w:rsidRPr="00CB4A24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8C2" w:rsidRDefault="00AC68C2" w:rsidP="00BB082E">
      <w:pPr>
        <w:spacing w:after="0" w:line="240" w:lineRule="auto"/>
      </w:pPr>
      <w:r>
        <w:separator/>
      </w:r>
    </w:p>
  </w:endnote>
  <w:endnote w:type="continuationSeparator" w:id="0">
    <w:p w:rsidR="00AC68C2" w:rsidRDefault="00AC68C2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651122" w:rsidP="00555371">
        <w:pPr>
          <w:pStyle w:val="Piedepgina"/>
          <w:jc w:val="right"/>
        </w:pPr>
        <w:fldSimple w:instr=" PAGE   \* MERGEFORMAT ">
          <w:r w:rsidR="00CB4A2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8C2" w:rsidRDefault="00AC68C2" w:rsidP="00BB082E">
      <w:pPr>
        <w:spacing w:after="0" w:line="240" w:lineRule="auto"/>
      </w:pPr>
      <w:r>
        <w:separator/>
      </w:r>
    </w:p>
  </w:footnote>
  <w:footnote w:type="continuationSeparator" w:id="0">
    <w:p w:rsidR="00AC68C2" w:rsidRDefault="00AC68C2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63487"/>
    <w:multiLevelType w:val="multilevel"/>
    <w:tmpl w:val="CFBA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3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1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4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5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21"/>
  </w:num>
  <w:num w:numId="5">
    <w:abstractNumId w:val="22"/>
  </w:num>
  <w:num w:numId="6">
    <w:abstractNumId w:val="4"/>
  </w:num>
  <w:num w:numId="7">
    <w:abstractNumId w:val="17"/>
  </w:num>
  <w:num w:numId="8">
    <w:abstractNumId w:val="28"/>
  </w:num>
  <w:num w:numId="9">
    <w:abstractNumId w:val="16"/>
  </w:num>
  <w:num w:numId="10">
    <w:abstractNumId w:val="23"/>
  </w:num>
  <w:num w:numId="11">
    <w:abstractNumId w:val="7"/>
  </w:num>
  <w:num w:numId="12">
    <w:abstractNumId w:val="19"/>
  </w:num>
  <w:num w:numId="13">
    <w:abstractNumId w:val="24"/>
  </w:num>
  <w:num w:numId="14">
    <w:abstractNumId w:val="20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25"/>
  </w:num>
  <w:num w:numId="20">
    <w:abstractNumId w:val="3"/>
  </w:num>
  <w:num w:numId="21">
    <w:abstractNumId w:val="0"/>
  </w:num>
  <w:num w:numId="22">
    <w:abstractNumId w:val="13"/>
  </w:num>
  <w:num w:numId="23">
    <w:abstractNumId w:val="6"/>
  </w:num>
  <w:num w:numId="24">
    <w:abstractNumId w:val="27"/>
  </w:num>
  <w:num w:numId="25">
    <w:abstractNumId w:val="15"/>
  </w:num>
  <w:num w:numId="26">
    <w:abstractNumId w:val="2"/>
  </w:num>
  <w:num w:numId="27">
    <w:abstractNumId w:val="1"/>
  </w:num>
  <w:num w:numId="28">
    <w:abstractNumId w:val="5"/>
  </w:num>
  <w:num w:numId="29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7000"/>
    <w:rsid w:val="000724E5"/>
    <w:rsid w:val="000830FE"/>
    <w:rsid w:val="00085DE2"/>
    <w:rsid w:val="00094789"/>
    <w:rsid w:val="00095B89"/>
    <w:rsid w:val="000A4DD8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100F5E"/>
    <w:rsid w:val="00101920"/>
    <w:rsid w:val="00116850"/>
    <w:rsid w:val="00125FEF"/>
    <w:rsid w:val="0013243B"/>
    <w:rsid w:val="00137226"/>
    <w:rsid w:val="00163375"/>
    <w:rsid w:val="001717D4"/>
    <w:rsid w:val="00174775"/>
    <w:rsid w:val="001858E5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40322"/>
    <w:rsid w:val="0024436B"/>
    <w:rsid w:val="002458E6"/>
    <w:rsid w:val="00246941"/>
    <w:rsid w:val="00271532"/>
    <w:rsid w:val="00282EF5"/>
    <w:rsid w:val="002960E2"/>
    <w:rsid w:val="002A48A9"/>
    <w:rsid w:val="002B165A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F20A8"/>
    <w:rsid w:val="002F4092"/>
    <w:rsid w:val="0032185E"/>
    <w:rsid w:val="00326063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A1295"/>
    <w:rsid w:val="003A22DB"/>
    <w:rsid w:val="003A4D88"/>
    <w:rsid w:val="003B54E6"/>
    <w:rsid w:val="003B5AB8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7053"/>
    <w:rsid w:val="00424EB7"/>
    <w:rsid w:val="004433ED"/>
    <w:rsid w:val="00445E93"/>
    <w:rsid w:val="004525A5"/>
    <w:rsid w:val="0045360D"/>
    <w:rsid w:val="0046395C"/>
    <w:rsid w:val="004710A6"/>
    <w:rsid w:val="00476593"/>
    <w:rsid w:val="00480E29"/>
    <w:rsid w:val="00483C75"/>
    <w:rsid w:val="00497400"/>
    <w:rsid w:val="004A2E25"/>
    <w:rsid w:val="004A4648"/>
    <w:rsid w:val="004B0442"/>
    <w:rsid w:val="004B114D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55371"/>
    <w:rsid w:val="00561EBC"/>
    <w:rsid w:val="00567B55"/>
    <w:rsid w:val="00570C76"/>
    <w:rsid w:val="005719A4"/>
    <w:rsid w:val="00576488"/>
    <w:rsid w:val="00584C9D"/>
    <w:rsid w:val="00586589"/>
    <w:rsid w:val="005967BB"/>
    <w:rsid w:val="00596B36"/>
    <w:rsid w:val="00596B5A"/>
    <w:rsid w:val="005A719C"/>
    <w:rsid w:val="005C7839"/>
    <w:rsid w:val="005D139C"/>
    <w:rsid w:val="005F028A"/>
    <w:rsid w:val="005F0ABF"/>
    <w:rsid w:val="006068A5"/>
    <w:rsid w:val="006117C0"/>
    <w:rsid w:val="00613C6C"/>
    <w:rsid w:val="0061701F"/>
    <w:rsid w:val="00624905"/>
    <w:rsid w:val="00625192"/>
    <w:rsid w:val="006404C6"/>
    <w:rsid w:val="00651122"/>
    <w:rsid w:val="00651646"/>
    <w:rsid w:val="00652E61"/>
    <w:rsid w:val="00664C79"/>
    <w:rsid w:val="00667811"/>
    <w:rsid w:val="00692CA5"/>
    <w:rsid w:val="00692F9D"/>
    <w:rsid w:val="006950D4"/>
    <w:rsid w:val="006B08B1"/>
    <w:rsid w:val="006B0A67"/>
    <w:rsid w:val="006B1F02"/>
    <w:rsid w:val="006B435F"/>
    <w:rsid w:val="006C2209"/>
    <w:rsid w:val="006C6B88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76EAD"/>
    <w:rsid w:val="007903A7"/>
    <w:rsid w:val="007A7323"/>
    <w:rsid w:val="007C11C6"/>
    <w:rsid w:val="007C395A"/>
    <w:rsid w:val="007D4728"/>
    <w:rsid w:val="007D6C6E"/>
    <w:rsid w:val="00806841"/>
    <w:rsid w:val="00816A27"/>
    <w:rsid w:val="00817CC7"/>
    <w:rsid w:val="00831E77"/>
    <w:rsid w:val="0084521A"/>
    <w:rsid w:val="0084650A"/>
    <w:rsid w:val="008560E0"/>
    <w:rsid w:val="008660FE"/>
    <w:rsid w:val="00867326"/>
    <w:rsid w:val="008766C2"/>
    <w:rsid w:val="0088610B"/>
    <w:rsid w:val="008B1746"/>
    <w:rsid w:val="008B317C"/>
    <w:rsid w:val="008C2C2B"/>
    <w:rsid w:val="008C4AD8"/>
    <w:rsid w:val="008C54F1"/>
    <w:rsid w:val="008D0833"/>
    <w:rsid w:val="008D71BD"/>
    <w:rsid w:val="008E14D3"/>
    <w:rsid w:val="008F0320"/>
    <w:rsid w:val="00904C5E"/>
    <w:rsid w:val="00907BA0"/>
    <w:rsid w:val="00910FA1"/>
    <w:rsid w:val="00913512"/>
    <w:rsid w:val="0092027A"/>
    <w:rsid w:val="00921529"/>
    <w:rsid w:val="009350E1"/>
    <w:rsid w:val="0094171F"/>
    <w:rsid w:val="009469D2"/>
    <w:rsid w:val="009554E7"/>
    <w:rsid w:val="009708FC"/>
    <w:rsid w:val="00974077"/>
    <w:rsid w:val="0097580C"/>
    <w:rsid w:val="00985171"/>
    <w:rsid w:val="009A429C"/>
    <w:rsid w:val="009A42EF"/>
    <w:rsid w:val="009C675C"/>
    <w:rsid w:val="009D0C38"/>
    <w:rsid w:val="009D634A"/>
    <w:rsid w:val="009F1DBB"/>
    <w:rsid w:val="00A07497"/>
    <w:rsid w:val="00A20F2E"/>
    <w:rsid w:val="00A248DB"/>
    <w:rsid w:val="00A27558"/>
    <w:rsid w:val="00A41E10"/>
    <w:rsid w:val="00A54B93"/>
    <w:rsid w:val="00A57068"/>
    <w:rsid w:val="00A57FAF"/>
    <w:rsid w:val="00A65C83"/>
    <w:rsid w:val="00A6619E"/>
    <w:rsid w:val="00A8371B"/>
    <w:rsid w:val="00A93225"/>
    <w:rsid w:val="00AA215B"/>
    <w:rsid w:val="00AA289E"/>
    <w:rsid w:val="00AC23D0"/>
    <w:rsid w:val="00AC4D71"/>
    <w:rsid w:val="00AC68C2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753A"/>
    <w:rsid w:val="00B34CB1"/>
    <w:rsid w:val="00B36CF5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A4E6F"/>
    <w:rsid w:val="00BB082E"/>
    <w:rsid w:val="00BE154B"/>
    <w:rsid w:val="00BE6C77"/>
    <w:rsid w:val="00C00136"/>
    <w:rsid w:val="00C06E2A"/>
    <w:rsid w:val="00C07FA1"/>
    <w:rsid w:val="00C1238A"/>
    <w:rsid w:val="00C538DA"/>
    <w:rsid w:val="00C54DEF"/>
    <w:rsid w:val="00C553BA"/>
    <w:rsid w:val="00C62CDD"/>
    <w:rsid w:val="00C726F4"/>
    <w:rsid w:val="00C75097"/>
    <w:rsid w:val="00C86172"/>
    <w:rsid w:val="00C87B9E"/>
    <w:rsid w:val="00CA0A2C"/>
    <w:rsid w:val="00CB039F"/>
    <w:rsid w:val="00CB4A24"/>
    <w:rsid w:val="00CC4A10"/>
    <w:rsid w:val="00CD07A1"/>
    <w:rsid w:val="00CD36A4"/>
    <w:rsid w:val="00CD6EF2"/>
    <w:rsid w:val="00CE6A65"/>
    <w:rsid w:val="00CE72B9"/>
    <w:rsid w:val="00CE7411"/>
    <w:rsid w:val="00CF399E"/>
    <w:rsid w:val="00D14E87"/>
    <w:rsid w:val="00D26D97"/>
    <w:rsid w:val="00D37ED9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D004E"/>
    <w:rsid w:val="00DD2975"/>
    <w:rsid w:val="00DD51C4"/>
    <w:rsid w:val="00DD5B91"/>
    <w:rsid w:val="00DE1626"/>
    <w:rsid w:val="00DF2E41"/>
    <w:rsid w:val="00DF5756"/>
    <w:rsid w:val="00E247E4"/>
    <w:rsid w:val="00E31C61"/>
    <w:rsid w:val="00E4399C"/>
    <w:rsid w:val="00E45DA9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F01531"/>
    <w:rsid w:val="00F03907"/>
    <w:rsid w:val="00F10C9F"/>
    <w:rsid w:val="00F1461A"/>
    <w:rsid w:val="00F16B62"/>
    <w:rsid w:val="00F1722F"/>
    <w:rsid w:val="00F2223A"/>
    <w:rsid w:val="00F30A42"/>
    <w:rsid w:val="00F41C0B"/>
    <w:rsid w:val="00F46EEF"/>
    <w:rsid w:val="00F47739"/>
    <w:rsid w:val="00F519F3"/>
    <w:rsid w:val="00F5239C"/>
    <w:rsid w:val="00F610C5"/>
    <w:rsid w:val="00F616B2"/>
    <w:rsid w:val="00F61BD7"/>
    <w:rsid w:val="00F62C0E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C2643"/>
    <w:rsid w:val="00FD4BAD"/>
    <w:rsid w:val="00FE0CF5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1B15D-373A-474C-9886-DE1A7A98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5</cp:revision>
  <cp:lastPrinted>2014-09-02T16:41:00Z</cp:lastPrinted>
  <dcterms:created xsi:type="dcterms:W3CDTF">2018-06-13T16:24:00Z</dcterms:created>
  <dcterms:modified xsi:type="dcterms:W3CDTF">2018-06-20T21:40:00Z</dcterms:modified>
</cp:coreProperties>
</file>