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E40D8C" w:rsidP="000D1183">
      <w:pPr>
        <w:rPr>
          <w:lang w:val="es-SV"/>
        </w:rPr>
      </w:pPr>
      <w:r>
        <w:rPr>
          <w:noProof/>
          <w:lang w:val="es-SV" w:eastAsia="es-SV"/>
        </w:rPr>
        <w:pict>
          <v:roundrect id="_x0000_s1026" style="position:absolute;margin-left:-25.35pt;margin-top:10.3pt;width:489.15pt;height:104.7pt;z-index:251658240" arcsize="10923f">
            <v:textbox style="mso-next-textbox:#_x0000_s1026">
              <w:txbxContent>
                <w:p w:rsidR="00E97CF6" w:rsidRDefault="00E97CF6" w:rsidP="002E4B96">
                  <w:pPr>
                    <w:spacing w:after="0" w:line="240" w:lineRule="auto"/>
                    <w:jc w:val="center"/>
                    <w:rPr>
                      <w:b/>
                      <w:lang w:val="es-SV"/>
                    </w:rPr>
                  </w:pPr>
                  <w:r w:rsidRPr="00A8750D">
                    <w:rPr>
                      <w:b/>
                      <w:lang w:val="es-SV"/>
                    </w:rPr>
                    <w:t>SAC-</w:t>
                  </w:r>
                  <w:r w:rsidR="00C52EE9">
                    <w:rPr>
                      <w:b/>
                      <w:lang w:val="es-SV"/>
                    </w:rPr>
                    <w:t>0</w:t>
                  </w:r>
                  <w:r w:rsidRPr="00A8750D">
                    <w:rPr>
                      <w:b/>
                      <w:lang w:val="es-SV"/>
                    </w:rPr>
                    <w:t>12</w:t>
                  </w:r>
                </w:p>
                <w:p w:rsidR="00E97CF6" w:rsidRPr="00A8750D" w:rsidRDefault="00E97CF6" w:rsidP="00A8750D">
                  <w:pPr>
                    <w:spacing w:after="0" w:line="240" w:lineRule="auto"/>
                    <w:rPr>
                      <w:b/>
                      <w:lang w:val="es-SV"/>
                    </w:rPr>
                  </w:pPr>
                  <w:r w:rsidRPr="00CF399E">
                    <w:rPr>
                      <w:b/>
                      <w:lang w:val="es-SV"/>
                    </w:rPr>
                    <w:t>Tipo de Trámite:</w:t>
                  </w:r>
                  <w:r>
                    <w:rPr>
                      <w:b/>
                      <w:lang w:val="es-SV"/>
                    </w:rPr>
                    <w:t xml:space="preserve"> No</w:t>
                  </w:r>
                  <w:r w:rsidRPr="00A8750D">
                    <w:rPr>
                      <w:b/>
                      <w:lang w:val="es-SV"/>
                    </w:rPr>
                    <w:t xml:space="preserve"> objeción para </w:t>
                  </w:r>
                  <w:r>
                    <w:rPr>
                      <w:b/>
                      <w:lang w:val="es-SV"/>
                    </w:rPr>
                    <w:t>A</w:t>
                  </w:r>
                  <w:r w:rsidRPr="00A8750D">
                    <w:rPr>
                      <w:b/>
                      <w:lang w:val="es-SV"/>
                    </w:rPr>
                    <w:t xml:space="preserve">fectación de </w:t>
                  </w:r>
                  <w:r>
                    <w:rPr>
                      <w:b/>
                      <w:lang w:val="es-SV"/>
                    </w:rPr>
                    <w:t>A</w:t>
                  </w:r>
                  <w:r w:rsidRPr="00A8750D">
                    <w:rPr>
                      <w:b/>
                      <w:lang w:val="es-SV"/>
                    </w:rPr>
                    <w:t>ctivos</w:t>
                  </w:r>
                </w:p>
                <w:p w:rsidR="00E97CF6" w:rsidRPr="00827373" w:rsidRDefault="00E97CF6" w:rsidP="00827373">
                  <w:pPr>
                    <w:spacing w:after="0" w:line="240" w:lineRule="auto"/>
                    <w:rPr>
                      <w:b/>
                      <w:lang w:val="es-SV"/>
                    </w:rPr>
                  </w:pPr>
                </w:p>
                <w:p w:rsidR="00E97CF6" w:rsidRPr="00CF399E" w:rsidRDefault="00E97CF6" w:rsidP="00CF399E">
                  <w:pPr>
                    <w:spacing w:after="0" w:line="240" w:lineRule="auto"/>
                    <w:jc w:val="both"/>
                    <w:rPr>
                      <w:bCs/>
                      <w:iCs/>
                    </w:rPr>
                  </w:pPr>
                  <w:r w:rsidRPr="00CF399E">
                    <w:rPr>
                      <w:lang w:val="es-SV"/>
                    </w:rPr>
                    <w:t xml:space="preserve">Subsistemas a que aplica:           </w:t>
                  </w:r>
                  <w:r w:rsidRPr="00CF399E">
                    <w:rPr>
                      <w:bCs/>
                      <w:iCs/>
                    </w:rPr>
                    <w:t>Sociedades de Ahorro y Crédito</w:t>
                  </w:r>
                </w:p>
                <w:p w:rsidR="00E97CF6" w:rsidRDefault="00E97CF6" w:rsidP="00E93A61">
                  <w:pPr>
                    <w:spacing w:after="0" w:line="240" w:lineRule="auto"/>
                    <w:rPr>
                      <w:lang w:val="es-SV"/>
                    </w:rPr>
                  </w:pPr>
                  <w:r w:rsidRPr="00CF399E">
                    <w:rPr>
                      <w:lang w:val="es-SV"/>
                    </w:rPr>
                    <w:t xml:space="preserve">Fecha de creación:             </w:t>
                  </w:r>
                  <w:r>
                    <w:rPr>
                      <w:lang w:val="es-SV"/>
                    </w:rPr>
                    <w:t xml:space="preserve">           18/09/2014</w:t>
                  </w:r>
                </w:p>
                <w:p w:rsidR="00E97CF6" w:rsidRPr="00750D28" w:rsidRDefault="00E97CF6" w:rsidP="00DA2889">
                  <w:pPr>
                    <w:spacing w:after="0" w:line="240" w:lineRule="auto"/>
                    <w:rPr>
                      <w:lang w:val="es-SV"/>
                    </w:rPr>
                  </w:pPr>
                  <w:r w:rsidRPr="00CF399E">
                    <w:rPr>
                      <w:lang w:val="es-SV"/>
                    </w:rPr>
                    <w:t xml:space="preserve">Fecha de última modificación:   </w:t>
                  </w:r>
                  <w:r>
                    <w:rPr>
                      <w:lang w:val="es-SV"/>
                    </w:rPr>
                    <w:t xml:space="preserve"> </w:t>
                  </w:r>
                  <w:r w:rsidRPr="00750D28">
                    <w:rPr>
                      <w:lang w:val="es-SV"/>
                    </w:rPr>
                    <w:t>12/02/2019</w:t>
                  </w: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Pr="00417A5E" w:rsidRDefault="002E4B96" w:rsidP="002E4B96">
      <w:pPr>
        <w:spacing w:after="0" w:line="240" w:lineRule="auto"/>
        <w:jc w:val="both"/>
        <w:rPr>
          <w:b/>
          <w:bCs/>
          <w:iCs/>
        </w:rPr>
      </w:pPr>
      <w:r w:rsidRPr="00417A5E">
        <w:rPr>
          <w:b/>
          <w:bCs/>
          <w:iCs/>
        </w:rPr>
        <w:t>Sujetos a que aplica el trámite específico:</w:t>
      </w:r>
    </w:p>
    <w:p w:rsidR="002E4B96" w:rsidRPr="00417A5E" w:rsidRDefault="002E4B96" w:rsidP="002E4B96">
      <w:pPr>
        <w:spacing w:after="0" w:line="240" w:lineRule="auto"/>
        <w:jc w:val="both"/>
        <w:rPr>
          <w:bCs/>
          <w:iCs/>
        </w:rPr>
      </w:pPr>
      <w:r w:rsidRPr="00417A5E">
        <w:rPr>
          <w:bCs/>
          <w:iCs/>
        </w:rPr>
        <w:t>Sociedades de Ahorro y Crédito</w:t>
      </w:r>
    </w:p>
    <w:p w:rsidR="002E4B96" w:rsidRPr="00417A5E" w:rsidRDefault="002E4B96" w:rsidP="002E4B96">
      <w:pPr>
        <w:spacing w:after="0" w:line="240" w:lineRule="auto"/>
        <w:jc w:val="both"/>
        <w:rPr>
          <w:b/>
          <w:bCs/>
          <w:iCs/>
        </w:rPr>
      </w:pPr>
    </w:p>
    <w:p w:rsidR="002E4B96" w:rsidRPr="00417A5E" w:rsidRDefault="002E4B96" w:rsidP="002E4B96">
      <w:pPr>
        <w:spacing w:after="0" w:line="240" w:lineRule="auto"/>
        <w:jc w:val="both"/>
        <w:rPr>
          <w:b/>
          <w:bCs/>
          <w:iCs/>
        </w:rPr>
      </w:pPr>
      <w:r w:rsidRPr="00417A5E">
        <w:rPr>
          <w:b/>
          <w:bCs/>
          <w:iCs/>
        </w:rPr>
        <w:t xml:space="preserve">Base legal: </w:t>
      </w:r>
    </w:p>
    <w:p w:rsidR="002E4B96" w:rsidRPr="00417A5E" w:rsidRDefault="002E4B96" w:rsidP="002E4B96">
      <w:pPr>
        <w:spacing w:after="0" w:line="240" w:lineRule="auto"/>
        <w:jc w:val="both"/>
        <w:rPr>
          <w:iCs/>
        </w:rPr>
      </w:pPr>
    </w:p>
    <w:p w:rsidR="00A8750D" w:rsidRPr="00417A5E" w:rsidRDefault="00A8750D" w:rsidP="00A8750D">
      <w:pPr>
        <w:pStyle w:val="Prrafodelista"/>
        <w:numPr>
          <w:ilvl w:val="0"/>
          <w:numId w:val="3"/>
        </w:numPr>
        <w:spacing w:after="0" w:line="240" w:lineRule="auto"/>
        <w:jc w:val="both"/>
        <w:rPr>
          <w:iCs/>
        </w:rPr>
      </w:pPr>
      <w:r w:rsidRPr="00417A5E">
        <w:rPr>
          <w:iCs/>
        </w:rPr>
        <w:t>Ley de Bancos</w:t>
      </w:r>
      <w:r w:rsidR="00664741">
        <w:rPr>
          <w:iCs/>
        </w:rPr>
        <w:t>:</w:t>
      </w:r>
      <w:r w:rsidRPr="00417A5E">
        <w:rPr>
          <w:iCs/>
        </w:rPr>
        <w:t xml:space="preserve"> </w:t>
      </w:r>
      <w:r w:rsidR="00664741">
        <w:rPr>
          <w:iCs/>
        </w:rPr>
        <w:t>A</w:t>
      </w:r>
      <w:r w:rsidR="000F7610">
        <w:rPr>
          <w:iCs/>
        </w:rPr>
        <w:t>rtículo 57.</w:t>
      </w:r>
    </w:p>
    <w:p w:rsidR="00A8750D" w:rsidRPr="00417A5E" w:rsidRDefault="00A8750D" w:rsidP="00A8750D">
      <w:pPr>
        <w:pStyle w:val="Prrafodelista"/>
        <w:numPr>
          <w:ilvl w:val="0"/>
          <w:numId w:val="3"/>
        </w:numPr>
        <w:spacing w:after="0" w:line="240" w:lineRule="auto"/>
        <w:jc w:val="both"/>
        <w:rPr>
          <w:iCs/>
        </w:rPr>
      </w:pPr>
      <w:r w:rsidRPr="00417A5E">
        <w:rPr>
          <w:iCs/>
        </w:rPr>
        <w:t>Ley de Bancos Cooperativos y Sociedades de Ahorro y Crédito</w:t>
      </w:r>
      <w:r w:rsidR="00664741">
        <w:rPr>
          <w:iCs/>
        </w:rPr>
        <w:t xml:space="preserve">: </w:t>
      </w:r>
      <w:r w:rsidR="007567FA" w:rsidRPr="00417A5E">
        <w:rPr>
          <w:iCs/>
        </w:rPr>
        <w:t>A</w:t>
      </w:r>
      <w:r w:rsidRPr="00417A5E">
        <w:rPr>
          <w:iCs/>
        </w:rPr>
        <w:t>rt</w:t>
      </w:r>
      <w:r w:rsidR="007567FA" w:rsidRPr="00417A5E">
        <w:rPr>
          <w:iCs/>
        </w:rPr>
        <w:t>s</w:t>
      </w:r>
      <w:r w:rsidRPr="00417A5E">
        <w:rPr>
          <w:iCs/>
        </w:rPr>
        <w:t>. 155 y 157</w:t>
      </w:r>
      <w:r w:rsidR="000F7610">
        <w:rPr>
          <w:iCs/>
        </w:rPr>
        <w:t>.</w:t>
      </w:r>
    </w:p>
    <w:p w:rsidR="00664741" w:rsidRDefault="00664741" w:rsidP="00A8750D">
      <w:pPr>
        <w:pStyle w:val="Prrafodelista"/>
        <w:numPr>
          <w:ilvl w:val="0"/>
          <w:numId w:val="3"/>
        </w:numPr>
        <w:spacing w:after="0" w:line="240" w:lineRule="auto"/>
        <w:jc w:val="both"/>
        <w:rPr>
          <w:iCs/>
        </w:rPr>
      </w:pPr>
      <w:r>
        <w:rPr>
          <w:iCs/>
        </w:rPr>
        <w:t>NCB-022 Normas para Clasificar los Activos de Riesgo Crediticio y Constituir las Reservas de Saneamiento.</w:t>
      </w:r>
    </w:p>
    <w:p w:rsidR="00664741" w:rsidRDefault="00664741" w:rsidP="00A8750D">
      <w:pPr>
        <w:pStyle w:val="Prrafodelista"/>
        <w:numPr>
          <w:ilvl w:val="0"/>
          <w:numId w:val="3"/>
        </w:numPr>
        <w:spacing w:after="0" w:line="240" w:lineRule="auto"/>
        <w:jc w:val="both"/>
        <w:rPr>
          <w:iCs/>
        </w:rPr>
      </w:pPr>
      <w:r>
        <w:rPr>
          <w:iCs/>
        </w:rPr>
        <w:t xml:space="preserve">RCTG-32/2010 Regulaciones para el </w:t>
      </w:r>
      <w:r w:rsidR="004A578E">
        <w:rPr>
          <w:iCs/>
        </w:rPr>
        <w:t>M</w:t>
      </w:r>
      <w:r>
        <w:rPr>
          <w:iCs/>
        </w:rPr>
        <w:t xml:space="preserve">anejo de la </w:t>
      </w:r>
      <w:r w:rsidR="004A578E">
        <w:rPr>
          <w:iCs/>
        </w:rPr>
        <w:t>G</w:t>
      </w:r>
      <w:r>
        <w:rPr>
          <w:iCs/>
        </w:rPr>
        <w:t xml:space="preserve">arantía de las </w:t>
      </w:r>
      <w:r w:rsidR="004A578E">
        <w:rPr>
          <w:iCs/>
        </w:rPr>
        <w:t>E</w:t>
      </w:r>
      <w:r>
        <w:rPr>
          <w:iCs/>
        </w:rPr>
        <w:t xml:space="preserve">misiones de </w:t>
      </w:r>
      <w:r w:rsidR="004A578E">
        <w:rPr>
          <w:iCs/>
        </w:rPr>
        <w:t>V</w:t>
      </w:r>
      <w:r>
        <w:rPr>
          <w:iCs/>
        </w:rPr>
        <w:t xml:space="preserve">alores de </w:t>
      </w:r>
      <w:r w:rsidR="004A578E">
        <w:rPr>
          <w:iCs/>
        </w:rPr>
        <w:t>D</w:t>
      </w:r>
      <w:r>
        <w:rPr>
          <w:iCs/>
        </w:rPr>
        <w:t xml:space="preserve">euda cuando esta se </w:t>
      </w:r>
      <w:r w:rsidR="004A578E">
        <w:rPr>
          <w:iCs/>
        </w:rPr>
        <w:t>C</w:t>
      </w:r>
      <w:r>
        <w:rPr>
          <w:iCs/>
        </w:rPr>
        <w:t xml:space="preserve">onstituya con </w:t>
      </w:r>
      <w:r w:rsidR="004A578E">
        <w:rPr>
          <w:iCs/>
        </w:rPr>
        <w:t>P</w:t>
      </w:r>
      <w:r>
        <w:rPr>
          <w:iCs/>
        </w:rPr>
        <w:t xml:space="preserve">réstamos </w:t>
      </w:r>
      <w:r w:rsidR="004A578E">
        <w:rPr>
          <w:iCs/>
        </w:rPr>
        <w:t>H</w:t>
      </w:r>
      <w:r>
        <w:rPr>
          <w:iCs/>
        </w:rPr>
        <w:t>ipotecarios.</w:t>
      </w:r>
    </w:p>
    <w:p w:rsidR="00CF6881" w:rsidRDefault="00CF6881" w:rsidP="00A8750D">
      <w:pPr>
        <w:pStyle w:val="Prrafodelista"/>
        <w:numPr>
          <w:ilvl w:val="0"/>
          <w:numId w:val="3"/>
        </w:numPr>
        <w:spacing w:after="0" w:line="240" w:lineRule="auto"/>
        <w:jc w:val="both"/>
        <w:rPr>
          <w:iCs/>
        </w:rPr>
      </w:pPr>
      <w:r>
        <w:rPr>
          <w:iCs/>
        </w:rPr>
        <w:t>NRP-10 Normas Técnicas para la Autorización y Registro de Emisores y Emisiones de Valores de Oferta Pública.</w:t>
      </w:r>
    </w:p>
    <w:p w:rsidR="00A8750D" w:rsidRPr="00C52EE9" w:rsidRDefault="00A8750D" w:rsidP="00A8750D">
      <w:pPr>
        <w:pStyle w:val="Prrafodelista"/>
        <w:numPr>
          <w:ilvl w:val="0"/>
          <w:numId w:val="3"/>
        </w:numPr>
        <w:spacing w:after="0" w:line="240" w:lineRule="auto"/>
        <w:jc w:val="both"/>
        <w:rPr>
          <w:iCs/>
          <w:lang w:val="es-SV"/>
        </w:rPr>
      </w:pPr>
      <w:r w:rsidRPr="00C52EE9">
        <w:rPr>
          <w:iCs/>
        </w:rPr>
        <w:t>Circular</w:t>
      </w:r>
      <w:r w:rsidR="00750D28" w:rsidRPr="00C52EE9">
        <w:rPr>
          <w:iCs/>
        </w:rPr>
        <w:t xml:space="preserve"> vigente sobre afectación de activos, del 2019</w:t>
      </w:r>
      <w:r w:rsidR="005B2EF1" w:rsidRPr="00C52EE9">
        <w:rPr>
          <w:iCs/>
          <w:lang w:val="es-SV"/>
        </w:rPr>
        <w:t>.</w:t>
      </w:r>
    </w:p>
    <w:p w:rsidR="00F77C1E" w:rsidRPr="00750D28" w:rsidRDefault="00F77C1E" w:rsidP="00F77C1E">
      <w:pPr>
        <w:pStyle w:val="Prrafodelista"/>
        <w:spacing w:after="0" w:line="240" w:lineRule="auto"/>
        <w:rPr>
          <w:rFonts w:eastAsia="Times New Roman" w:cs="Times New Roman"/>
          <w:lang w:val="es-SV" w:eastAsia="es-SV"/>
        </w:rPr>
      </w:pPr>
    </w:p>
    <w:p w:rsidR="002E4B96" w:rsidRPr="00417A5E" w:rsidRDefault="002E4B96" w:rsidP="002E4B96">
      <w:pPr>
        <w:spacing w:after="0" w:line="240" w:lineRule="auto"/>
        <w:jc w:val="both"/>
        <w:rPr>
          <w:iCs/>
          <w:u w:val="single"/>
        </w:rPr>
      </w:pPr>
      <w:r w:rsidRPr="00417A5E">
        <w:rPr>
          <w:b/>
          <w:bCs/>
          <w:iCs/>
          <w:u w:val="single"/>
        </w:rPr>
        <w:t>Requisitos a presentar:</w:t>
      </w:r>
    </w:p>
    <w:p w:rsidR="00B62BB8" w:rsidRPr="00417A5E" w:rsidRDefault="00EC130B" w:rsidP="00B62BB8">
      <w:pPr>
        <w:pStyle w:val="Prrafodelista"/>
        <w:numPr>
          <w:ilvl w:val="0"/>
          <w:numId w:val="33"/>
        </w:numPr>
        <w:spacing w:before="220" w:after="220" w:line="240" w:lineRule="auto"/>
        <w:ind w:left="357" w:hanging="357"/>
        <w:contextualSpacing w:val="0"/>
        <w:jc w:val="both"/>
        <w:rPr>
          <w:rFonts w:eastAsia="Times New Roman" w:cs="Times New Roman"/>
          <w:lang w:eastAsia="es-SV"/>
        </w:rPr>
      </w:pPr>
      <w:r w:rsidRPr="00EC130B">
        <w:rPr>
          <w:rFonts w:eastAsia="Times New Roman" w:cs="Times New Roman"/>
          <w:lang w:eastAsia="es-SV"/>
        </w:rPr>
        <w:t xml:space="preserve">Presentar solicitud expresa de no objeción para afectación de activos, dirigida al Superintendente del Sistema Financiero, suscrita por el Presidente o Representante Legal de la entidad.  </w:t>
      </w:r>
      <w:r w:rsidR="00B62BB8" w:rsidRPr="00B62BB8">
        <w:rPr>
          <w:rFonts w:eastAsia="Times New Roman" w:cs="Times New Roman"/>
          <w:lang w:eastAsia="es-SV"/>
        </w:rPr>
        <w:t>En el caso de emisiones de títulos de deuda con garantía de préstamos hipotecarios, con 5 días de anticipación a la fecha en que se solicite  el visto bueno de la negociación de la emisión, al  Departamento de Autorización de Emisiones de esta Superintendencia.</w:t>
      </w:r>
    </w:p>
    <w:p w:rsidR="0019090C" w:rsidRPr="00417A5E" w:rsidRDefault="0019090C" w:rsidP="0019090C">
      <w:pPr>
        <w:pStyle w:val="Prrafodelista"/>
        <w:numPr>
          <w:ilvl w:val="0"/>
          <w:numId w:val="33"/>
        </w:numPr>
        <w:spacing w:before="220" w:after="220" w:line="240" w:lineRule="auto"/>
        <w:ind w:left="357" w:hanging="357"/>
        <w:contextualSpacing w:val="0"/>
        <w:rPr>
          <w:rFonts w:eastAsia="Times New Roman" w:cs="Times New Roman"/>
          <w:lang w:eastAsia="es-SV"/>
        </w:rPr>
      </w:pPr>
      <w:r w:rsidRPr="00417A5E">
        <w:rPr>
          <w:rFonts w:eastAsia="Times New Roman" w:cs="Times New Roman"/>
          <w:lang w:eastAsia="es-SV"/>
        </w:rPr>
        <w:t>Las motivaciones para la  solicitud.</w:t>
      </w:r>
    </w:p>
    <w:p w:rsidR="0019090C" w:rsidRPr="00417A5E" w:rsidRDefault="0019090C" w:rsidP="0019090C">
      <w:pPr>
        <w:pStyle w:val="Prrafodelista"/>
        <w:numPr>
          <w:ilvl w:val="0"/>
          <w:numId w:val="33"/>
        </w:numPr>
        <w:spacing w:after="0" w:line="240" w:lineRule="auto"/>
        <w:ind w:left="357" w:hanging="357"/>
        <w:contextualSpacing w:val="0"/>
        <w:rPr>
          <w:rFonts w:eastAsia="Times New Roman" w:cs="Times New Roman"/>
          <w:lang w:eastAsia="es-SV"/>
        </w:rPr>
      </w:pPr>
      <w:r w:rsidRPr="00417A5E">
        <w:rPr>
          <w:rFonts w:eastAsia="Times New Roman" w:cs="Times New Roman"/>
          <w:lang w:eastAsia="es-SV"/>
        </w:rPr>
        <w:t xml:space="preserve">Detalle y características de los activos que </w:t>
      </w:r>
      <w:r w:rsidR="00A51EA6">
        <w:rPr>
          <w:rFonts w:eastAsia="Times New Roman" w:cs="Times New Roman"/>
          <w:lang w:eastAsia="es-SV"/>
        </w:rPr>
        <w:t>serán gravados con la operación.</w:t>
      </w:r>
    </w:p>
    <w:p w:rsidR="0019090C" w:rsidRDefault="0019090C" w:rsidP="0019090C">
      <w:pPr>
        <w:pStyle w:val="Prrafodelista"/>
        <w:spacing w:after="0" w:line="240" w:lineRule="auto"/>
        <w:ind w:left="357"/>
        <w:contextualSpacing w:val="0"/>
        <w:rPr>
          <w:rFonts w:eastAsia="Times New Roman" w:cs="Times New Roman"/>
          <w:lang w:eastAsia="es-SV"/>
        </w:rPr>
      </w:pPr>
      <w:r w:rsidRPr="00417A5E">
        <w:rPr>
          <w:rFonts w:eastAsia="Times New Roman" w:cs="Times New Roman"/>
          <w:lang w:eastAsia="es-SV"/>
        </w:rPr>
        <w:t>(Según Anexo "Detalle y Características de los Activos a gravar").</w:t>
      </w:r>
    </w:p>
    <w:p w:rsidR="006C4141" w:rsidRPr="006C4141" w:rsidRDefault="006C4141" w:rsidP="0019090C">
      <w:pPr>
        <w:pStyle w:val="Prrafodelista"/>
        <w:spacing w:after="0" w:line="240" w:lineRule="auto"/>
        <w:ind w:left="357"/>
        <w:contextualSpacing w:val="0"/>
        <w:rPr>
          <w:rFonts w:eastAsia="Times New Roman" w:cs="Times New Roman"/>
          <w:sz w:val="6"/>
          <w:szCs w:val="6"/>
          <w:lang w:eastAsia="es-SV"/>
        </w:rPr>
      </w:pPr>
    </w:p>
    <w:bookmarkStart w:id="0" w:name="_MON_1611482988"/>
    <w:bookmarkEnd w:id="0"/>
    <w:p w:rsidR="007567FA" w:rsidRDefault="00A631E9" w:rsidP="0019090C">
      <w:pPr>
        <w:pStyle w:val="Prrafodelista"/>
        <w:spacing w:after="0" w:line="240" w:lineRule="auto"/>
        <w:ind w:left="357"/>
        <w:contextualSpacing w:val="0"/>
        <w:jc w:val="center"/>
        <w:rPr>
          <w:rFonts w:eastAsia="Times New Roman" w:cs="Times New Roman"/>
          <w:lang w:eastAsia="es-SV"/>
        </w:rPr>
      </w:pPr>
      <w:r w:rsidRPr="006D60D7">
        <w:rPr>
          <w:rFonts w:eastAsia="Times New Roman" w:cs="Times New Roman"/>
          <w:lang w:eastAsia="es-SV"/>
        </w:rPr>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7.5pt" o:ole="">
            <v:imagedata r:id="rId8" o:title=""/>
          </v:shape>
          <o:OLEObject Type="Embed" ProgID="Excel.Sheet.12" ShapeID="_x0000_i1025" DrawAspect="Icon" ObjectID="_1611573265" r:id="rId9"/>
        </w:object>
      </w:r>
    </w:p>
    <w:p w:rsidR="00794806" w:rsidRDefault="00794806" w:rsidP="0019090C">
      <w:pPr>
        <w:pStyle w:val="Prrafodelista"/>
        <w:spacing w:after="0" w:line="240" w:lineRule="auto"/>
        <w:ind w:left="357"/>
        <w:contextualSpacing w:val="0"/>
        <w:jc w:val="center"/>
        <w:rPr>
          <w:rFonts w:eastAsia="Times New Roman" w:cs="Times New Roman"/>
          <w:lang w:eastAsia="es-SV"/>
        </w:rPr>
      </w:pPr>
    </w:p>
    <w:p w:rsidR="0019090C" w:rsidRPr="00417A5E" w:rsidRDefault="00D95A70" w:rsidP="000F5834">
      <w:pPr>
        <w:pStyle w:val="Prrafodelista"/>
        <w:numPr>
          <w:ilvl w:val="0"/>
          <w:numId w:val="33"/>
        </w:numPr>
        <w:spacing w:after="0" w:line="240" w:lineRule="auto"/>
        <w:ind w:left="357" w:hanging="357"/>
        <w:contextualSpacing w:val="0"/>
        <w:rPr>
          <w:rFonts w:eastAsia="Times New Roman" w:cs="Times New Roman"/>
          <w:lang w:eastAsia="es-SV"/>
        </w:rPr>
      </w:pPr>
      <w:r w:rsidRPr="00D95A70">
        <w:rPr>
          <w:rFonts w:eastAsia="Times New Roman" w:cs="Times New Roman"/>
          <w:lang w:eastAsia="es-SV"/>
        </w:rPr>
        <w:t>Información Financiera de esa entidad que refleje:</w:t>
      </w:r>
    </w:p>
    <w:p w:rsidR="000F5834" w:rsidRPr="00417A5E" w:rsidRDefault="000F5834" w:rsidP="000F5834">
      <w:pPr>
        <w:pStyle w:val="Prrafodelista"/>
        <w:spacing w:after="0" w:line="240" w:lineRule="auto"/>
        <w:ind w:left="357"/>
        <w:contextualSpacing w:val="0"/>
        <w:rPr>
          <w:rFonts w:eastAsia="Times New Roman" w:cs="Times New Roman"/>
          <w:lang w:eastAsia="es-SV"/>
        </w:rPr>
      </w:pPr>
    </w:p>
    <w:p w:rsidR="006C4141" w:rsidRPr="006C4141" w:rsidRDefault="006C4141" w:rsidP="006C4141">
      <w:pPr>
        <w:pStyle w:val="Prrafodelista"/>
        <w:numPr>
          <w:ilvl w:val="0"/>
          <w:numId w:val="38"/>
        </w:numPr>
        <w:tabs>
          <w:tab w:val="left" w:pos="6785"/>
        </w:tabs>
        <w:spacing w:after="0" w:line="240" w:lineRule="auto"/>
        <w:rPr>
          <w:rFonts w:eastAsia="Times New Roman" w:cs="Times New Roman"/>
          <w:vanish/>
          <w:lang w:eastAsia="es-SV"/>
        </w:rPr>
      </w:pPr>
    </w:p>
    <w:p w:rsidR="006C4141" w:rsidRPr="006C4141" w:rsidRDefault="006C4141" w:rsidP="006C4141">
      <w:pPr>
        <w:pStyle w:val="Prrafodelista"/>
        <w:numPr>
          <w:ilvl w:val="0"/>
          <w:numId w:val="38"/>
        </w:numPr>
        <w:tabs>
          <w:tab w:val="left" w:pos="6785"/>
        </w:tabs>
        <w:spacing w:after="0" w:line="240" w:lineRule="auto"/>
        <w:rPr>
          <w:rFonts w:eastAsia="Times New Roman" w:cs="Times New Roman"/>
          <w:vanish/>
          <w:lang w:eastAsia="es-SV"/>
        </w:rPr>
      </w:pPr>
    </w:p>
    <w:p w:rsidR="006C4141" w:rsidRPr="006C4141" w:rsidRDefault="006C4141" w:rsidP="006C4141">
      <w:pPr>
        <w:pStyle w:val="Prrafodelista"/>
        <w:numPr>
          <w:ilvl w:val="0"/>
          <w:numId w:val="38"/>
        </w:numPr>
        <w:tabs>
          <w:tab w:val="left" w:pos="6785"/>
        </w:tabs>
        <w:spacing w:after="0" w:line="240" w:lineRule="auto"/>
        <w:rPr>
          <w:rFonts w:eastAsia="Times New Roman" w:cs="Times New Roman"/>
          <w:vanish/>
          <w:lang w:eastAsia="es-SV"/>
        </w:rPr>
      </w:pPr>
    </w:p>
    <w:p w:rsidR="00725E00" w:rsidRPr="006C4141" w:rsidRDefault="00C24ACE" w:rsidP="006C4141">
      <w:pPr>
        <w:pStyle w:val="Prrafodelista"/>
        <w:numPr>
          <w:ilvl w:val="0"/>
          <w:numId w:val="38"/>
        </w:numPr>
        <w:tabs>
          <w:tab w:val="left" w:pos="6785"/>
        </w:tabs>
        <w:spacing w:after="0" w:line="240" w:lineRule="auto"/>
        <w:ind w:left="714" w:hanging="357"/>
        <w:rPr>
          <w:rFonts w:eastAsia="Times New Roman" w:cs="Times New Roman"/>
          <w:lang w:eastAsia="es-SV"/>
        </w:rPr>
      </w:pPr>
      <w:r w:rsidRPr="006C4141">
        <w:rPr>
          <w:rFonts w:eastAsia="Times New Roman" w:cs="Times New Roman"/>
          <w:lang w:eastAsia="es-SV"/>
        </w:rPr>
        <w:t>U</w:t>
      </w:r>
      <w:r w:rsidR="003B72A4" w:rsidRPr="006C4141">
        <w:rPr>
          <w:rFonts w:eastAsia="Times New Roman" w:cs="Times New Roman"/>
          <w:lang w:eastAsia="es-SV"/>
        </w:rPr>
        <w:t>n archivo en formato Excel, que incluya</w:t>
      </w:r>
      <w:r w:rsidRPr="006C4141">
        <w:rPr>
          <w:rFonts w:eastAsia="Times New Roman" w:cs="Times New Roman"/>
          <w:lang w:eastAsia="es-SV"/>
        </w:rPr>
        <w:t xml:space="preserve"> la información siguiente</w:t>
      </w:r>
      <w:r w:rsidR="003B72A4" w:rsidRPr="006C4141">
        <w:rPr>
          <w:rFonts w:eastAsia="Times New Roman" w:cs="Times New Roman"/>
          <w:lang w:eastAsia="es-SV"/>
        </w:rPr>
        <w:t>:</w:t>
      </w:r>
    </w:p>
    <w:p w:rsidR="003B72A4" w:rsidRPr="003F15F0" w:rsidRDefault="003B72A4" w:rsidP="000F5834">
      <w:pPr>
        <w:tabs>
          <w:tab w:val="left" w:pos="6785"/>
        </w:tabs>
        <w:spacing w:after="0" w:line="240" w:lineRule="auto"/>
        <w:ind w:left="357"/>
        <w:rPr>
          <w:rFonts w:eastAsia="Times New Roman" w:cs="Times New Roman"/>
          <w:sz w:val="8"/>
          <w:szCs w:val="8"/>
          <w:lang w:eastAsia="es-SV"/>
        </w:rPr>
      </w:pPr>
    </w:p>
    <w:p w:rsidR="009B5764" w:rsidRDefault="009B5764" w:rsidP="006C4141">
      <w:pPr>
        <w:pStyle w:val="Prrafodelista"/>
        <w:numPr>
          <w:ilvl w:val="1"/>
          <w:numId w:val="37"/>
        </w:numPr>
        <w:tabs>
          <w:tab w:val="left" w:pos="6785"/>
        </w:tabs>
        <w:spacing w:after="0" w:line="240" w:lineRule="auto"/>
        <w:ind w:left="1054" w:hanging="357"/>
        <w:rPr>
          <w:rFonts w:eastAsia="Times New Roman" w:cs="Times New Roman"/>
          <w:lang w:eastAsia="es-SV"/>
        </w:rPr>
      </w:pPr>
      <w:r w:rsidRPr="009B5764">
        <w:rPr>
          <w:rFonts w:eastAsia="Times New Roman" w:cs="Times New Roman"/>
          <w:lang w:eastAsia="es-SV"/>
        </w:rPr>
        <w:t>Monto en cifras completas en US Dólares y en % de cumplimiento de activos líquidos del último mes reportado a la Superintendencia; (antes de la operación).</w:t>
      </w:r>
    </w:p>
    <w:p w:rsidR="009B5764" w:rsidRPr="009B5764" w:rsidRDefault="009B5764" w:rsidP="009B5764">
      <w:pPr>
        <w:pStyle w:val="Prrafodelista"/>
        <w:tabs>
          <w:tab w:val="left" w:pos="6785"/>
        </w:tabs>
        <w:spacing w:after="0" w:line="240" w:lineRule="auto"/>
        <w:ind w:left="1797"/>
        <w:rPr>
          <w:rFonts w:eastAsia="Times New Roman" w:cs="Times New Roman"/>
          <w:sz w:val="6"/>
          <w:szCs w:val="6"/>
          <w:lang w:eastAsia="es-SV"/>
        </w:rPr>
      </w:pPr>
    </w:p>
    <w:p w:rsidR="009B5764" w:rsidRDefault="009B5764" w:rsidP="006C4141">
      <w:pPr>
        <w:pStyle w:val="Prrafodelista"/>
        <w:numPr>
          <w:ilvl w:val="1"/>
          <w:numId w:val="37"/>
        </w:numPr>
        <w:tabs>
          <w:tab w:val="left" w:pos="6785"/>
        </w:tabs>
        <w:spacing w:after="0" w:line="240" w:lineRule="auto"/>
        <w:ind w:left="1054" w:hanging="357"/>
        <w:rPr>
          <w:rFonts w:eastAsia="Times New Roman" w:cs="Times New Roman"/>
          <w:lang w:eastAsia="es-SV"/>
        </w:rPr>
      </w:pPr>
      <w:r w:rsidRPr="009B5764">
        <w:rPr>
          <w:rFonts w:eastAsia="Times New Roman" w:cs="Times New Roman"/>
          <w:lang w:eastAsia="es-SV"/>
        </w:rPr>
        <w:t>Monto en cifras completas en US Dólares y en % del cumplimiento constituido de la última catorcena de la reserva de liquidez.</w:t>
      </w:r>
    </w:p>
    <w:p w:rsidR="009B5764" w:rsidRPr="009B5764" w:rsidRDefault="009B5764" w:rsidP="009B5764">
      <w:pPr>
        <w:pStyle w:val="Prrafodelista"/>
        <w:rPr>
          <w:rFonts w:eastAsia="Times New Roman" w:cs="Times New Roman"/>
          <w:sz w:val="6"/>
          <w:szCs w:val="6"/>
          <w:lang w:eastAsia="es-SV"/>
        </w:rPr>
      </w:pPr>
    </w:p>
    <w:p w:rsidR="003B72A4" w:rsidRDefault="009B5764" w:rsidP="00A631E9">
      <w:pPr>
        <w:pStyle w:val="Prrafodelista"/>
        <w:numPr>
          <w:ilvl w:val="1"/>
          <w:numId w:val="37"/>
        </w:numPr>
        <w:tabs>
          <w:tab w:val="left" w:pos="6785"/>
        </w:tabs>
        <w:spacing w:after="0" w:line="240" w:lineRule="auto"/>
        <w:ind w:left="1054" w:hanging="357"/>
        <w:jc w:val="both"/>
        <w:rPr>
          <w:rFonts w:eastAsia="Times New Roman" w:cs="Times New Roman"/>
          <w:lang w:eastAsia="es-SV"/>
        </w:rPr>
      </w:pPr>
      <w:r w:rsidRPr="009B5764">
        <w:rPr>
          <w:rFonts w:eastAsia="Times New Roman" w:cs="Times New Roman"/>
          <w:lang w:eastAsia="es-SV"/>
        </w:rPr>
        <w:t>Anexo No.1, a que se refiere el  Art. 21 de las “Normas Técnicas para la Gestión del Riesgo de Liquidez” (NRP-05), último mes reportado a la Superintendencia, detallando los supuestos adoptados (antes y después de la operación).</w:t>
      </w:r>
    </w:p>
    <w:p w:rsidR="006C4141" w:rsidRPr="006C4141" w:rsidRDefault="006C4141" w:rsidP="006C4141">
      <w:pPr>
        <w:pStyle w:val="Prrafodelista"/>
        <w:rPr>
          <w:rFonts w:eastAsia="Times New Roman" w:cs="Times New Roman"/>
          <w:lang w:eastAsia="es-SV"/>
        </w:rPr>
      </w:pPr>
    </w:p>
    <w:p w:rsidR="006C4141" w:rsidRPr="00417A5E" w:rsidRDefault="006C4141" w:rsidP="006C4141">
      <w:pPr>
        <w:pStyle w:val="Prrafodelista"/>
        <w:tabs>
          <w:tab w:val="left" w:pos="6785"/>
        </w:tabs>
        <w:spacing w:after="0" w:line="240" w:lineRule="auto"/>
        <w:ind w:left="1054"/>
        <w:rPr>
          <w:rFonts w:eastAsia="Times New Roman" w:cs="Times New Roman"/>
          <w:lang w:eastAsia="es-SV"/>
        </w:rPr>
      </w:pPr>
    </w:p>
    <w:p w:rsidR="004449DD" w:rsidRPr="006B40D0" w:rsidRDefault="009A35F1" w:rsidP="00D967FF">
      <w:pPr>
        <w:pStyle w:val="Prrafodelista"/>
        <w:numPr>
          <w:ilvl w:val="1"/>
          <w:numId w:val="42"/>
        </w:numPr>
        <w:tabs>
          <w:tab w:val="left" w:pos="6785"/>
        </w:tabs>
        <w:spacing w:after="0" w:line="240" w:lineRule="auto"/>
        <w:ind w:left="714" w:hanging="357"/>
        <w:jc w:val="both"/>
        <w:rPr>
          <w:rFonts w:eastAsia="Times New Roman" w:cs="Times New Roman"/>
          <w:lang w:eastAsia="es-SV"/>
        </w:rPr>
      </w:pPr>
      <w:r w:rsidRPr="006B40D0">
        <w:rPr>
          <w:rFonts w:eastAsia="Times New Roman" w:cs="Times New Roman"/>
          <w:lang w:eastAsia="es-SV"/>
        </w:rPr>
        <w:t xml:space="preserve">Cálculo del indicador "COBERTURA DE DEPÓSITOS": Activos de respaldo libres de gravamen/depósitos, en formato Excel y con cifras referidas al mes </w:t>
      </w:r>
      <w:r w:rsidR="006B40D0" w:rsidRPr="006B40D0">
        <w:rPr>
          <w:rFonts w:eastAsia="Times New Roman" w:cs="Times New Roman"/>
          <w:lang w:eastAsia="es-SV"/>
        </w:rPr>
        <w:t>anterior</w:t>
      </w:r>
      <w:r w:rsidRPr="006B40D0">
        <w:rPr>
          <w:rFonts w:eastAsia="Times New Roman" w:cs="Times New Roman"/>
          <w:lang w:eastAsia="es-SV"/>
        </w:rPr>
        <w:t xml:space="preserve">, </w:t>
      </w:r>
      <w:r w:rsidR="006B40D0">
        <w:rPr>
          <w:rFonts w:eastAsia="Times New Roman" w:cs="Times New Roman"/>
          <w:lang w:eastAsia="es-SV"/>
        </w:rPr>
        <w:t xml:space="preserve"> </w:t>
      </w:r>
      <w:r w:rsidRPr="006B40D0">
        <w:rPr>
          <w:rFonts w:eastAsia="Times New Roman" w:cs="Times New Roman"/>
          <w:lang w:eastAsia="es-SV"/>
        </w:rPr>
        <w:t>reportadas a esta Superintendencia, utilizando la metodología establecida en Anexo.</w:t>
      </w:r>
    </w:p>
    <w:p w:rsidR="004F4782" w:rsidRPr="006E498E" w:rsidRDefault="004F4782" w:rsidP="004449DD">
      <w:pPr>
        <w:pStyle w:val="Prrafodelista"/>
        <w:spacing w:after="0" w:line="240" w:lineRule="auto"/>
        <w:ind w:left="357"/>
        <w:contextualSpacing w:val="0"/>
        <w:rPr>
          <w:rFonts w:eastAsia="Times New Roman" w:cs="Times New Roman"/>
          <w:sz w:val="8"/>
          <w:szCs w:val="8"/>
          <w:lang w:eastAsia="es-SV"/>
        </w:rPr>
      </w:pPr>
    </w:p>
    <w:bookmarkStart w:id="1" w:name="_MON_1611483075"/>
    <w:bookmarkEnd w:id="1"/>
    <w:p w:rsidR="000F5834" w:rsidRDefault="00A631E9" w:rsidP="001917FA">
      <w:pPr>
        <w:pStyle w:val="Prrafodelista"/>
        <w:spacing w:after="0" w:line="240" w:lineRule="auto"/>
        <w:ind w:left="357"/>
        <w:contextualSpacing w:val="0"/>
        <w:jc w:val="center"/>
        <w:rPr>
          <w:rFonts w:eastAsia="Times New Roman" w:cs="Times New Roman"/>
          <w:lang w:eastAsia="es-SV"/>
        </w:rPr>
      </w:pPr>
      <w:r w:rsidRPr="006D60D7">
        <w:rPr>
          <w:rFonts w:eastAsia="Times New Roman" w:cs="Times New Roman"/>
          <w:lang w:eastAsia="es-SV"/>
        </w:rPr>
        <w:object w:dxaOrig="2069" w:dyaOrig="1339">
          <v:shape id="_x0000_i1026" type="#_x0000_t75" style="width:103.5pt;height:67.5pt" o:ole="">
            <v:imagedata r:id="rId10" o:title=""/>
          </v:shape>
          <o:OLEObject Type="Embed" ProgID="Excel.Sheet.12" ShapeID="_x0000_i1026" DrawAspect="Icon" ObjectID="_1611573266" r:id="rId11"/>
        </w:object>
      </w:r>
    </w:p>
    <w:p w:rsidR="00691EEE" w:rsidRDefault="00D967FF" w:rsidP="00D967FF">
      <w:pPr>
        <w:pStyle w:val="Prrafodelista"/>
        <w:numPr>
          <w:ilvl w:val="1"/>
          <w:numId w:val="42"/>
        </w:numPr>
        <w:tabs>
          <w:tab w:val="left" w:pos="6785"/>
        </w:tabs>
        <w:spacing w:after="0" w:line="240" w:lineRule="auto"/>
        <w:ind w:left="714" w:hanging="357"/>
        <w:jc w:val="both"/>
        <w:rPr>
          <w:rFonts w:eastAsia="Times New Roman" w:cs="Times New Roman"/>
          <w:lang w:eastAsia="es-SV"/>
        </w:rPr>
      </w:pPr>
      <w:r w:rsidRPr="00D967FF">
        <w:rPr>
          <w:rFonts w:eastAsia="Times New Roman" w:cs="Times New Roman"/>
          <w:lang w:eastAsia="es-SV"/>
        </w:rPr>
        <w:t>Total de activos gravados en formato Excel antes de la operación solicitada, según Anexo.</w:t>
      </w:r>
    </w:p>
    <w:p w:rsidR="00951EE0" w:rsidRPr="00951EE0" w:rsidRDefault="00951EE0" w:rsidP="00951EE0">
      <w:pPr>
        <w:pStyle w:val="Prrafodelista"/>
        <w:spacing w:after="0" w:line="240" w:lineRule="auto"/>
        <w:ind w:left="357"/>
        <w:contextualSpacing w:val="0"/>
        <w:rPr>
          <w:rFonts w:eastAsia="Times New Roman" w:cs="Times New Roman"/>
          <w:sz w:val="8"/>
          <w:szCs w:val="8"/>
          <w:lang w:eastAsia="es-SV"/>
        </w:rPr>
      </w:pPr>
    </w:p>
    <w:bookmarkStart w:id="2" w:name="_MON_1611483135"/>
    <w:bookmarkEnd w:id="2"/>
    <w:p w:rsidR="00951EE0" w:rsidRDefault="00A631E9" w:rsidP="001167F4">
      <w:pPr>
        <w:pStyle w:val="Prrafodelista"/>
        <w:tabs>
          <w:tab w:val="left" w:pos="6785"/>
        </w:tabs>
        <w:spacing w:after="0" w:line="240" w:lineRule="auto"/>
        <w:ind w:left="714"/>
        <w:jc w:val="center"/>
        <w:rPr>
          <w:rFonts w:eastAsia="Times New Roman" w:cs="Times New Roman"/>
          <w:lang w:eastAsia="es-SV"/>
        </w:rPr>
      </w:pPr>
      <w:r w:rsidRPr="006D60D7">
        <w:rPr>
          <w:rFonts w:eastAsia="Times New Roman" w:cs="Times New Roman"/>
          <w:lang w:eastAsia="es-SV"/>
        </w:rPr>
        <w:object w:dxaOrig="2069" w:dyaOrig="1339">
          <v:shape id="_x0000_i1027" type="#_x0000_t75" style="width:103.5pt;height:67.5pt" o:ole="">
            <v:imagedata r:id="rId12" o:title=""/>
          </v:shape>
          <o:OLEObject Type="Embed" ProgID="Excel.Sheet.12" ShapeID="_x0000_i1027" DrawAspect="Icon" ObjectID="_1611573267" r:id="rId13"/>
        </w:object>
      </w:r>
    </w:p>
    <w:p w:rsidR="00951EE0" w:rsidRPr="00D41397" w:rsidRDefault="00951EE0" w:rsidP="00951EE0">
      <w:pPr>
        <w:pStyle w:val="Prrafodelista"/>
        <w:tabs>
          <w:tab w:val="left" w:pos="6785"/>
        </w:tabs>
        <w:spacing w:after="0" w:line="240" w:lineRule="auto"/>
        <w:ind w:left="714"/>
        <w:jc w:val="both"/>
        <w:rPr>
          <w:rFonts w:eastAsia="Times New Roman" w:cs="Times New Roman"/>
          <w:sz w:val="16"/>
          <w:szCs w:val="16"/>
          <w:lang w:eastAsia="es-SV"/>
        </w:rPr>
      </w:pPr>
    </w:p>
    <w:p w:rsidR="00D967FF" w:rsidRDefault="00CA4F9B" w:rsidP="00951EE0">
      <w:pPr>
        <w:pStyle w:val="Prrafodelista"/>
        <w:numPr>
          <w:ilvl w:val="1"/>
          <w:numId w:val="42"/>
        </w:numPr>
        <w:tabs>
          <w:tab w:val="left" w:pos="6785"/>
        </w:tabs>
        <w:spacing w:after="0" w:line="240" w:lineRule="auto"/>
        <w:ind w:left="714" w:hanging="357"/>
        <w:jc w:val="both"/>
        <w:rPr>
          <w:rFonts w:eastAsia="Times New Roman" w:cs="Times New Roman"/>
          <w:lang w:eastAsia="es-SV"/>
        </w:rPr>
      </w:pPr>
      <w:r w:rsidRPr="00CA4F9B">
        <w:rPr>
          <w:rFonts w:eastAsia="Times New Roman" w:cs="Times New Roman"/>
          <w:lang w:eastAsia="es-SV"/>
        </w:rPr>
        <w:t>Fondo patrimonial del mes anterior reportado a esta Superintendencia y proyección de éste incluyendo la operación solicitada, en formato Excel;</w:t>
      </w:r>
    </w:p>
    <w:p w:rsidR="00D41397" w:rsidRPr="00D41397" w:rsidRDefault="00D41397" w:rsidP="00D41397">
      <w:pPr>
        <w:pStyle w:val="Prrafodelista"/>
        <w:tabs>
          <w:tab w:val="left" w:pos="6785"/>
        </w:tabs>
        <w:spacing w:after="0" w:line="240" w:lineRule="auto"/>
        <w:ind w:left="714"/>
        <w:jc w:val="both"/>
        <w:rPr>
          <w:rFonts w:eastAsia="Times New Roman" w:cs="Times New Roman"/>
          <w:sz w:val="16"/>
          <w:szCs w:val="16"/>
          <w:lang w:eastAsia="es-SV"/>
        </w:rPr>
      </w:pPr>
    </w:p>
    <w:p w:rsidR="00D41397" w:rsidRPr="00951EE0" w:rsidRDefault="00D41397" w:rsidP="00951EE0">
      <w:pPr>
        <w:pStyle w:val="Prrafodelista"/>
        <w:numPr>
          <w:ilvl w:val="1"/>
          <w:numId w:val="42"/>
        </w:numPr>
        <w:tabs>
          <w:tab w:val="left" w:pos="6785"/>
        </w:tabs>
        <w:spacing w:after="0" w:line="240" w:lineRule="auto"/>
        <w:ind w:left="714" w:hanging="357"/>
        <w:jc w:val="both"/>
        <w:rPr>
          <w:rFonts w:eastAsia="Times New Roman" w:cs="Times New Roman"/>
          <w:lang w:eastAsia="es-SV"/>
        </w:rPr>
      </w:pPr>
      <w:r w:rsidRPr="00D41397">
        <w:rPr>
          <w:rFonts w:eastAsia="Times New Roman" w:cs="Times New Roman"/>
          <w:lang w:eastAsia="es-SV"/>
        </w:rPr>
        <w:t>Cálculo de la relación Activos gravados/Fondo Patrimonial antes y después de la operación solicitada.</w:t>
      </w:r>
    </w:p>
    <w:p w:rsidR="001917FA" w:rsidRPr="00417A5E" w:rsidRDefault="001917FA" w:rsidP="00AA063C">
      <w:pPr>
        <w:pStyle w:val="Prrafodelista"/>
        <w:spacing w:after="0" w:line="240" w:lineRule="auto"/>
        <w:ind w:left="357"/>
        <w:contextualSpacing w:val="0"/>
        <w:jc w:val="center"/>
        <w:rPr>
          <w:rFonts w:eastAsia="Times New Roman" w:cs="Times New Roman"/>
          <w:lang w:eastAsia="es-SV"/>
        </w:rPr>
      </w:pPr>
    </w:p>
    <w:p w:rsidR="0019090C" w:rsidRPr="00417A5E" w:rsidRDefault="0019090C" w:rsidP="000F5834">
      <w:pPr>
        <w:pStyle w:val="Prrafodelista"/>
        <w:numPr>
          <w:ilvl w:val="0"/>
          <w:numId w:val="33"/>
        </w:numPr>
        <w:spacing w:after="0" w:line="240" w:lineRule="auto"/>
        <w:ind w:left="357" w:hanging="357"/>
        <w:contextualSpacing w:val="0"/>
        <w:rPr>
          <w:rFonts w:eastAsia="Times New Roman" w:cs="Times New Roman"/>
          <w:lang w:eastAsia="es-SV"/>
        </w:rPr>
      </w:pPr>
      <w:r w:rsidRPr="00417A5E">
        <w:rPr>
          <w:rFonts w:eastAsia="Times New Roman" w:cs="Times New Roman"/>
          <w:lang w:eastAsia="es-SV"/>
        </w:rPr>
        <w:t>Adicionar en caso de que la afectación de activos esté vinculada a la adquisición de financiamiento:</w:t>
      </w:r>
    </w:p>
    <w:p w:rsidR="000F5834" w:rsidRPr="007B38BB" w:rsidRDefault="000F5834" w:rsidP="000F5834">
      <w:pPr>
        <w:pStyle w:val="Prrafodelista"/>
        <w:spacing w:after="0" w:line="240" w:lineRule="auto"/>
        <w:ind w:left="357"/>
        <w:contextualSpacing w:val="0"/>
        <w:rPr>
          <w:rFonts w:eastAsia="Times New Roman" w:cs="Times New Roman"/>
          <w:sz w:val="6"/>
          <w:szCs w:val="6"/>
          <w:lang w:eastAsia="es-SV"/>
        </w:rPr>
      </w:pPr>
    </w:p>
    <w:p w:rsidR="0019090C" w:rsidRDefault="000F5834" w:rsidP="000F5834">
      <w:pPr>
        <w:pStyle w:val="Prrafodelista"/>
        <w:spacing w:after="0" w:line="240" w:lineRule="auto"/>
        <w:ind w:left="357"/>
        <w:contextualSpacing w:val="0"/>
        <w:rPr>
          <w:rFonts w:eastAsia="Times New Roman" w:cs="Times New Roman"/>
          <w:lang w:eastAsia="es-SV"/>
        </w:rPr>
      </w:pPr>
      <w:r w:rsidRPr="00417A5E">
        <w:rPr>
          <w:rFonts w:eastAsia="Times New Roman" w:cs="Times New Roman"/>
          <w:lang w:eastAsia="es-SV"/>
        </w:rPr>
        <w:t xml:space="preserve">5.1 </w:t>
      </w:r>
      <w:r w:rsidR="00A972B3">
        <w:rPr>
          <w:rFonts w:eastAsia="Times New Roman" w:cs="Times New Roman"/>
          <w:lang w:eastAsia="es-SV"/>
        </w:rPr>
        <w:t>Monto.</w:t>
      </w:r>
      <w:r w:rsidR="00A972B3">
        <w:rPr>
          <w:rFonts w:eastAsia="Times New Roman" w:cs="Times New Roman"/>
          <w:lang w:eastAsia="es-SV"/>
        </w:rPr>
        <w:br/>
        <w:t>5.2. Tasa;</w:t>
      </w:r>
      <w:r w:rsidR="00A972B3">
        <w:rPr>
          <w:rFonts w:eastAsia="Times New Roman" w:cs="Times New Roman"/>
          <w:lang w:eastAsia="es-SV"/>
        </w:rPr>
        <w:br/>
        <w:t>5.3. Plazo;</w:t>
      </w:r>
      <w:r w:rsidR="0019090C" w:rsidRPr="00417A5E">
        <w:rPr>
          <w:rFonts w:eastAsia="Times New Roman" w:cs="Times New Roman"/>
          <w:lang w:eastAsia="es-SV"/>
        </w:rPr>
        <w:br/>
        <w:t>5.4. P</w:t>
      </w:r>
      <w:r w:rsidR="00A972B3">
        <w:rPr>
          <w:rFonts w:eastAsia="Times New Roman" w:cs="Times New Roman"/>
          <w:lang w:eastAsia="es-SV"/>
        </w:rPr>
        <w:t>orcentaje de garantía requerida;</w:t>
      </w:r>
      <w:r w:rsidR="00F32CEE">
        <w:rPr>
          <w:rFonts w:eastAsia="Times New Roman" w:cs="Times New Roman"/>
          <w:lang w:eastAsia="es-SV"/>
        </w:rPr>
        <w:t xml:space="preserve"> y</w:t>
      </w:r>
      <w:r w:rsidR="0019090C" w:rsidRPr="00417A5E">
        <w:rPr>
          <w:rFonts w:eastAsia="Times New Roman" w:cs="Times New Roman"/>
          <w:lang w:eastAsia="es-SV"/>
        </w:rPr>
        <w:br/>
        <w:t>5.5. Tipo de crédito (decreciente, rotativo).</w:t>
      </w:r>
    </w:p>
    <w:p w:rsidR="00EF45BF" w:rsidRDefault="00EF45BF" w:rsidP="000F5834">
      <w:pPr>
        <w:pStyle w:val="Prrafodelista"/>
        <w:spacing w:after="0" w:line="240" w:lineRule="auto"/>
        <w:ind w:left="357"/>
        <w:contextualSpacing w:val="0"/>
        <w:rPr>
          <w:rFonts w:eastAsia="Times New Roman" w:cs="Times New Roman"/>
          <w:lang w:eastAsia="es-SV"/>
        </w:rPr>
      </w:pPr>
    </w:p>
    <w:p w:rsidR="00EF45BF" w:rsidRPr="004B5FC5" w:rsidRDefault="00EF45BF" w:rsidP="00100717">
      <w:pPr>
        <w:pStyle w:val="Textoindependiente"/>
        <w:ind w:left="284"/>
        <w:jc w:val="both"/>
        <w:rPr>
          <w:rFonts w:eastAsia="Times New Roman" w:cs="Times New Roman"/>
          <w:lang w:eastAsia="es-SV"/>
        </w:rPr>
      </w:pPr>
      <w:r w:rsidRPr="004B5FC5">
        <w:rPr>
          <w:rFonts w:ascii="Calibri" w:eastAsia="Times New Roman" w:hAnsi="Calibri" w:cs="Times New Roman"/>
          <w:b/>
          <w:lang w:val="es-SV" w:eastAsia="es-SV"/>
        </w:rPr>
        <w:t>Nota</w:t>
      </w:r>
      <w:r w:rsidRPr="004B5FC5">
        <w:rPr>
          <w:rFonts w:ascii="Calibri" w:eastAsia="Times New Roman" w:hAnsi="Calibri" w:cs="Times New Roman"/>
          <w:lang w:val="es-SV" w:eastAsia="es-SV"/>
        </w:rPr>
        <w:t>: Posterior a la obtención de la no objeción para la afectación de activos</w:t>
      </w:r>
      <w:r w:rsidR="004B5FC5">
        <w:rPr>
          <w:lang w:val="es-MX"/>
        </w:rPr>
        <w:t xml:space="preserve">, se </w:t>
      </w:r>
      <w:r w:rsidRPr="004B5FC5">
        <w:rPr>
          <w:lang w:val="es-MX"/>
        </w:rPr>
        <w:t>deberá  remitir a esta Superintendencia, copia del contrato o documento con el que se  formalizará</w:t>
      </w:r>
      <w:r w:rsidR="00F55C32" w:rsidRPr="004B5FC5">
        <w:rPr>
          <w:lang w:val="es-MX"/>
        </w:rPr>
        <w:t xml:space="preserve"> la operación de</w:t>
      </w:r>
      <w:r w:rsidRPr="004B5FC5">
        <w:rPr>
          <w:lang w:val="es-MX"/>
        </w:rPr>
        <w:t xml:space="preserve"> entrega de la garantía en referencia, en un plazo de cinco días hábiles posteriores a la suscripción respectiva</w:t>
      </w:r>
      <w:r w:rsidR="004B5FC5">
        <w:rPr>
          <w:lang w:val="es-MX"/>
        </w:rPr>
        <w:t xml:space="preserve">. </w:t>
      </w:r>
      <w:r w:rsidR="00100717" w:rsidRPr="004B5FC5">
        <w:rPr>
          <w:rFonts w:eastAsia="Times New Roman" w:cs="Times New Roman"/>
          <w:lang w:eastAsia="es-SV"/>
        </w:rPr>
        <w:t xml:space="preserve"> </w:t>
      </w:r>
    </w:p>
    <w:p w:rsidR="0019090C" w:rsidRDefault="0019090C" w:rsidP="00A631E9">
      <w:pPr>
        <w:pStyle w:val="Prrafodelista"/>
        <w:numPr>
          <w:ilvl w:val="0"/>
          <w:numId w:val="33"/>
        </w:numPr>
        <w:spacing w:before="220" w:after="220" w:line="240" w:lineRule="auto"/>
        <w:ind w:left="357" w:hanging="357"/>
        <w:contextualSpacing w:val="0"/>
        <w:jc w:val="both"/>
        <w:rPr>
          <w:rFonts w:eastAsia="Times New Roman" w:cs="Times New Roman"/>
          <w:lang w:eastAsia="es-SV"/>
        </w:rPr>
      </w:pPr>
      <w:r w:rsidRPr="00417A5E">
        <w:rPr>
          <w:rFonts w:eastAsia="Times New Roman" w:cs="Times New Roman"/>
          <w:lang w:eastAsia="es-SV"/>
        </w:rPr>
        <w:t xml:space="preserve">La garantía con préstamos hipotecarios de las emisiones de valores de deuda, deberá cumplir con </w:t>
      </w:r>
      <w:r w:rsidR="00A51EA6" w:rsidRPr="00A51EA6">
        <w:rPr>
          <w:rFonts w:eastAsia="Times New Roman" w:cs="Times New Roman"/>
          <w:lang w:eastAsia="es-SV"/>
        </w:rPr>
        <w:t>lo establecido en las "RCTG-32/2010 Regulaciones para el Manejo de las Garantías de las Emisiones de Valores de Deuda cuando se Constituya con Préstamos Hipotecarios ", Anexa, en lo siguiente:</w:t>
      </w:r>
    </w:p>
    <w:p w:rsidR="000F5834" w:rsidRPr="00417A5E" w:rsidRDefault="0019090C" w:rsidP="00B43BBE">
      <w:pPr>
        <w:pStyle w:val="Prrafodelista"/>
        <w:numPr>
          <w:ilvl w:val="1"/>
          <w:numId w:val="35"/>
        </w:numPr>
        <w:spacing w:after="0" w:line="240" w:lineRule="auto"/>
        <w:ind w:left="714" w:hanging="357"/>
        <w:contextualSpacing w:val="0"/>
        <w:jc w:val="both"/>
        <w:rPr>
          <w:rFonts w:eastAsia="Times New Roman" w:cs="Times New Roman"/>
          <w:lang w:eastAsia="es-SV"/>
        </w:rPr>
      </w:pPr>
      <w:r w:rsidRPr="00417A5E">
        <w:rPr>
          <w:rFonts w:eastAsia="Times New Roman" w:cs="Times New Roman"/>
          <w:lang w:eastAsia="es-SV"/>
        </w:rPr>
        <w:t>Los préstamos hipotecarios deberán estar calificados en categoría de riesgo “A”, integrada por “A1” y “A2” conforme a las categorías establecidas en el instructivo emitido por la Superintendencia del Sistema Financiero, o cualquier calificación equivalente que establezca la SSF en el futuro.</w:t>
      </w:r>
    </w:p>
    <w:p w:rsidR="000F5834" w:rsidRPr="000E265A" w:rsidRDefault="000F5834" w:rsidP="000F5834">
      <w:pPr>
        <w:pStyle w:val="Prrafodelista"/>
        <w:spacing w:after="0" w:line="240" w:lineRule="auto"/>
        <w:ind w:left="714"/>
        <w:contextualSpacing w:val="0"/>
        <w:rPr>
          <w:rFonts w:eastAsia="Times New Roman" w:cs="Times New Roman"/>
          <w:sz w:val="8"/>
          <w:szCs w:val="8"/>
          <w:lang w:eastAsia="es-SV"/>
        </w:rPr>
      </w:pPr>
    </w:p>
    <w:p w:rsidR="000F5834" w:rsidRPr="00417A5E" w:rsidRDefault="0019090C" w:rsidP="00A631E9">
      <w:pPr>
        <w:pStyle w:val="Prrafodelista"/>
        <w:numPr>
          <w:ilvl w:val="1"/>
          <w:numId w:val="35"/>
        </w:numPr>
        <w:spacing w:after="0" w:line="240" w:lineRule="auto"/>
        <w:ind w:left="714" w:hanging="357"/>
        <w:contextualSpacing w:val="0"/>
        <w:jc w:val="both"/>
        <w:rPr>
          <w:rFonts w:eastAsia="Times New Roman" w:cs="Times New Roman"/>
          <w:lang w:eastAsia="es-SV"/>
        </w:rPr>
      </w:pPr>
      <w:r w:rsidRPr="00417A5E">
        <w:rPr>
          <w:rFonts w:eastAsia="Times New Roman" w:cs="Times New Roman"/>
          <w:lang w:eastAsia="es-SV"/>
        </w:rPr>
        <w:t>La suma de los préstamos hipotecarios que integran la garantía, deberá ser igual o mayor al 125% del monto vigente de la emisión;</w:t>
      </w:r>
    </w:p>
    <w:p w:rsidR="000F5834" w:rsidRPr="000E265A" w:rsidRDefault="000F5834" w:rsidP="000F5834">
      <w:pPr>
        <w:pStyle w:val="Prrafodelista"/>
        <w:rPr>
          <w:rFonts w:eastAsia="Times New Roman" w:cs="Times New Roman"/>
          <w:sz w:val="8"/>
          <w:szCs w:val="8"/>
          <w:lang w:eastAsia="es-SV"/>
        </w:rPr>
      </w:pPr>
    </w:p>
    <w:p w:rsidR="000F5834" w:rsidRPr="00417A5E" w:rsidRDefault="0019090C" w:rsidP="000F5834">
      <w:pPr>
        <w:pStyle w:val="Prrafodelista"/>
        <w:numPr>
          <w:ilvl w:val="1"/>
          <w:numId w:val="35"/>
        </w:numPr>
        <w:spacing w:after="0" w:line="240" w:lineRule="auto"/>
        <w:ind w:left="714" w:hanging="357"/>
        <w:contextualSpacing w:val="0"/>
        <w:rPr>
          <w:rFonts w:eastAsia="Times New Roman" w:cs="Times New Roman"/>
          <w:lang w:eastAsia="es-SV"/>
        </w:rPr>
      </w:pPr>
      <w:r w:rsidRPr="00417A5E">
        <w:rPr>
          <w:rFonts w:eastAsia="Times New Roman" w:cs="Times New Roman"/>
          <w:lang w:eastAsia="es-SV"/>
        </w:rPr>
        <w:t>El Plazo de los préstamos deberá ser igual o mayor al plazo vigente de la emisión.</w:t>
      </w:r>
    </w:p>
    <w:p w:rsidR="000F5834" w:rsidRPr="000E265A" w:rsidRDefault="000F5834" w:rsidP="000F5834">
      <w:pPr>
        <w:pStyle w:val="Prrafodelista"/>
        <w:rPr>
          <w:rFonts w:eastAsia="Times New Roman" w:cs="Times New Roman"/>
          <w:sz w:val="8"/>
          <w:szCs w:val="8"/>
          <w:lang w:eastAsia="es-SV"/>
        </w:rPr>
      </w:pPr>
    </w:p>
    <w:p w:rsidR="00396808" w:rsidRPr="00417A5E" w:rsidRDefault="0019090C" w:rsidP="00A631E9">
      <w:pPr>
        <w:pStyle w:val="Prrafodelista"/>
        <w:numPr>
          <w:ilvl w:val="1"/>
          <w:numId w:val="35"/>
        </w:numPr>
        <w:spacing w:after="0" w:line="240" w:lineRule="auto"/>
        <w:ind w:left="714" w:hanging="357"/>
        <w:contextualSpacing w:val="0"/>
        <w:jc w:val="both"/>
        <w:rPr>
          <w:rFonts w:eastAsia="Times New Roman" w:cs="Times New Roman"/>
          <w:lang w:eastAsia="es-SV"/>
        </w:rPr>
      </w:pPr>
      <w:r w:rsidRPr="00417A5E">
        <w:rPr>
          <w:rFonts w:eastAsia="Times New Roman" w:cs="Times New Roman"/>
          <w:lang w:eastAsia="es-SV"/>
        </w:rPr>
        <w:t>Los préstamos no deben estar garantizando simultáneamente cualquier otro tipo de obligación.</w:t>
      </w:r>
    </w:p>
    <w:p w:rsidR="004853AE" w:rsidRPr="004853AE" w:rsidRDefault="004853AE" w:rsidP="009B1AA0">
      <w:pPr>
        <w:pStyle w:val="Prrafodelista"/>
        <w:spacing w:after="0" w:line="240" w:lineRule="auto"/>
        <w:ind w:left="357"/>
        <w:contextualSpacing w:val="0"/>
        <w:jc w:val="both"/>
        <w:rPr>
          <w:rFonts w:eastAsia="Times New Roman" w:cs="Times New Roman"/>
          <w:sz w:val="6"/>
          <w:szCs w:val="6"/>
          <w:lang w:eastAsia="es-SV"/>
        </w:rPr>
      </w:pPr>
    </w:p>
    <w:p w:rsidR="005D4A15" w:rsidRPr="00417A5E" w:rsidRDefault="00C55EF4" w:rsidP="00B22ACE">
      <w:pPr>
        <w:pStyle w:val="Prrafodelista"/>
        <w:spacing w:after="0" w:line="240" w:lineRule="auto"/>
        <w:ind w:left="714"/>
        <w:contextualSpacing w:val="0"/>
        <w:jc w:val="center"/>
        <w:rPr>
          <w:rFonts w:eastAsia="Times New Roman" w:cs="Times New Roman"/>
          <w:lang w:eastAsia="es-SV"/>
        </w:rPr>
      </w:pPr>
      <w:r w:rsidRPr="006D60D7">
        <w:rPr>
          <w:rFonts w:eastAsia="Times New Roman" w:cs="Times New Roman"/>
          <w:lang w:eastAsia="es-SV"/>
        </w:rPr>
        <w:object w:dxaOrig="1551" w:dyaOrig="1004">
          <v:shape id="_x0000_i1028" type="#_x0000_t75" style="width:76.5pt;height:50.25pt" o:ole="">
            <v:imagedata r:id="rId14" o:title=""/>
          </v:shape>
          <o:OLEObject Type="Embed" ProgID="AcroExch.Document.11" ShapeID="_x0000_i1028" DrawAspect="Icon" ObjectID="_1611573268" r:id="rId15"/>
        </w:object>
      </w:r>
    </w:p>
    <w:p w:rsidR="002260F5" w:rsidRPr="00003843" w:rsidRDefault="00003843" w:rsidP="00426F76">
      <w:pPr>
        <w:pStyle w:val="Prrafodelista"/>
        <w:numPr>
          <w:ilvl w:val="0"/>
          <w:numId w:val="33"/>
        </w:numPr>
        <w:spacing w:before="220" w:after="220" w:line="240" w:lineRule="auto"/>
        <w:ind w:left="357" w:hanging="357"/>
        <w:contextualSpacing w:val="0"/>
        <w:jc w:val="both"/>
        <w:rPr>
          <w:rFonts w:eastAsia="Times New Roman" w:cs="Times New Roman"/>
          <w:vanish/>
          <w:lang w:eastAsia="es-SV"/>
        </w:rPr>
      </w:pPr>
      <w:r w:rsidRPr="00003843">
        <w:rPr>
          <w:rFonts w:eastAsia="Times New Roman" w:cs="Times New Roman"/>
          <w:lang w:eastAsia="es-SV"/>
        </w:rPr>
        <w:t xml:space="preserve">La cartera hipotecaria deberá cumplir con los siguientes requisitos de acuerdo a los artículos 15 y 16 literal “c” de las </w:t>
      </w:r>
      <w:r w:rsidR="002453FE">
        <w:rPr>
          <w:rFonts w:eastAsia="Times New Roman" w:cs="Times New Roman"/>
          <w:lang w:eastAsia="es-SV"/>
        </w:rPr>
        <w:t>“</w:t>
      </w:r>
      <w:r w:rsidRPr="00003843">
        <w:rPr>
          <w:rFonts w:eastAsia="Times New Roman" w:cs="Times New Roman"/>
          <w:lang w:eastAsia="es-SV"/>
        </w:rPr>
        <w:t>NCB-022</w:t>
      </w:r>
      <w:r w:rsidR="002453FE">
        <w:rPr>
          <w:rFonts w:eastAsia="Times New Roman" w:cs="Times New Roman"/>
          <w:lang w:eastAsia="es-SV"/>
        </w:rPr>
        <w:t xml:space="preserve"> </w:t>
      </w:r>
      <w:r w:rsidR="002453FE">
        <w:rPr>
          <w:iCs/>
        </w:rPr>
        <w:t>Normas para Clasificar los Activos de Riesgo Crediticio y Constituir las Reservas de Saneamiento”</w:t>
      </w:r>
      <w:r w:rsidR="000338A0">
        <w:rPr>
          <w:iCs/>
        </w:rPr>
        <w:t xml:space="preserve">, </w:t>
      </w:r>
    </w:p>
    <w:p w:rsidR="002260F5" w:rsidRPr="00417A5E" w:rsidRDefault="002260F5" w:rsidP="00426F76">
      <w:pPr>
        <w:pStyle w:val="Prrafodelista"/>
        <w:numPr>
          <w:ilvl w:val="0"/>
          <w:numId w:val="36"/>
        </w:numPr>
        <w:spacing w:after="0" w:line="240" w:lineRule="auto"/>
        <w:contextualSpacing w:val="0"/>
        <w:jc w:val="both"/>
        <w:rPr>
          <w:rFonts w:eastAsia="Times New Roman" w:cs="Times New Roman"/>
          <w:vanish/>
          <w:lang w:eastAsia="es-SV"/>
        </w:rPr>
      </w:pPr>
    </w:p>
    <w:p w:rsidR="00426F76" w:rsidRDefault="00CE0E76" w:rsidP="0039382B">
      <w:pPr>
        <w:pStyle w:val="Prrafodelista"/>
        <w:spacing w:after="0" w:line="240" w:lineRule="auto"/>
        <w:ind w:left="717"/>
        <w:contextualSpacing w:val="0"/>
        <w:rPr>
          <w:rFonts w:eastAsia="Times New Roman" w:cs="Times New Roman"/>
          <w:lang w:eastAsia="es-SV"/>
        </w:rPr>
      </w:pPr>
      <w:r>
        <w:rPr>
          <w:rFonts w:eastAsia="Times New Roman" w:cs="Times New Roman"/>
          <w:lang w:eastAsia="es-SV"/>
        </w:rPr>
        <w:t xml:space="preserve"> Anexa, en lo siguiente:</w:t>
      </w:r>
    </w:p>
    <w:p w:rsidR="0039382B" w:rsidRPr="00F757D9" w:rsidRDefault="00426F76" w:rsidP="0039382B">
      <w:pPr>
        <w:pStyle w:val="Prrafodelista"/>
        <w:spacing w:after="0" w:line="240" w:lineRule="auto"/>
        <w:ind w:left="717"/>
        <w:contextualSpacing w:val="0"/>
        <w:rPr>
          <w:rFonts w:eastAsia="Times New Roman" w:cs="Times New Roman"/>
          <w:sz w:val="8"/>
          <w:szCs w:val="8"/>
          <w:lang w:eastAsia="es-SV"/>
        </w:rPr>
      </w:pPr>
      <w:r w:rsidRPr="00417A5E">
        <w:rPr>
          <w:rFonts w:eastAsia="Times New Roman" w:cs="Times New Roman"/>
          <w:lang w:eastAsia="es-SV"/>
        </w:rPr>
        <w:t xml:space="preserve"> </w:t>
      </w:r>
    </w:p>
    <w:p w:rsidR="00404BA6" w:rsidRPr="00404BA6" w:rsidRDefault="00404BA6" w:rsidP="00282B98">
      <w:pPr>
        <w:pStyle w:val="Prrafodelista"/>
        <w:numPr>
          <w:ilvl w:val="1"/>
          <w:numId w:val="43"/>
        </w:numPr>
        <w:spacing w:after="0" w:line="240" w:lineRule="auto"/>
        <w:ind w:left="714" w:hanging="357"/>
        <w:jc w:val="both"/>
        <w:rPr>
          <w:iCs/>
        </w:rPr>
      </w:pPr>
      <w:r w:rsidRPr="00404BA6">
        <w:rPr>
          <w:rFonts w:eastAsia="Times New Roman" w:cs="Times New Roman"/>
          <w:lang w:eastAsia="es-SV"/>
        </w:rPr>
        <w:t xml:space="preserve">Que las garantías Hipotecarias se encuentren inscritas. </w:t>
      </w:r>
    </w:p>
    <w:p w:rsidR="00404BA6" w:rsidRPr="00404BA6" w:rsidRDefault="00404BA6" w:rsidP="00404BA6">
      <w:pPr>
        <w:pStyle w:val="Prrafodelista"/>
        <w:spacing w:after="0" w:line="240" w:lineRule="auto"/>
        <w:ind w:left="714"/>
        <w:jc w:val="both"/>
        <w:rPr>
          <w:iCs/>
          <w:sz w:val="6"/>
          <w:szCs w:val="6"/>
        </w:rPr>
      </w:pPr>
    </w:p>
    <w:p w:rsidR="00404BA6" w:rsidRPr="00A40F8D" w:rsidRDefault="00A062AC" w:rsidP="00282B98">
      <w:pPr>
        <w:pStyle w:val="Prrafodelista"/>
        <w:numPr>
          <w:ilvl w:val="1"/>
          <w:numId w:val="43"/>
        </w:numPr>
        <w:spacing w:after="0" w:line="240" w:lineRule="auto"/>
        <w:ind w:left="714" w:hanging="357"/>
        <w:jc w:val="both"/>
        <w:rPr>
          <w:iCs/>
        </w:rPr>
      </w:pPr>
      <w:r>
        <w:rPr>
          <w:rFonts w:eastAsia="Times New Roman" w:cs="Times New Roman"/>
          <w:lang w:eastAsia="es-SV"/>
        </w:rPr>
        <w:t xml:space="preserve">La </w:t>
      </w:r>
      <w:r w:rsidR="002260F5" w:rsidRPr="00417A5E">
        <w:rPr>
          <w:rFonts w:eastAsia="Times New Roman" w:cs="Times New Roman"/>
          <w:lang w:eastAsia="es-SV"/>
        </w:rPr>
        <w:t xml:space="preserve">antigüedad </w:t>
      </w:r>
      <w:r w:rsidR="00404BA6" w:rsidRPr="00404BA6">
        <w:rPr>
          <w:rFonts w:eastAsia="Times New Roman" w:cs="Times New Roman"/>
          <w:lang w:eastAsia="es-SV"/>
        </w:rPr>
        <w:t xml:space="preserve">La antigüedad de la valoración pericial de las garantías según destino (Empresa: Antigüedad no mayor a 36 meses y Vivienda: Antigüedad no mayor a 48 meses). </w:t>
      </w:r>
    </w:p>
    <w:p w:rsidR="00A40F8D" w:rsidRPr="00A40F8D" w:rsidRDefault="00A40F8D" w:rsidP="00A40F8D">
      <w:pPr>
        <w:pStyle w:val="Prrafodelista"/>
        <w:rPr>
          <w:iCs/>
          <w:sz w:val="8"/>
          <w:szCs w:val="8"/>
        </w:rPr>
      </w:pPr>
    </w:p>
    <w:p w:rsidR="00A40F8D" w:rsidRDefault="00B22ACE" w:rsidP="00393B08">
      <w:pPr>
        <w:pStyle w:val="Prrafodelista"/>
        <w:jc w:val="center"/>
        <w:rPr>
          <w:iCs/>
          <w:sz w:val="8"/>
          <w:szCs w:val="8"/>
        </w:rPr>
      </w:pPr>
      <w:r w:rsidRPr="006D60D7">
        <w:rPr>
          <w:iCs/>
          <w:sz w:val="8"/>
          <w:szCs w:val="8"/>
        </w:rPr>
        <w:object w:dxaOrig="1551" w:dyaOrig="1004">
          <v:shape id="_x0000_i1029" type="#_x0000_t75" style="width:76.5pt;height:50.25pt" o:ole="">
            <v:imagedata r:id="rId16" o:title=""/>
          </v:shape>
          <o:OLEObject Type="Embed" ProgID="AcroExch.Document.11" ShapeID="_x0000_i1029" DrawAspect="Icon" ObjectID="_1611573269" r:id="rId17"/>
        </w:object>
      </w:r>
    </w:p>
    <w:p w:rsidR="0008129F" w:rsidRPr="0008129F" w:rsidRDefault="0008129F" w:rsidP="00397A8C">
      <w:pPr>
        <w:spacing w:after="0" w:line="240" w:lineRule="auto"/>
        <w:ind w:left="284"/>
        <w:jc w:val="both"/>
        <w:rPr>
          <w:rFonts w:ascii="Calibri" w:eastAsia="Times New Roman" w:hAnsi="Calibri" w:cs="Times New Roman"/>
          <w:lang w:val="es-SV" w:eastAsia="es-SV"/>
        </w:rPr>
      </w:pPr>
      <w:r w:rsidRPr="00EF45BF">
        <w:rPr>
          <w:rFonts w:ascii="Calibri" w:eastAsia="Times New Roman" w:hAnsi="Calibri" w:cs="Times New Roman"/>
          <w:b/>
          <w:lang w:val="es-SV" w:eastAsia="es-SV"/>
        </w:rPr>
        <w:t>Nota</w:t>
      </w:r>
      <w:r w:rsidRPr="0008129F">
        <w:rPr>
          <w:rFonts w:ascii="Calibri" w:eastAsia="Times New Roman" w:hAnsi="Calibri" w:cs="Times New Roman"/>
          <w:lang w:val="es-SV" w:eastAsia="es-SV"/>
        </w:rPr>
        <w:t xml:space="preserve">: Posterior a la obtención de no objeción para la </w:t>
      </w:r>
      <w:r w:rsidR="00750D28">
        <w:rPr>
          <w:rFonts w:ascii="Calibri" w:eastAsia="Times New Roman" w:hAnsi="Calibri" w:cs="Times New Roman"/>
          <w:lang w:val="es-SV" w:eastAsia="es-SV"/>
        </w:rPr>
        <w:t xml:space="preserve">afectación </w:t>
      </w:r>
      <w:r w:rsidRPr="0008129F">
        <w:rPr>
          <w:rFonts w:ascii="Calibri" w:eastAsia="Times New Roman" w:hAnsi="Calibri" w:cs="Times New Roman"/>
          <w:lang w:val="es-SV" w:eastAsia="es-SV"/>
        </w:rPr>
        <w:t>de activos en la Emisión de títulos de deuda con garantía de préstamos hipotecarios, deberá mediante correspondencia oficial gestionar con el Departamento de Autorización de Emisiones de esta Superintendencia, el proceso correspondiente, para dar cumplimiento a lo establecido en el Art. 19 de las “NRP-10 Normas Técnicas para la Autorización y Registro de Emisores y Emisiones de Valores de Oferta Pública”</w:t>
      </w:r>
      <w:r w:rsidR="001733D3">
        <w:rPr>
          <w:rFonts w:ascii="Calibri" w:eastAsia="Times New Roman" w:hAnsi="Calibri" w:cs="Times New Roman"/>
          <w:lang w:val="es-SV" w:eastAsia="es-SV"/>
        </w:rPr>
        <w:t>.</w:t>
      </w:r>
    </w:p>
    <w:p w:rsidR="007F486E" w:rsidRDefault="007F486E" w:rsidP="00B75CBA">
      <w:pPr>
        <w:pStyle w:val="Prrafodelista"/>
        <w:spacing w:before="220" w:after="220" w:line="240" w:lineRule="auto"/>
        <w:ind w:left="357"/>
        <w:contextualSpacing w:val="0"/>
        <w:jc w:val="center"/>
        <w:rPr>
          <w:iCs/>
        </w:rPr>
      </w:pPr>
    </w:p>
    <w:sectPr w:rsidR="007F486E" w:rsidSect="00BB082E">
      <w:headerReference w:type="default" r:id="rId18"/>
      <w:footerReference w:type="default" r:id="rId19"/>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DDF" w:rsidRDefault="00370DDF" w:rsidP="00BB082E">
      <w:pPr>
        <w:spacing w:after="0" w:line="240" w:lineRule="auto"/>
      </w:pPr>
      <w:r>
        <w:separator/>
      </w:r>
    </w:p>
  </w:endnote>
  <w:endnote w:type="continuationSeparator" w:id="0">
    <w:p w:rsidR="00370DDF" w:rsidRDefault="00370DDF"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E97CF6" w:rsidRDefault="00E40D8C" w:rsidP="00555371">
        <w:pPr>
          <w:pStyle w:val="Piedepgina"/>
          <w:jc w:val="right"/>
        </w:pPr>
        <w:fldSimple w:instr=" PAGE   \* MERGEFORMAT ">
          <w:r w:rsidR="004D1A0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DDF" w:rsidRDefault="00370DDF" w:rsidP="00BB082E">
      <w:pPr>
        <w:spacing w:after="0" w:line="240" w:lineRule="auto"/>
      </w:pPr>
      <w:r>
        <w:separator/>
      </w:r>
    </w:p>
  </w:footnote>
  <w:footnote w:type="continuationSeparator" w:id="0">
    <w:p w:rsidR="00370DDF" w:rsidRDefault="00370DDF"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F6" w:rsidRDefault="00E97CF6">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C77951"/>
    <w:multiLevelType w:val="hybridMultilevel"/>
    <w:tmpl w:val="D9F4F924"/>
    <w:lvl w:ilvl="0" w:tplc="440A0019">
      <w:start w:val="1"/>
      <w:numFmt w:val="lowerLetter"/>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3">
    <w:nsid w:val="093D1765"/>
    <w:multiLevelType w:val="multilevel"/>
    <w:tmpl w:val="7BD66640"/>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D216839"/>
    <w:multiLevelType w:val="multilevel"/>
    <w:tmpl w:val="4A16B5D4"/>
    <w:lvl w:ilvl="0">
      <w:start w:val="7"/>
      <w:numFmt w:val="decimal"/>
      <w:lvlText w:val="%1"/>
      <w:lvlJc w:val="left"/>
      <w:pPr>
        <w:ind w:left="360" w:hanging="360"/>
      </w:pPr>
      <w:rPr>
        <w:rFonts w:eastAsia="Times New Roman" w:cs="Times New Roman" w:hint="default"/>
      </w:rPr>
    </w:lvl>
    <w:lvl w:ilvl="1">
      <w:start w:val="1"/>
      <w:numFmt w:val="decimal"/>
      <w:lvlText w:val="%1.%2"/>
      <w:lvlJc w:val="left"/>
      <w:pPr>
        <w:ind w:left="1077" w:hanging="360"/>
      </w:pPr>
      <w:rPr>
        <w:rFonts w:eastAsia="Times New Roman" w:cs="Times New Roman" w:hint="default"/>
      </w:rPr>
    </w:lvl>
    <w:lvl w:ilvl="2">
      <w:start w:val="1"/>
      <w:numFmt w:val="decimal"/>
      <w:lvlText w:val="%1.%2.%3"/>
      <w:lvlJc w:val="left"/>
      <w:pPr>
        <w:ind w:left="2154" w:hanging="720"/>
      </w:pPr>
      <w:rPr>
        <w:rFonts w:eastAsia="Times New Roman" w:cs="Times New Roman" w:hint="default"/>
      </w:rPr>
    </w:lvl>
    <w:lvl w:ilvl="3">
      <w:start w:val="1"/>
      <w:numFmt w:val="decimal"/>
      <w:lvlText w:val="%1.%2.%3.%4"/>
      <w:lvlJc w:val="left"/>
      <w:pPr>
        <w:ind w:left="2871" w:hanging="720"/>
      </w:pPr>
      <w:rPr>
        <w:rFonts w:eastAsia="Times New Roman" w:cs="Times New Roman" w:hint="default"/>
      </w:rPr>
    </w:lvl>
    <w:lvl w:ilvl="4">
      <w:start w:val="1"/>
      <w:numFmt w:val="decimal"/>
      <w:lvlText w:val="%1.%2.%3.%4.%5"/>
      <w:lvlJc w:val="left"/>
      <w:pPr>
        <w:ind w:left="3948" w:hanging="1080"/>
      </w:pPr>
      <w:rPr>
        <w:rFonts w:eastAsia="Times New Roman" w:cs="Times New Roman" w:hint="default"/>
      </w:rPr>
    </w:lvl>
    <w:lvl w:ilvl="5">
      <w:start w:val="1"/>
      <w:numFmt w:val="decimal"/>
      <w:lvlText w:val="%1.%2.%3.%4.%5.%6"/>
      <w:lvlJc w:val="left"/>
      <w:pPr>
        <w:ind w:left="4665" w:hanging="1080"/>
      </w:pPr>
      <w:rPr>
        <w:rFonts w:eastAsia="Times New Roman" w:cs="Times New Roman" w:hint="default"/>
      </w:rPr>
    </w:lvl>
    <w:lvl w:ilvl="6">
      <w:start w:val="1"/>
      <w:numFmt w:val="decimal"/>
      <w:lvlText w:val="%1.%2.%3.%4.%5.%6.%7"/>
      <w:lvlJc w:val="left"/>
      <w:pPr>
        <w:ind w:left="5742" w:hanging="1440"/>
      </w:pPr>
      <w:rPr>
        <w:rFonts w:eastAsia="Times New Roman" w:cs="Times New Roman" w:hint="default"/>
      </w:rPr>
    </w:lvl>
    <w:lvl w:ilvl="7">
      <w:start w:val="1"/>
      <w:numFmt w:val="decimal"/>
      <w:lvlText w:val="%1.%2.%3.%4.%5.%6.%7.%8"/>
      <w:lvlJc w:val="left"/>
      <w:pPr>
        <w:ind w:left="6459" w:hanging="1440"/>
      </w:pPr>
      <w:rPr>
        <w:rFonts w:eastAsia="Times New Roman" w:cs="Times New Roman" w:hint="default"/>
      </w:rPr>
    </w:lvl>
    <w:lvl w:ilvl="8">
      <w:start w:val="1"/>
      <w:numFmt w:val="decimal"/>
      <w:lvlText w:val="%1.%2.%3.%4.%5.%6.%7.%8.%9"/>
      <w:lvlJc w:val="left"/>
      <w:pPr>
        <w:ind w:left="7176" w:hanging="1440"/>
      </w:pPr>
      <w:rPr>
        <w:rFonts w:eastAsia="Times New Roman" w:cs="Times New Roman" w:hint="default"/>
      </w:rPr>
    </w:lvl>
  </w:abstractNum>
  <w:abstractNum w:abstractNumId="7">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8A77FD5"/>
    <w:multiLevelType w:val="hybridMultilevel"/>
    <w:tmpl w:val="A80EA696"/>
    <w:lvl w:ilvl="0" w:tplc="DE2CBEA4">
      <w:start w:val="4"/>
      <w:numFmt w:val="decimal"/>
      <w:lvlText w:val="%1.2"/>
      <w:lvlJc w:val="left"/>
      <w:pPr>
        <w:ind w:left="1077"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2542183"/>
    <w:multiLevelType w:val="multilevel"/>
    <w:tmpl w:val="B5506FBA"/>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5">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4A63487"/>
    <w:multiLevelType w:val="multilevel"/>
    <w:tmpl w:val="DF14C670"/>
    <w:lvl w:ilvl="0">
      <w:start w:val="1"/>
      <w:numFmt w:val="decimal"/>
      <w:lvlText w:val="%1."/>
      <w:lvlJc w:val="left"/>
      <w:pPr>
        <w:ind w:left="720" w:hanging="360"/>
      </w:pPr>
      <w:rPr>
        <w:rFonts w:hint="default"/>
      </w:rPr>
    </w:lvl>
    <w:lvl w:ilvl="1">
      <w:start w:val="1"/>
      <w:numFmt w:val="lowerLetter"/>
      <w:isLgl/>
      <w:lvlText w:val="%2."/>
      <w:lvlJc w:val="left"/>
      <w:pPr>
        <w:ind w:left="1095" w:hanging="375"/>
      </w:pPr>
      <w:rPr>
        <w:rFonts w:ascii="Calibri" w:eastAsia="Times New Roman"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8">
    <w:nsid w:val="320C2BE3"/>
    <w:multiLevelType w:val="hybridMultilevel"/>
    <w:tmpl w:val="0584DCCC"/>
    <w:lvl w:ilvl="0" w:tplc="EB9EC3E6">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FF0EE0"/>
    <w:multiLevelType w:val="singleLevel"/>
    <w:tmpl w:val="0E5C2A14"/>
    <w:lvl w:ilvl="0">
      <w:start w:val="3"/>
      <w:numFmt w:val="lowerLetter"/>
      <w:lvlText w:val="%1)"/>
      <w:lvlJc w:val="left"/>
      <w:pPr>
        <w:tabs>
          <w:tab w:val="num" w:pos="720"/>
        </w:tabs>
        <w:ind w:left="720" w:hanging="720"/>
      </w:pPr>
    </w:lvl>
  </w:abstractNum>
  <w:abstractNum w:abstractNumId="27">
    <w:nsid w:val="537D2F8C"/>
    <w:multiLevelType w:val="hybridMultilevel"/>
    <w:tmpl w:val="8BA23124"/>
    <w:lvl w:ilvl="0" w:tplc="04AEC20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4BF6C5A"/>
    <w:multiLevelType w:val="hybridMultilevel"/>
    <w:tmpl w:val="FEB612EA"/>
    <w:lvl w:ilvl="0" w:tplc="3CA4D6D0">
      <w:start w:val="1"/>
      <w:numFmt w:val="ordinalText"/>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9">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2">
    <w:nsid w:val="635E661E"/>
    <w:multiLevelType w:val="multilevel"/>
    <w:tmpl w:val="A46EA2D8"/>
    <w:lvl w:ilvl="0">
      <w:start w:val="4"/>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176" w:hanging="1440"/>
      </w:pPr>
      <w:rPr>
        <w:rFonts w:hint="default"/>
      </w:rPr>
    </w:lvl>
  </w:abstractNum>
  <w:abstractNum w:abstractNumId="33">
    <w:nsid w:val="63DD668D"/>
    <w:multiLevelType w:val="multilevel"/>
    <w:tmpl w:val="908EFD00"/>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4">
    <w:nsid w:val="69617F64"/>
    <w:multiLevelType w:val="singleLevel"/>
    <w:tmpl w:val="F49E0966"/>
    <w:lvl w:ilvl="0">
      <w:start w:val="1"/>
      <w:numFmt w:val="lowerLetter"/>
      <w:lvlText w:val="%1)"/>
      <w:lvlJc w:val="left"/>
      <w:pPr>
        <w:tabs>
          <w:tab w:val="num" w:pos="720"/>
        </w:tabs>
        <w:ind w:left="720" w:hanging="720"/>
      </w:pPr>
    </w:lvl>
  </w:abstractNum>
  <w:abstractNum w:abstractNumId="35">
    <w:nsid w:val="6DC202BD"/>
    <w:multiLevelType w:val="hybridMultilevel"/>
    <w:tmpl w:val="983EF0D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050D54"/>
    <w:multiLevelType w:val="hybridMultilevel"/>
    <w:tmpl w:val="FDF437DE"/>
    <w:lvl w:ilvl="0" w:tplc="F9165ABA">
      <w:start w:val="1"/>
      <w:numFmt w:val="lowerLetter"/>
      <w:lvlText w:val="%1"/>
      <w:lvlJc w:val="left"/>
      <w:pPr>
        <w:ind w:left="1077" w:hanging="360"/>
      </w:pPr>
      <w:rPr>
        <w:rFonts w:hint="default"/>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7">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E3622D"/>
    <w:multiLevelType w:val="hybridMultilevel"/>
    <w:tmpl w:val="62D26E86"/>
    <w:lvl w:ilvl="0" w:tplc="4E3A85BE">
      <w:start w:val="4"/>
      <w:numFmt w:val="decimal"/>
      <w:lvlText w:val="%1.2"/>
      <w:lvlJc w:val="left"/>
      <w:pPr>
        <w:ind w:left="1077"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E7358E8"/>
    <w:multiLevelType w:val="hybridMultilevel"/>
    <w:tmpl w:val="237219CA"/>
    <w:lvl w:ilvl="0" w:tplc="90E4EFAC">
      <w:start w:val="1"/>
      <w:numFmt w:val="decimal"/>
      <w:lvlText w:val="%1.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2">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0"/>
  </w:num>
  <w:num w:numId="3">
    <w:abstractNumId w:val="15"/>
  </w:num>
  <w:num w:numId="4">
    <w:abstractNumId w:val="29"/>
  </w:num>
  <w:num w:numId="5">
    <w:abstractNumId w:val="30"/>
  </w:num>
  <w:num w:numId="6">
    <w:abstractNumId w:val="7"/>
  </w:num>
  <w:num w:numId="7">
    <w:abstractNumId w:val="23"/>
  </w:num>
  <w:num w:numId="8">
    <w:abstractNumId w:val="42"/>
  </w:num>
  <w:num w:numId="9">
    <w:abstractNumId w:val="22"/>
  </w:num>
  <w:num w:numId="10">
    <w:abstractNumId w:val="31"/>
  </w:num>
  <w:num w:numId="11">
    <w:abstractNumId w:val="11"/>
  </w:num>
  <w:num w:numId="12">
    <w:abstractNumId w:val="25"/>
  </w:num>
  <w:num w:numId="13">
    <w:abstractNumId w:val="34"/>
  </w:num>
  <w:num w:numId="14">
    <w:abstractNumId w:val="26"/>
  </w:num>
  <w:num w:numId="15">
    <w:abstractNumId w:val="17"/>
  </w:num>
  <w:num w:numId="16">
    <w:abstractNumId w:val="12"/>
  </w:num>
  <w:num w:numId="17">
    <w:abstractNumId w:val="13"/>
  </w:num>
  <w:num w:numId="18">
    <w:abstractNumId w:val="24"/>
  </w:num>
  <w:num w:numId="19">
    <w:abstractNumId w:val="37"/>
  </w:num>
  <w:num w:numId="20">
    <w:abstractNumId w:val="5"/>
  </w:num>
  <w:num w:numId="21">
    <w:abstractNumId w:val="0"/>
  </w:num>
  <w:num w:numId="22">
    <w:abstractNumId w:val="19"/>
  </w:num>
  <w:num w:numId="23">
    <w:abstractNumId w:val="10"/>
  </w:num>
  <w:num w:numId="24">
    <w:abstractNumId w:val="40"/>
  </w:num>
  <w:num w:numId="25">
    <w:abstractNumId w:val="21"/>
  </w:num>
  <w:num w:numId="26">
    <w:abstractNumId w:val="4"/>
  </w:num>
  <w:num w:numId="27">
    <w:abstractNumId w:val="1"/>
  </w:num>
  <w:num w:numId="28">
    <w:abstractNumId w:val="8"/>
  </w:num>
  <w:num w:numId="29">
    <w:abstractNumId w:val="16"/>
  </w:num>
  <w:num w:numId="30">
    <w:abstractNumId w:val="2"/>
  </w:num>
  <w:num w:numId="31">
    <w:abstractNumId w:val="27"/>
  </w:num>
  <w:num w:numId="32">
    <w:abstractNumId w:val="18"/>
  </w:num>
  <w:num w:numId="33">
    <w:abstractNumId w:val="35"/>
  </w:num>
  <w:num w:numId="34">
    <w:abstractNumId w:val="28"/>
  </w:num>
  <w:num w:numId="35">
    <w:abstractNumId w:val="3"/>
  </w:num>
  <w:num w:numId="36">
    <w:abstractNumId w:val="33"/>
  </w:num>
  <w:num w:numId="37">
    <w:abstractNumId w:val="36"/>
  </w:num>
  <w:num w:numId="38">
    <w:abstractNumId w:val="41"/>
  </w:num>
  <w:num w:numId="39">
    <w:abstractNumId w:val="38"/>
  </w:num>
  <w:num w:numId="40">
    <w:abstractNumId w:val="9"/>
  </w:num>
  <w:num w:numId="41">
    <w:abstractNumId w:val="32"/>
  </w:num>
  <w:num w:numId="42">
    <w:abstractNumId w:val="14"/>
  </w:num>
  <w:num w:numId="43">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6E10E6"/>
    <w:rsid w:val="00001F79"/>
    <w:rsid w:val="00003843"/>
    <w:rsid w:val="000044E3"/>
    <w:rsid w:val="00011A64"/>
    <w:rsid w:val="000155A4"/>
    <w:rsid w:val="00016F2E"/>
    <w:rsid w:val="0001786B"/>
    <w:rsid w:val="00020BBC"/>
    <w:rsid w:val="00024810"/>
    <w:rsid w:val="00027F74"/>
    <w:rsid w:val="00031824"/>
    <w:rsid w:val="00031AF7"/>
    <w:rsid w:val="00032A4E"/>
    <w:rsid w:val="000338A0"/>
    <w:rsid w:val="00035652"/>
    <w:rsid w:val="00036DCA"/>
    <w:rsid w:val="000437C9"/>
    <w:rsid w:val="0005256E"/>
    <w:rsid w:val="0005646B"/>
    <w:rsid w:val="00056D21"/>
    <w:rsid w:val="00067000"/>
    <w:rsid w:val="00072225"/>
    <w:rsid w:val="000724E5"/>
    <w:rsid w:val="0008129F"/>
    <w:rsid w:val="000830FE"/>
    <w:rsid w:val="00085DE2"/>
    <w:rsid w:val="00094789"/>
    <w:rsid w:val="00095B89"/>
    <w:rsid w:val="000A4DD8"/>
    <w:rsid w:val="000B1623"/>
    <w:rsid w:val="000B2ADA"/>
    <w:rsid w:val="000C0F71"/>
    <w:rsid w:val="000C172A"/>
    <w:rsid w:val="000D0938"/>
    <w:rsid w:val="000D1183"/>
    <w:rsid w:val="000D2A31"/>
    <w:rsid w:val="000D5ABC"/>
    <w:rsid w:val="000E02B8"/>
    <w:rsid w:val="000E1F7E"/>
    <w:rsid w:val="000E2460"/>
    <w:rsid w:val="000E265A"/>
    <w:rsid w:val="000E6763"/>
    <w:rsid w:val="000F1182"/>
    <w:rsid w:val="000F57DB"/>
    <w:rsid w:val="000F5834"/>
    <w:rsid w:val="000F7610"/>
    <w:rsid w:val="00100265"/>
    <w:rsid w:val="00100717"/>
    <w:rsid w:val="00100F5E"/>
    <w:rsid w:val="00101920"/>
    <w:rsid w:val="00104AAB"/>
    <w:rsid w:val="0010720D"/>
    <w:rsid w:val="00107C7E"/>
    <w:rsid w:val="00115839"/>
    <w:rsid w:val="001167F4"/>
    <w:rsid w:val="00116850"/>
    <w:rsid w:val="00125FEF"/>
    <w:rsid w:val="0013243B"/>
    <w:rsid w:val="00137226"/>
    <w:rsid w:val="001406EA"/>
    <w:rsid w:val="001442D4"/>
    <w:rsid w:val="00160A6D"/>
    <w:rsid w:val="00160F12"/>
    <w:rsid w:val="00163375"/>
    <w:rsid w:val="001717D4"/>
    <w:rsid w:val="0017324F"/>
    <w:rsid w:val="001733D3"/>
    <w:rsid w:val="00174775"/>
    <w:rsid w:val="001858E5"/>
    <w:rsid w:val="0019090C"/>
    <w:rsid w:val="001917FA"/>
    <w:rsid w:val="001A182A"/>
    <w:rsid w:val="001A3130"/>
    <w:rsid w:val="001A3B7A"/>
    <w:rsid w:val="001A46DA"/>
    <w:rsid w:val="001A535F"/>
    <w:rsid w:val="001A5BA2"/>
    <w:rsid w:val="001B08B4"/>
    <w:rsid w:val="001B61CD"/>
    <w:rsid w:val="001B7237"/>
    <w:rsid w:val="001C7C11"/>
    <w:rsid w:val="001D3DE3"/>
    <w:rsid w:val="001D4351"/>
    <w:rsid w:val="001E50E9"/>
    <w:rsid w:val="001F18CD"/>
    <w:rsid w:val="00201674"/>
    <w:rsid w:val="002063B2"/>
    <w:rsid w:val="0021163E"/>
    <w:rsid w:val="002124D6"/>
    <w:rsid w:val="002154F9"/>
    <w:rsid w:val="0022300C"/>
    <w:rsid w:val="00223E29"/>
    <w:rsid w:val="002260F5"/>
    <w:rsid w:val="002261CE"/>
    <w:rsid w:val="00240322"/>
    <w:rsid w:val="0024436B"/>
    <w:rsid w:val="002453FE"/>
    <w:rsid w:val="002458E6"/>
    <w:rsid w:val="00246941"/>
    <w:rsid w:val="002524E3"/>
    <w:rsid w:val="00271532"/>
    <w:rsid w:val="00282B98"/>
    <w:rsid w:val="00282EF5"/>
    <w:rsid w:val="002942B1"/>
    <w:rsid w:val="002960E2"/>
    <w:rsid w:val="002A0D14"/>
    <w:rsid w:val="002A48A9"/>
    <w:rsid w:val="002B165A"/>
    <w:rsid w:val="002B582E"/>
    <w:rsid w:val="002C10B7"/>
    <w:rsid w:val="002C2369"/>
    <w:rsid w:val="002C2718"/>
    <w:rsid w:val="002C3F26"/>
    <w:rsid w:val="002E049E"/>
    <w:rsid w:val="002E0626"/>
    <w:rsid w:val="002E4B96"/>
    <w:rsid w:val="002E5290"/>
    <w:rsid w:val="002E7C78"/>
    <w:rsid w:val="002F4092"/>
    <w:rsid w:val="0030785F"/>
    <w:rsid w:val="0032185E"/>
    <w:rsid w:val="00325B91"/>
    <w:rsid w:val="00326063"/>
    <w:rsid w:val="00332766"/>
    <w:rsid w:val="00337A50"/>
    <w:rsid w:val="003407FD"/>
    <w:rsid w:val="00342518"/>
    <w:rsid w:val="00350D28"/>
    <w:rsid w:val="003525C0"/>
    <w:rsid w:val="00354F10"/>
    <w:rsid w:val="0035669C"/>
    <w:rsid w:val="00356D08"/>
    <w:rsid w:val="00361E7B"/>
    <w:rsid w:val="00370DDF"/>
    <w:rsid w:val="00371128"/>
    <w:rsid w:val="00372233"/>
    <w:rsid w:val="0038622E"/>
    <w:rsid w:val="00386C1F"/>
    <w:rsid w:val="00391750"/>
    <w:rsid w:val="0039268F"/>
    <w:rsid w:val="0039382B"/>
    <w:rsid w:val="00393B08"/>
    <w:rsid w:val="00395FF3"/>
    <w:rsid w:val="00396808"/>
    <w:rsid w:val="00397A8C"/>
    <w:rsid w:val="003A1295"/>
    <w:rsid w:val="003A13AC"/>
    <w:rsid w:val="003A22DB"/>
    <w:rsid w:val="003B0778"/>
    <w:rsid w:val="003B54E6"/>
    <w:rsid w:val="003B5AB8"/>
    <w:rsid w:val="003B72A4"/>
    <w:rsid w:val="003C58BF"/>
    <w:rsid w:val="003D3D2F"/>
    <w:rsid w:val="003D6374"/>
    <w:rsid w:val="003F15F0"/>
    <w:rsid w:val="003F2C42"/>
    <w:rsid w:val="003F4F15"/>
    <w:rsid w:val="003F5FDD"/>
    <w:rsid w:val="00404BA6"/>
    <w:rsid w:val="0040553D"/>
    <w:rsid w:val="0041104A"/>
    <w:rsid w:val="004124DC"/>
    <w:rsid w:val="004132F8"/>
    <w:rsid w:val="0041424B"/>
    <w:rsid w:val="00417053"/>
    <w:rsid w:val="00417A5E"/>
    <w:rsid w:val="00424EB7"/>
    <w:rsid w:val="00426F76"/>
    <w:rsid w:val="00435349"/>
    <w:rsid w:val="004433ED"/>
    <w:rsid w:val="00444540"/>
    <w:rsid w:val="004449DD"/>
    <w:rsid w:val="00445E93"/>
    <w:rsid w:val="004525A5"/>
    <w:rsid w:val="0045360D"/>
    <w:rsid w:val="0046395C"/>
    <w:rsid w:val="004710A6"/>
    <w:rsid w:val="00474971"/>
    <w:rsid w:val="00476593"/>
    <w:rsid w:val="00480E29"/>
    <w:rsid w:val="00483C75"/>
    <w:rsid w:val="004853AE"/>
    <w:rsid w:val="00497400"/>
    <w:rsid w:val="004A2E25"/>
    <w:rsid w:val="004A4648"/>
    <w:rsid w:val="004A578E"/>
    <w:rsid w:val="004B0442"/>
    <w:rsid w:val="004B114D"/>
    <w:rsid w:val="004B5FC5"/>
    <w:rsid w:val="004C77DE"/>
    <w:rsid w:val="004D0C28"/>
    <w:rsid w:val="004D1A0E"/>
    <w:rsid w:val="004D2398"/>
    <w:rsid w:val="004D3402"/>
    <w:rsid w:val="004D5E04"/>
    <w:rsid w:val="004D7BFB"/>
    <w:rsid w:val="004E6F28"/>
    <w:rsid w:val="004F0FAD"/>
    <w:rsid w:val="004F3077"/>
    <w:rsid w:val="004F4782"/>
    <w:rsid w:val="0050000B"/>
    <w:rsid w:val="00504809"/>
    <w:rsid w:val="005049D4"/>
    <w:rsid w:val="005078BF"/>
    <w:rsid w:val="00510610"/>
    <w:rsid w:val="00511D28"/>
    <w:rsid w:val="00513370"/>
    <w:rsid w:val="0051575A"/>
    <w:rsid w:val="00515F23"/>
    <w:rsid w:val="0052338E"/>
    <w:rsid w:val="00523544"/>
    <w:rsid w:val="005258AC"/>
    <w:rsid w:val="00532972"/>
    <w:rsid w:val="00536DCF"/>
    <w:rsid w:val="00555371"/>
    <w:rsid w:val="00561EBC"/>
    <w:rsid w:val="00566561"/>
    <w:rsid w:val="00567B55"/>
    <w:rsid w:val="00570C76"/>
    <w:rsid w:val="005719A4"/>
    <w:rsid w:val="00572683"/>
    <w:rsid w:val="00576488"/>
    <w:rsid w:val="00584C9D"/>
    <w:rsid w:val="00586589"/>
    <w:rsid w:val="00586755"/>
    <w:rsid w:val="005967BB"/>
    <w:rsid w:val="00596B36"/>
    <w:rsid w:val="00596B5A"/>
    <w:rsid w:val="005A719C"/>
    <w:rsid w:val="005B2EF1"/>
    <w:rsid w:val="005C7839"/>
    <w:rsid w:val="005D1283"/>
    <w:rsid w:val="005D139C"/>
    <w:rsid w:val="005D4A15"/>
    <w:rsid w:val="005E7AFB"/>
    <w:rsid w:val="005F028A"/>
    <w:rsid w:val="005F0ABF"/>
    <w:rsid w:val="006068A5"/>
    <w:rsid w:val="006117C0"/>
    <w:rsid w:val="00613C6C"/>
    <w:rsid w:val="0061701F"/>
    <w:rsid w:val="00624905"/>
    <w:rsid w:val="00625192"/>
    <w:rsid w:val="00632152"/>
    <w:rsid w:val="0063302D"/>
    <w:rsid w:val="006404C6"/>
    <w:rsid w:val="00640DE7"/>
    <w:rsid w:val="00651646"/>
    <w:rsid w:val="00652E61"/>
    <w:rsid w:val="00654EAA"/>
    <w:rsid w:val="00664741"/>
    <w:rsid w:val="00664C79"/>
    <w:rsid w:val="00667811"/>
    <w:rsid w:val="00691EEE"/>
    <w:rsid w:val="00692CA5"/>
    <w:rsid w:val="00692F9D"/>
    <w:rsid w:val="006950D4"/>
    <w:rsid w:val="006B0465"/>
    <w:rsid w:val="006B08B1"/>
    <w:rsid w:val="006B0A67"/>
    <w:rsid w:val="006B1F02"/>
    <w:rsid w:val="006B40D0"/>
    <w:rsid w:val="006C2209"/>
    <w:rsid w:val="006C4141"/>
    <w:rsid w:val="006C761D"/>
    <w:rsid w:val="006D60D7"/>
    <w:rsid w:val="006D7E05"/>
    <w:rsid w:val="006E10E6"/>
    <w:rsid w:val="006E1EFC"/>
    <w:rsid w:val="006E498E"/>
    <w:rsid w:val="006F5C2D"/>
    <w:rsid w:val="006F5DFB"/>
    <w:rsid w:val="00710E43"/>
    <w:rsid w:val="007203CE"/>
    <w:rsid w:val="00723B02"/>
    <w:rsid w:val="00725DB7"/>
    <w:rsid w:val="00725E00"/>
    <w:rsid w:val="00731C3C"/>
    <w:rsid w:val="007438A2"/>
    <w:rsid w:val="007445F5"/>
    <w:rsid w:val="00750D28"/>
    <w:rsid w:val="007567FA"/>
    <w:rsid w:val="00757242"/>
    <w:rsid w:val="00771556"/>
    <w:rsid w:val="00776EAD"/>
    <w:rsid w:val="00781DD2"/>
    <w:rsid w:val="007903A7"/>
    <w:rsid w:val="00794806"/>
    <w:rsid w:val="0079519E"/>
    <w:rsid w:val="007A7323"/>
    <w:rsid w:val="007B38BB"/>
    <w:rsid w:val="007C11C6"/>
    <w:rsid w:val="007C395A"/>
    <w:rsid w:val="007D4728"/>
    <w:rsid w:val="007D6C6E"/>
    <w:rsid w:val="007F486E"/>
    <w:rsid w:val="00804C9B"/>
    <w:rsid w:val="00806841"/>
    <w:rsid w:val="00816A27"/>
    <w:rsid w:val="00817CC7"/>
    <w:rsid w:val="00827373"/>
    <w:rsid w:val="00831E77"/>
    <w:rsid w:val="00832068"/>
    <w:rsid w:val="0084521A"/>
    <w:rsid w:val="0084650A"/>
    <w:rsid w:val="00852200"/>
    <w:rsid w:val="00853B48"/>
    <w:rsid w:val="008560E0"/>
    <w:rsid w:val="008604AE"/>
    <w:rsid w:val="008660FE"/>
    <w:rsid w:val="00867326"/>
    <w:rsid w:val="008766C2"/>
    <w:rsid w:val="00876C2A"/>
    <w:rsid w:val="0088610B"/>
    <w:rsid w:val="0089453D"/>
    <w:rsid w:val="008A0957"/>
    <w:rsid w:val="008A3BA0"/>
    <w:rsid w:val="008B1746"/>
    <w:rsid w:val="008B317C"/>
    <w:rsid w:val="008C198E"/>
    <w:rsid w:val="008C2C2B"/>
    <w:rsid w:val="008C3872"/>
    <w:rsid w:val="008C4AD8"/>
    <w:rsid w:val="008C54F1"/>
    <w:rsid w:val="008D0833"/>
    <w:rsid w:val="008D71BD"/>
    <w:rsid w:val="008E14D3"/>
    <w:rsid w:val="008F0320"/>
    <w:rsid w:val="00900942"/>
    <w:rsid w:val="009019AF"/>
    <w:rsid w:val="00904C5E"/>
    <w:rsid w:val="00907BA0"/>
    <w:rsid w:val="00910FA1"/>
    <w:rsid w:val="00913512"/>
    <w:rsid w:val="0092027A"/>
    <w:rsid w:val="00921529"/>
    <w:rsid w:val="009350E1"/>
    <w:rsid w:val="0094171F"/>
    <w:rsid w:val="009469D2"/>
    <w:rsid w:val="00951EE0"/>
    <w:rsid w:val="009554E7"/>
    <w:rsid w:val="009708FC"/>
    <w:rsid w:val="00974077"/>
    <w:rsid w:val="0097580C"/>
    <w:rsid w:val="009846AA"/>
    <w:rsid w:val="00985171"/>
    <w:rsid w:val="009A35F1"/>
    <w:rsid w:val="009A429C"/>
    <w:rsid w:val="009A42EF"/>
    <w:rsid w:val="009B1AA0"/>
    <w:rsid w:val="009B2F7F"/>
    <w:rsid w:val="009B5764"/>
    <w:rsid w:val="009C675C"/>
    <w:rsid w:val="009D0C38"/>
    <w:rsid w:val="009D634A"/>
    <w:rsid w:val="009F1DBB"/>
    <w:rsid w:val="00A062AC"/>
    <w:rsid w:val="00A15FFA"/>
    <w:rsid w:val="00A16152"/>
    <w:rsid w:val="00A20F2E"/>
    <w:rsid w:val="00A248DB"/>
    <w:rsid w:val="00A26DB3"/>
    <w:rsid w:val="00A27558"/>
    <w:rsid w:val="00A3495D"/>
    <w:rsid w:val="00A3719E"/>
    <w:rsid w:val="00A37456"/>
    <w:rsid w:val="00A40F8D"/>
    <w:rsid w:val="00A45BF0"/>
    <w:rsid w:val="00A51EA6"/>
    <w:rsid w:val="00A54B93"/>
    <w:rsid w:val="00A57068"/>
    <w:rsid w:val="00A57DEC"/>
    <w:rsid w:val="00A57FAF"/>
    <w:rsid w:val="00A631E9"/>
    <w:rsid w:val="00A643FC"/>
    <w:rsid w:val="00A65C83"/>
    <w:rsid w:val="00A6619E"/>
    <w:rsid w:val="00A8371B"/>
    <w:rsid w:val="00A8750D"/>
    <w:rsid w:val="00A920FB"/>
    <w:rsid w:val="00A92FB7"/>
    <w:rsid w:val="00A93225"/>
    <w:rsid w:val="00A972B3"/>
    <w:rsid w:val="00AA063C"/>
    <w:rsid w:val="00AA215B"/>
    <w:rsid w:val="00AA289E"/>
    <w:rsid w:val="00AA61E9"/>
    <w:rsid w:val="00AC23D0"/>
    <w:rsid w:val="00AC4D71"/>
    <w:rsid w:val="00AD258E"/>
    <w:rsid w:val="00AE1995"/>
    <w:rsid w:val="00AE23A4"/>
    <w:rsid w:val="00AE2B3D"/>
    <w:rsid w:val="00AE4552"/>
    <w:rsid w:val="00AE62C9"/>
    <w:rsid w:val="00AF290B"/>
    <w:rsid w:val="00AF292C"/>
    <w:rsid w:val="00B014E1"/>
    <w:rsid w:val="00B065CA"/>
    <w:rsid w:val="00B14897"/>
    <w:rsid w:val="00B21EA2"/>
    <w:rsid w:val="00B22ACE"/>
    <w:rsid w:val="00B2753A"/>
    <w:rsid w:val="00B3165F"/>
    <w:rsid w:val="00B34CB1"/>
    <w:rsid w:val="00B36CF5"/>
    <w:rsid w:val="00B3745A"/>
    <w:rsid w:val="00B40193"/>
    <w:rsid w:val="00B41C7C"/>
    <w:rsid w:val="00B41CD5"/>
    <w:rsid w:val="00B43BBE"/>
    <w:rsid w:val="00B50819"/>
    <w:rsid w:val="00B527CB"/>
    <w:rsid w:val="00B62BB8"/>
    <w:rsid w:val="00B6463C"/>
    <w:rsid w:val="00B70EBE"/>
    <w:rsid w:val="00B72970"/>
    <w:rsid w:val="00B75CBA"/>
    <w:rsid w:val="00B7731A"/>
    <w:rsid w:val="00B82F6E"/>
    <w:rsid w:val="00B950E9"/>
    <w:rsid w:val="00BA06F6"/>
    <w:rsid w:val="00BA4E6F"/>
    <w:rsid w:val="00BB082E"/>
    <w:rsid w:val="00BD1EA1"/>
    <w:rsid w:val="00BD7EFA"/>
    <w:rsid w:val="00BE154B"/>
    <w:rsid w:val="00BE3136"/>
    <w:rsid w:val="00BE6C77"/>
    <w:rsid w:val="00BF35A1"/>
    <w:rsid w:val="00C00136"/>
    <w:rsid w:val="00C06E2A"/>
    <w:rsid w:val="00C07FA1"/>
    <w:rsid w:val="00C1238A"/>
    <w:rsid w:val="00C24ACE"/>
    <w:rsid w:val="00C52EE9"/>
    <w:rsid w:val="00C538DA"/>
    <w:rsid w:val="00C54DEF"/>
    <w:rsid w:val="00C553BA"/>
    <w:rsid w:val="00C55EF4"/>
    <w:rsid w:val="00C62CDD"/>
    <w:rsid w:val="00C726F4"/>
    <w:rsid w:val="00C75097"/>
    <w:rsid w:val="00C767B4"/>
    <w:rsid w:val="00C85703"/>
    <w:rsid w:val="00C86172"/>
    <w:rsid w:val="00C87B9E"/>
    <w:rsid w:val="00C9203E"/>
    <w:rsid w:val="00C9531F"/>
    <w:rsid w:val="00CA0A2C"/>
    <w:rsid w:val="00CA4F9B"/>
    <w:rsid w:val="00CB039F"/>
    <w:rsid w:val="00CC4A10"/>
    <w:rsid w:val="00CD07A1"/>
    <w:rsid w:val="00CD0FD9"/>
    <w:rsid w:val="00CD2305"/>
    <w:rsid w:val="00CD36A4"/>
    <w:rsid w:val="00CD6EF2"/>
    <w:rsid w:val="00CE0E76"/>
    <w:rsid w:val="00CE6A65"/>
    <w:rsid w:val="00CE72B9"/>
    <w:rsid w:val="00CE7411"/>
    <w:rsid w:val="00CF399E"/>
    <w:rsid w:val="00CF6881"/>
    <w:rsid w:val="00D14E87"/>
    <w:rsid w:val="00D26D97"/>
    <w:rsid w:val="00D37ED9"/>
    <w:rsid w:val="00D41397"/>
    <w:rsid w:val="00D42B00"/>
    <w:rsid w:val="00D44007"/>
    <w:rsid w:val="00D53CE0"/>
    <w:rsid w:val="00D55F4E"/>
    <w:rsid w:val="00D636AF"/>
    <w:rsid w:val="00D64D63"/>
    <w:rsid w:val="00D65C5E"/>
    <w:rsid w:val="00D77D08"/>
    <w:rsid w:val="00D82379"/>
    <w:rsid w:val="00D82D5D"/>
    <w:rsid w:val="00D832F3"/>
    <w:rsid w:val="00D854ED"/>
    <w:rsid w:val="00D85E7E"/>
    <w:rsid w:val="00D94A2B"/>
    <w:rsid w:val="00D95A70"/>
    <w:rsid w:val="00D967FF"/>
    <w:rsid w:val="00DA2889"/>
    <w:rsid w:val="00DA48D4"/>
    <w:rsid w:val="00DC1F8B"/>
    <w:rsid w:val="00DD004E"/>
    <w:rsid w:val="00DD00D0"/>
    <w:rsid w:val="00DD2975"/>
    <w:rsid w:val="00DD51C4"/>
    <w:rsid w:val="00DD5B91"/>
    <w:rsid w:val="00DE1626"/>
    <w:rsid w:val="00DE6602"/>
    <w:rsid w:val="00DF2E41"/>
    <w:rsid w:val="00DF373D"/>
    <w:rsid w:val="00DF5756"/>
    <w:rsid w:val="00E02A8C"/>
    <w:rsid w:val="00E032CC"/>
    <w:rsid w:val="00E12282"/>
    <w:rsid w:val="00E247E4"/>
    <w:rsid w:val="00E30153"/>
    <w:rsid w:val="00E3175E"/>
    <w:rsid w:val="00E31C61"/>
    <w:rsid w:val="00E40D8C"/>
    <w:rsid w:val="00E41DAD"/>
    <w:rsid w:val="00E4399C"/>
    <w:rsid w:val="00E45DA9"/>
    <w:rsid w:val="00E55667"/>
    <w:rsid w:val="00E57470"/>
    <w:rsid w:val="00E63205"/>
    <w:rsid w:val="00E63934"/>
    <w:rsid w:val="00E64A57"/>
    <w:rsid w:val="00E6663F"/>
    <w:rsid w:val="00E85F58"/>
    <w:rsid w:val="00E87A0D"/>
    <w:rsid w:val="00E92686"/>
    <w:rsid w:val="00E93A61"/>
    <w:rsid w:val="00E97CF6"/>
    <w:rsid w:val="00EA1BC4"/>
    <w:rsid w:val="00EA7010"/>
    <w:rsid w:val="00EC055A"/>
    <w:rsid w:val="00EC130B"/>
    <w:rsid w:val="00EC311F"/>
    <w:rsid w:val="00ED16CC"/>
    <w:rsid w:val="00ED522A"/>
    <w:rsid w:val="00EE167B"/>
    <w:rsid w:val="00EF45BF"/>
    <w:rsid w:val="00EF49B9"/>
    <w:rsid w:val="00F01531"/>
    <w:rsid w:val="00F03907"/>
    <w:rsid w:val="00F103F0"/>
    <w:rsid w:val="00F10C9F"/>
    <w:rsid w:val="00F116F1"/>
    <w:rsid w:val="00F1461A"/>
    <w:rsid w:val="00F16B62"/>
    <w:rsid w:val="00F1722F"/>
    <w:rsid w:val="00F21831"/>
    <w:rsid w:val="00F2223A"/>
    <w:rsid w:val="00F30A42"/>
    <w:rsid w:val="00F32CEE"/>
    <w:rsid w:val="00F3513F"/>
    <w:rsid w:val="00F3670F"/>
    <w:rsid w:val="00F41C0B"/>
    <w:rsid w:val="00F46EEF"/>
    <w:rsid w:val="00F47739"/>
    <w:rsid w:val="00F519F3"/>
    <w:rsid w:val="00F5239C"/>
    <w:rsid w:val="00F55C32"/>
    <w:rsid w:val="00F579FB"/>
    <w:rsid w:val="00F60796"/>
    <w:rsid w:val="00F610C5"/>
    <w:rsid w:val="00F616B2"/>
    <w:rsid w:val="00F61BD7"/>
    <w:rsid w:val="00F62C0E"/>
    <w:rsid w:val="00F65750"/>
    <w:rsid w:val="00F7494A"/>
    <w:rsid w:val="00F749BC"/>
    <w:rsid w:val="00F757D9"/>
    <w:rsid w:val="00F76C12"/>
    <w:rsid w:val="00F77C1E"/>
    <w:rsid w:val="00F861EA"/>
    <w:rsid w:val="00F86B74"/>
    <w:rsid w:val="00F93DB3"/>
    <w:rsid w:val="00F97A9D"/>
    <w:rsid w:val="00FA2BA7"/>
    <w:rsid w:val="00FA3968"/>
    <w:rsid w:val="00FA4A8B"/>
    <w:rsid w:val="00FA7D1A"/>
    <w:rsid w:val="00FB1C58"/>
    <w:rsid w:val="00FB1F4F"/>
    <w:rsid w:val="00FC2643"/>
    <w:rsid w:val="00FD4BAD"/>
    <w:rsid w:val="00FD6385"/>
    <w:rsid w:val="00FE0CF5"/>
    <w:rsid w:val="00FF030F"/>
    <w:rsid w:val="00FF76B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uiPriority w:val="9"/>
    <w:semiHidden/>
    <w:unhideWhenUsed/>
    <w:qFormat/>
    <w:rsid w:val="005867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 w:type="character" w:customStyle="1" w:styleId="Ttulo4Car">
    <w:name w:val="Título 4 Car"/>
    <w:basedOn w:val="Fuentedeprrafopredeter"/>
    <w:link w:val="Ttulo4"/>
    <w:uiPriority w:val="9"/>
    <w:semiHidden/>
    <w:rsid w:val="00586755"/>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99"/>
    <w:unhideWhenUsed/>
    <w:rsid w:val="00EF45BF"/>
    <w:pPr>
      <w:spacing w:after="120"/>
    </w:pPr>
  </w:style>
  <w:style w:type="character" w:customStyle="1" w:styleId="TextoindependienteCar">
    <w:name w:val="Texto independiente Car"/>
    <w:basedOn w:val="Fuentedeprrafopredeter"/>
    <w:link w:val="Textoindependiente"/>
    <w:uiPriority w:val="99"/>
    <w:rsid w:val="00EF45BF"/>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491332834">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Office_Excel3.xls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Office_Excel2.xls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Hoja_de_c_lculo_de_Microsoft_Office_Excel1.xls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00079-4D03-48CE-819F-F3A3E1F5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775</Words>
  <Characters>4265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japo</cp:lastModifiedBy>
  <cp:revision>10</cp:revision>
  <cp:lastPrinted>2014-09-02T16:41:00Z</cp:lastPrinted>
  <dcterms:created xsi:type="dcterms:W3CDTF">2019-02-12T22:27:00Z</dcterms:created>
  <dcterms:modified xsi:type="dcterms:W3CDTF">2019-02-13T19:55:00Z</dcterms:modified>
</cp:coreProperties>
</file>