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AD" w:rsidRDefault="00DC29AD"/>
    <w:p w:rsidR="007074C6" w:rsidRPr="0035087D" w:rsidRDefault="007074C6" w:rsidP="007074C6">
      <w:pPr>
        <w:jc w:val="center"/>
        <w:rPr>
          <w:rFonts w:ascii="Arial Narrow" w:hAnsi="Arial Narrow"/>
          <w:b/>
          <w:shadow/>
          <w:color w:val="0F243E" w:themeColor="text2" w:themeShade="80"/>
          <w:sz w:val="28"/>
          <w:u w:val="double"/>
        </w:rPr>
      </w:pPr>
      <w:r w:rsidRPr="0035087D">
        <w:rPr>
          <w:rFonts w:ascii="Arial Narrow" w:hAnsi="Arial Narrow"/>
          <w:b/>
          <w:shadow/>
          <w:color w:val="0F243E" w:themeColor="text2" w:themeShade="80"/>
          <w:sz w:val="28"/>
          <w:u w:val="double"/>
        </w:rPr>
        <w:t>LISTADO DE ERRORES FRECUENTES EN LOS DOCUMENTOS PRESENTADOS PARA LA AUTORIZACIÓN DE EMISIONES DE VALORES</w:t>
      </w:r>
    </w:p>
    <w:p w:rsidR="007074C6" w:rsidRPr="0035087D" w:rsidRDefault="007074C6" w:rsidP="007074C6">
      <w:pPr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numPr>
          <w:ilvl w:val="0"/>
          <w:numId w:val="1"/>
        </w:numPr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</w:pPr>
      <w:r w:rsidRPr="0035087D"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  <w:t>ERRORES FRECUENTES - EN EL PROSPECTO DE EMISIÓN</w:t>
      </w:r>
    </w:p>
    <w:p w:rsidR="007074C6" w:rsidRPr="0035087D" w:rsidRDefault="007074C6" w:rsidP="007074C6">
      <w:pPr>
        <w:pStyle w:val="Prrafodelista"/>
        <w:ind w:left="360"/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El prospecto </w:t>
      </w:r>
      <w:r>
        <w:rPr>
          <w:rFonts w:ascii="Arial Narrow" w:hAnsi="Arial Narrow"/>
        </w:rPr>
        <w:t>no contiene</w:t>
      </w:r>
      <w:r w:rsidRPr="0035087D">
        <w:rPr>
          <w:rFonts w:ascii="Arial Narrow" w:hAnsi="Arial Narrow"/>
        </w:rPr>
        <w:t xml:space="preserve"> los elementos mínimos requeridos por la en las Normas Técnicas para la autorización y registro de  de emisores y emisiones de valores de oferta pública NRP-10.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Existen muchos errores en l</w:t>
      </w:r>
      <w:r w:rsidRPr="0035087D">
        <w:rPr>
          <w:rFonts w:ascii="Arial Narrow" w:hAnsi="Arial Narrow"/>
        </w:rPr>
        <w:t xml:space="preserve">as referencias de los acuerdos de autorización, del emisor, la </w:t>
      </w:r>
      <w:proofErr w:type="spellStart"/>
      <w:r w:rsidRPr="0035087D">
        <w:rPr>
          <w:rFonts w:ascii="Arial Narrow" w:hAnsi="Arial Narrow"/>
        </w:rPr>
        <w:t>titularizadora</w:t>
      </w:r>
      <w:proofErr w:type="spellEnd"/>
      <w:r w:rsidRPr="0035087D">
        <w:rPr>
          <w:rFonts w:ascii="Arial Narrow" w:hAnsi="Arial Narrow"/>
        </w:rPr>
        <w:t>, la Superintendencia y otras entidades</w:t>
      </w:r>
      <w:r>
        <w:rPr>
          <w:rFonts w:ascii="Arial Narrow" w:hAnsi="Arial Narrow"/>
        </w:rPr>
        <w:t>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Existen varios errores de ortografía y redacción.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Las características de la emisión </w:t>
      </w:r>
      <w:r>
        <w:rPr>
          <w:rFonts w:ascii="Arial Narrow" w:hAnsi="Arial Narrow"/>
        </w:rPr>
        <w:t>no concuerdan</w:t>
      </w:r>
      <w:r w:rsidRPr="0035087D">
        <w:rPr>
          <w:rFonts w:ascii="Arial Narrow" w:hAnsi="Arial Narrow"/>
        </w:rPr>
        <w:t xml:space="preserve"> con las establecidas en el acuerdo del emisor, la escritura de emisión o el contrato de titularización.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El prospecto </w:t>
      </w:r>
      <w:r>
        <w:rPr>
          <w:rFonts w:ascii="Arial Narrow" w:hAnsi="Arial Narrow"/>
        </w:rPr>
        <w:t>no se</w:t>
      </w:r>
      <w:r w:rsidRPr="0035087D">
        <w:rPr>
          <w:rFonts w:ascii="Arial Narrow" w:hAnsi="Arial Narrow"/>
        </w:rPr>
        <w:t xml:space="preserve"> presenta</w:t>
      </w:r>
      <w:r>
        <w:rPr>
          <w:rFonts w:ascii="Arial Narrow" w:hAnsi="Arial Narrow"/>
        </w:rPr>
        <w:t xml:space="preserve"> con sus</w:t>
      </w:r>
      <w:r w:rsidRPr="0035087D">
        <w:rPr>
          <w:rFonts w:ascii="Arial Narrow" w:hAnsi="Arial Narrow"/>
        </w:rPr>
        <w:t xml:space="preserve"> anexos.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Información incompleta e</w:t>
      </w:r>
      <w:r w:rsidRPr="0035087D">
        <w:rPr>
          <w:rFonts w:ascii="Arial Narrow" w:hAnsi="Arial Narrow"/>
        </w:rPr>
        <w:t xml:space="preserve">n el apartado de los RIESGOS DE LA EMISIÓN, éstos </w:t>
      </w:r>
      <w:r>
        <w:rPr>
          <w:rFonts w:ascii="Arial Narrow" w:hAnsi="Arial Narrow"/>
        </w:rPr>
        <w:t>no se deben d</w:t>
      </w:r>
      <w:r w:rsidRPr="0035087D">
        <w:rPr>
          <w:rFonts w:ascii="Arial Narrow" w:hAnsi="Arial Narrow"/>
        </w:rPr>
        <w:t>etall</w:t>
      </w:r>
      <w:r>
        <w:rPr>
          <w:rFonts w:ascii="Arial Narrow" w:hAnsi="Arial Narrow"/>
        </w:rPr>
        <w:t>ar</w:t>
      </w:r>
      <w:r w:rsidRPr="0035087D">
        <w:rPr>
          <w:rFonts w:ascii="Arial Narrow" w:hAnsi="Arial Narrow"/>
        </w:rPr>
        <w:t xml:space="preserve"> de manera muy general y</w:t>
      </w:r>
      <w:r>
        <w:rPr>
          <w:rFonts w:ascii="Arial Narrow" w:hAnsi="Arial Narrow"/>
        </w:rPr>
        <w:t>a que se requiere</w:t>
      </w:r>
      <w:r w:rsidRPr="0035087D">
        <w:rPr>
          <w:rFonts w:ascii="Arial Narrow" w:hAnsi="Arial Narrow"/>
        </w:rPr>
        <w:t xml:space="preserve"> considera</w:t>
      </w:r>
      <w:r>
        <w:rPr>
          <w:rFonts w:ascii="Arial Narrow" w:hAnsi="Arial Narrow"/>
        </w:rPr>
        <w:t>r</w:t>
      </w:r>
      <w:r w:rsidRPr="0035087D">
        <w:rPr>
          <w:rFonts w:ascii="Arial Narrow" w:hAnsi="Arial Narrow"/>
        </w:rPr>
        <w:t xml:space="preserve"> todos los riesgos que puedan afectar a la emisión, incluyendo los riesgos propios del sector al que pertenece el emisor. Asimismo </w:t>
      </w:r>
      <w:r>
        <w:rPr>
          <w:rFonts w:ascii="Arial Narrow" w:hAnsi="Arial Narrow"/>
        </w:rPr>
        <w:t>se debe indicar,</w:t>
      </w:r>
      <w:r w:rsidRPr="0035087D">
        <w:rPr>
          <w:rFonts w:ascii="Arial Narrow" w:hAnsi="Arial Narrow"/>
        </w:rPr>
        <w:t xml:space="preserve"> para cada tipo de riesgo, las medidas de prevención y mitigación de dicho riesgo, que han sido adoptadas por el emisor.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En el apartado de GARANTÍAS DE LA EMISIÓN, </w:t>
      </w:r>
      <w:r>
        <w:rPr>
          <w:rFonts w:ascii="Arial Narrow" w:hAnsi="Arial Narrow"/>
        </w:rPr>
        <w:t>no se</w:t>
      </w:r>
      <w:r w:rsidRPr="0035087D">
        <w:rPr>
          <w:rFonts w:ascii="Arial Narrow" w:hAnsi="Arial Narrow"/>
        </w:rPr>
        <w:t xml:space="preserve"> incorpora</w:t>
      </w:r>
      <w:r>
        <w:rPr>
          <w:rFonts w:ascii="Arial Narrow" w:hAnsi="Arial Narrow"/>
        </w:rPr>
        <w:t>n</w:t>
      </w:r>
      <w:r w:rsidRPr="0035087D">
        <w:rPr>
          <w:rFonts w:ascii="Arial Narrow" w:hAnsi="Arial Narrow"/>
        </w:rPr>
        <w:t xml:space="preserve"> cuáles serán los mecanismos de ejecución de las garantías (judicial y extrajudicial), así como el procedimiento y jurisdicción en que será reclamada o hecha efectiva dicha garantía, </w:t>
      </w:r>
      <w:r>
        <w:rPr>
          <w:rFonts w:ascii="Arial Narrow" w:hAnsi="Arial Narrow"/>
        </w:rPr>
        <w:t xml:space="preserve">indicando </w:t>
      </w:r>
      <w:r w:rsidRPr="0035087D">
        <w:rPr>
          <w:rFonts w:ascii="Arial Narrow" w:hAnsi="Arial Narrow"/>
        </w:rPr>
        <w:t>quién será el encargado de ejecutarla, y si los costos serán por cuenta de los inversionistas.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se</w:t>
      </w:r>
      <w:r w:rsidRPr="0035087D">
        <w:rPr>
          <w:rFonts w:ascii="Arial Narrow" w:hAnsi="Arial Narrow"/>
        </w:rPr>
        <w:t xml:space="preserve"> inclu</w:t>
      </w:r>
      <w:r>
        <w:rPr>
          <w:rFonts w:ascii="Arial Narrow" w:hAnsi="Arial Narrow"/>
        </w:rPr>
        <w:t xml:space="preserve">ye </w:t>
      </w:r>
      <w:r w:rsidRPr="0035087D">
        <w:rPr>
          <w:rFonts w:ascii="Arial Narrow" w:hAnsi="Arial Narrow"/>
        </w:rPr>
        <w:t>el detalle de la persona que servirá de contacto en el emisor y en la casa corredora de bolsa para atender consultas de los inversionistas.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No se </w:t>
      </w:r>
      <w:r w:rsidRPr="0035087D">
        <w:rPr>
          <w:rFonts w:ascii="Arial Narrow" w:hAnsi="Arial Narrow"/>
        </w:rPr>
        <w:t>incorpora en el prospecto</w:t>
      </w:r>
      <w:r>
        <w:rPr>
          <w:rFonts w:ascii="Arial Narrow" w:hAnsi="Arial Narrow"/>
        </w:rPr>
        <w:t>,</w:t>
      </w:r>
      <w:r w:rsidRPr="0035087D">
        <w:rPr>
          <w:rFonts w:ascii="Arial Narrow" w:hAnsi="Arial Narrow"/>
        </w:rPr>
        <w:t xml:space="preserve"> información sobre los litigios promovidos en contra del emisor.</w:t>
      </w:r>
    </w:p>
    <w:p w:rsidR="007074C6" w:rsidRPr="0035087D" w:rsidRDefault="007074C6" w:rsidP="007074C6">
      <w:pPr>
        <w:pStyle w:val="Prrafodelista"/>
        <w:numPr>
          <w:ilvl w:val="0"/>
          <w:numId w:val="2"/>
        </w:numPr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Las comisiones y gastos detallados en el prospecto de emisión, </w:t>
      </w:r>
      <w:r>
        <w:rPr>
          <w:rFonts w:ascii="Arial Narrow" w:hAnsi="Arial Narrow"/>
        </w:rPr>
        <w:t xml:space="preserve">no concuerdan </w:t>
      </w:r>
      <w:r w:rsidRPr="0035087D">
        <w:rPr>
          <w:rFonts w:ascii="Arial Narrow" w:hAnsi="Arial Narrow"/>
        </w:rPr>
        <w:t>con las que aparecen en el contrato de titularización.</w:t>
      </w:r>
    </w:p>
    <w:p w:rsidR="007074C6" w:rsidRPr="0035087D" w:rsidRDefault="007074C6" w:rsidP="007074C6">
      <w:pPr>
        <w:jc w:val="both"/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</w:pPr>
      <w:r w:rsidRPr="0035087D"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  <w:t>ERRORES FRECUENTES - EN LOS DOCUMENTOS LEGALES</w:t>
      </w:r>
    </w:p>
    <w:p w:rsidR="007074C6" w:rsidRPr="0035087D" w:rsidRDefault="007074C6" w:rsidP="007074C6">
      <w:pPr>
        <w:pStyle w:val="Prrafodelista"/>
        <w:ind w:left="360"/>
        <w:jc w:val="both"/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Las </w:t>
      </w:r>
      <w:r w:rsidRPr="0035087D">
        <w:rPr>
          <w:rFonts w:ascii="Arial Narrow" w:hAnsi="Arial Narrow"/>
        </w:rPr>
        <w:t>personerías</w:t>
      </w:r>
      <w:r>
        <w:rPr>
          <w:rFonts w:ascii="Arial Narrow" w:hAnsi="Arial Narrow"/>
        </w:rPr>
        <w:t>, no se relacionan de manera correcta.</w:t>
      </w:r>
    </w:p>
    <w:p w:rsidR="007074C6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se</w:t>
      </w:r>
      <w:r w:rsidRPr="0035087D">
        <w:rPr>
          <w:rFonts w:ascii="Arial Narrow" w:hAnsi="Arial Narrow"/>
        </w:rPr>
        <w:t xml:space="preserve"> completa</w:t>
      </w:r>
      <w:r>
        <w:rPr>
          <w:rFonts w:ascii="Arial Narrow" w:hAnsi="Arial Narrow"/>
        </w:rPr>
        <w:t>n</w:t>
      </w:r>
      <w:r w:rsidRPr="0035087D">
        <w:rPr>
          <w:rFonts w:ascii="Arial Narrow" w:hAnsi="Arial Narrow"/>
        </w:rPr>
        <w:t xml:space="preserve"> todos los apartados de los contratos, </w:t>
      </w:r>
    </w:p>
    <w:p w:rsidR="007074C6" w:rsidRPr="0035087D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No se presenta completo </w:t>
      </w:r>
      <w:r w:rsidRPr="0035087D">
        <w:rPr>
          <w:rFonts w:ascii="Arial Narrow" w:hAnsi="Arial Narrow"/>
        </w:rPr>
        <w:t>el paquete regulatorio</w:t>
      </w:r>
    </w:p>
    <w:p w:rsidR="007074C6" w:rsidRPr="0035087D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Debe revisarse la </w:t>
      </w:r>
      <w:r w:rsidRPr="0035087D">
        <w:rPr>
          <w:rFonts w:ascii="Arial Narrow" w:hAnsi="Arial Narrow"/>
        </w:rPr>
        <w:t>ortografía y redacción</w:t>
      </w:r>
      <w:r>
        <w:rPr>
          <w:rFonts w:ascii="Arial Narrow" w:hAnsi="Arial Narrow"/>
        </w:rPr>
        <w:t>, para evitar errores.</w:t>
      </w:r>
    </w:p>
    <w:p w:rsidR="007074C6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 w:rsidRPr="00F44A92">
        <w:rPr>
          <w:rFonts w:ascii="Arial Narrow" w:hAnsi="Arial Narrow"/>
        </w:rPr>
        <w:t xml:space="preserve">Toda la documentación legal (documentos de identidad, certificaciones, constancias, fotocopias certificadas, </w:t>
      </w:r>
      <w:proofErr w:type="spellStart"/>
      <w:r w:rsidRPr="00F44A92">
        <w:rPr>
          <w:rFonts w:ascii="Arial Narrow" w:hAnsi="Arial Narrow"/>
        </w:rPr>
        <w:t>etc</w:t>
      </w:r>
      <w:proofErr w:type="spellEnd"/>
      <w:r w:rsidRPr="00F44A92">
        <w:rPr>
          <w:rFonts w:ascii="Arial Narrow" w:hAnsi="Arial Narrow"/>
        </w:rPr>
        <w:t>) deben estar vigentes y ser completamente legibles</w:t>
      </w:r>
    </w:p>
    <w:p w:rsidR="007074C6" w:rsidRPr="00F44A92" w:rsidRDefault="007074C6" w:rsidP="007074C6">
      <w:pPr>
        <w:pStyle w:val="Prrafodelista"/>
        <w:numPr>
          <w:ilvl w:val="0"/>
          <w:numId w:val="3"/>
        </w:numPr>
        <w:jc w:val="both"/>
        <w:rPr>
          <w:rFonts w:ascii="Arial Narrow" w:hAnsi="Arial Narrow"/>
        </w:rPr>
      </w:pPr>
      <w:r w:rsidRPr="00F44A92">
        <w:rPr>
          <w:rFonts w:ascii="Arial Narrow" w:hAnsi="Arial Narrow"/>
        </w:rPr>
        <w:t>Toda la información que contienen los documentos tiene que ser la relacionada al proceso de</w:t>
      </w:r>
      <w:r>
        <w:rPr>
          <w:rFonts w:ascii="Arial Narrow" w:hAnsi="Arial Narrow"/>
        </w:rPr>
        <w:t xml:space="preserve"> </w:t>
      </w:r>
      <w:r w:rsidRPr="00F44A92">
        <w:rPr>
          <w:rFonts w:ascii="Arial Narrow" w:hAnsi="Arial Narrow"/>
        </w:rPr>
        <w:t xml:space="preserve">emisión, </w:t>
      </w:r>
    </w:p>
    <w:p w:rsidR="007074C6" w:rsidRDefault="007074C6" w:rsidP="007074C6">
      <w:pPr>
        <w:pStyle w:val="Prrafodelista"/>
        <w:ind w:left="360"/>
        <w:jc w:val="both"/>
        <w:rPr>
          <w:rFonts w:ascii="Arial Narrow" w:hAnsi="Arial Narrow"/>
        </w:rPr>
      </w:pPr>
    </w:p>
    <w:p w:rsidR="007074C6" w:rsidRDefault="007074C6" w:rsidP="007074C6">
      <w:pPr>
        <w:pStyle w:val="Prrafodelista"/>
        <w:ind w:left="360"/>
        <w:jc w:val="both"/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ind w:left="360"/>
        <w:jc w:val="both"/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</w:pPr>
    </w:p>
    <w:p w:rsidR="007074C6" w:rsidRPr="0035087D" w:rsidRDefault="007074C6" w:rsidP="007074C6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</w:pPr>
      <w:r w:rsidRPr="0035087D">
        <w:rPr>
          <w:rFonts w:ascii="Arial Narrow" w:hAnsi="Arial Narrow"/>
          <w:b/>
          <w:shadow/>
          <w:color w:val="0F243E" w:themeColor="text2" w:themeShade="80"/>
          <w:sz w:val="24"/>
          <w:u w:val="single"/>
        </w:rPr>
        <w:t>ERRORES FRECUENTES - EN LOS DOCUMENTOS FINANCIEROS</w:t>
      </w:r>
    </w:p>
    <w:p w:rsidR="007074C6" w:rsidRPr="0035087D" w:rsidRDefault="007074C6" w:rsidP="007074C6">
      <w:pPr>
        <w:pStyle w:val="Prrafodelista"/>
        <w:ind w:left="360"/>
        <w:jc w:val="both"/>
        <w:rPr>
          <w:rFonts w:ascii="Arial Narrow" w:hAnsi="Arial Narrow"/>
        </w:rPr>
      </w:pP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Los supuestos básicos de las proyecciones </w:t>
      </w:r>
      <w:r>
        <w:rPr>
          <w:rFonts w:ascii="Arial Narrow" w:hAnsi="Arial Narrow"/>
        </w:rPr>
        <w:t>no son</w:t>
      </w:r>
      <w:r w:rsidRPr="0035087D">
        <w:rPr>
          <w:rFonts w:ascii="Arial Narrow" w:hAnsi="Arial Narrow"/>
        </w:rPr>
        <w:t xml:space="preserve"> coherentes y </w:t>
      </w:r>
      <w:r>
        <w:rPr>
          <w:rFonts w:ascii="Arial Narrow" w:hAnsi="Arial Narrow"/>
        </w:rPr>
        <w:t xml:space="preserve">no </w:t>
      </w:r>
      <w:r w:rsidRPr="0035087D">
        <w:rPr>
          <w:rFonts w:ascii="Arial Narrow" w:hAnsi="Arial Narrow"/>
        </w:rPr>
        <w:t>sustenta</w:t>
      </w:r>
      <w:r>
        <w:rPr>
          <w:rFonts w:ascii="Arial Narrow" w:hAnsi="Arial Narrow"/>
        </w:rPr>
        <w:t>n</w:t>
      </w:r>
      <w:r w:rsidRPr="0035087D">
        <w:rPr>
          <w:rFonts w:ascii="Arial Narrow" w:hAnsi="Arial Narrow"/>
        </w:rPr>
        <w:t xml:space="preserve"> cada una de las variables.</w:t>
      </w:r>
    </w:p>
    <w:p w:rsidR="007074C6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El modelo de las proyecciones financieras (Excel) </w:t>
      </w:r>
      <w:r>
        <w:rPr>
          <w:rFonts w:ascii="Arial Narrow" w:hAnsi="Arial Narrow"/>
        </w:rPr>
        <w:t>no viene</w:t>
      </w:r>
      <w:r w:rsidRPr="0035087D">
        <w:rPr>
          <w:rFonts w:ascii="Arial Narrow" w:hAnsi="Arial Narrow"/>
        </w:rPr>
        <w:t xml:space="preserve"> vinculado.</w:t>
      </w:r>
    </w:p>
    <w:p w:rsidR="007074C6" w:rsidRPr="00D429C8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Arial Narrow" w:hAnsi="Arial Narrow"/>
        </w:rPr>
      </w:pPr>
      <w:r w:rsidRPr="00D429C8">
        <w:rPr>
          <w:rFonts w:ascii="Arial Narrow" w:hAnsi="Arial Narrow"/>
          <w:lang w:val="es-ES_tradnl"/>
        </w:rPr>
        <w:t>Deben verificarse las referencias de una a otra celda en el modelo en Excel, a fin de evitar errores e inconsistencias en la información vinculada.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Todas las c</w:t>
      </w:r>
      <w:r w:rsidRPr="0035087D">
        <w:rPr>
          <w:rFonts w:ascii="Arial Narrow" w:hAnsi="Arial Narrow"/>
        </w:rPr>
        <w:t xml:space="preserve">antidades </w:t>
      </w:r>
      <w:r>
        <w:rPr>
          <w:rFonts w:ascii="Arial Narrow" w:hAnsi="Arial Narrow"/>
        </w:rPr>
        <w:t>que aparecen en el modelo deben ser sustentadas</w:t>
      </w:r>
      <w:r w:rsidRPr="0035087D">
        <w:rPr>
          <w:rFonts w:ascii="Arial Narrow" w:hAnsi="Arial Narrow"/>
        </w:rPr>
        <w:t>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No se remiten</w:t>
      </w:r>
      <w:r w:rsidRPr="0035087D">
        <w:rPr>
          <w:rFonts w:ascii="Arial Narrow" w:hAnsi="Arial Narrow"/>
        </w:rPr>
        <w:t xml:space="preserve"> estados financieros históricos auditados y legibles.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ind w:left="709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Cuando se hacen correcciones, se debe v</w:t>
      </w:r>
      <w:r w:rsidRPr="0035087D">
        <w:rPr>
          <w:rFonts w:ascii="Arial Narrow" w:hAnsi="Arial Narrow"/>
        </w:rPr>
        <w:t>erificar si la corrección modifica otras cuentas del modelo y realizar los ajustes correspondientes.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35087D">
        <w:rPr>
          <w:rFonts w:ascii="Arial Narrow" w:hAnsi="Arial Narrow"/>
        </w:rPr>
        <w:t>ara el cálculo del fondo patrimonial,</w:t>
      </w:r>
      <w:r>
        <w:rPr>
          <w:rFonts w:ascii="Arial Narrow" w:hAnsi="Arial Narrow"/>
        </w:rPr>
        <w:t xml:space="preserve"> debe cumplirse con</w:t>
      </w:r>
      <w:r w:rsidRPr="0035087D">
        <w:rPr>
          <w:rFonts w:ascii="Arial Narrow" w:hAnsi="Arial Narrow"/>
        </w:rPr>
        <w:t xml:space="preserve"> la normativa aplicable. 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Cuando </w:t>
      </w:r>
      <w:r w:rsidRPr="0035087D">
        <w:rPr>
          <w:rFonts w:ascii="Arial Narrow" w:hAnsi="Arial Narrow"/>
        </w:rPr>
        <w:t>en algunos años de las proyecciones</w:t>
      </w:r>
      <w:r>
        <w:rPr>
          <w:rFonts w:ascii="Arial Narrow" w:hAnsi="Arial Narrow"/>
        </w:rPr>
        <w:t>, existen</w:t>
      </w:r>
      <w:r w:rsidRPr="0035087D">
        <w:rPr>
          <w:rFonts w:ascii="Arial Narrow" w:hAnsi="Arial Narrow"/>
        </w:rPr>
        <w:t xml:space="preserve"> variaciones abruptas</w:t>
      </w:r>
      <w:r>
        <w:rPr>
          <w:rFonts w:ascii="Arial Narrow" w:hAnsi="Arial Narrow"/>
        </w:rPr>
        <w:t>, éstas</w:t>
      </w:r>
      <w:r w:rsidRPr="0035087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deben ser</w:t>
      </w:r>
      <w:r w:rsidRPr="0035087D">
        <w:rPr>
          <w:rFonts w:ascii="Arial Narrow" w:hAnsi="Arial Narrow"/>
        </w:rPr>
        <w:t xml:space="preserve"> explicadas.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Debe evitarse utilizar</w:t>
      </w:r>
      <w:r w:rsidRPr="0035087D">
        <w:rPr>
          <w:rFonts w:ascii="Arial Narrow" w:hAnsi="Arial Narrow"/>
        </w:rPr>
        <w:t xml:space="preserve"> para </w:t>
      </w:r>
      <w:r>
        <w:rPr>
          <w:rFonts w:ascii="Arial Narrow" w:hAnsi="Arial Narrow"/>
        </w:rPr>
        <w:t>las proyecciones</w:t>
      </w:r>
      <w:r w:rsidRPr="0035087D">
        <w:rPr>
          <w:rFonts w:ascii="Arial Narrow" w:hAnsi="Arial Narrow"/>
        </w:rPr>
        <w:t xml:space="preserve"> estados financieros desfasados</w:t>
      </w:r>
      <w:r>
        <w:rPr>
          <w:rFonts w:ascii="Arial Narrow" w:hAnsi="Arial Narrow"/>
        </w:rPr>
        <w:t>.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Debe remitirse el</w:t>
      </w:r>
      <w:r w:rsidRPr="0035087D">
        <w:rPr>
          <w:rFonts w:ascii="Arial Narrow" w:hAnsi="Arial Narrow"/>
        </w:rPr>
        <w:t xml:space="preserve"> detalle del destino de los recursos en caso de las titularizaciones (deuda a cancelar, proyectos a desarrollar y sus costos)</w:t>
      </w:r>
    </w:p>
    <w:p w:rsidR="007074C6" w:rsidRPr="0035087D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Para efectos de cálculos de cobertura a través de OIP </w:t>
      </w:r>
      <w:r>
        <w:rPr>
          <w:rFonts w:ascii="Arial Narrow" w:hAnsi="Arial Narrow"/>
        </w:rPr>
        <w:t>debe</w:t>
      </w:r>
      <w:r w:rsidRPr="0035087D">
        <w:rPr>
          <w:rFonts w:ascii="Arial Narrow" w:hAnsi="Arial Narrow"/>
        </w:rPr>
        <w:t xml:space="preserve"> remit</w:t>
      </w:r>
      <w:r>
        <w:rPr>
          <w:rFonts w:ascii="Arial Narrow" w:hAnsi="Arial Narrow"/>
        </w:rPr>
        <w:t xml:space="preserve">irse </w:t>
      </w:r>
      <w:r w:rsidRPr="0035087D">
        <w:rPr>
          <w:rFonts w:ascii="Arial Narrow" w:hAnsi="Arial Narrow"/>
        </w:rPr>
        <w:t>el monto de la recaudación histórica de por lo menos 24 meses.</w:t>
      </w:r>
    </w:p>
    <w:p w:rsidR="007074C6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 w:rsidRPr="0035087D">
        <w:rPr>
          <w:rFonts w:ascii="Arial Narrow" w:hAnsi="Arial Narrow"/>
        </w:rPr>
        <w:t xml:space="preserve">Deben enviar el flujo de efectivo por el método directo. </w:t>
      </w:r>
    </w:p>
    <w:p w:rsidR="007074C6" w:rsidRPr="00422155" w:rsidRDefault="007074C6" w:rsidP="007074C6">
      <w:pPr>
        <w:pStyle w:val="Prrafodelist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Arial Narrow" w:hAnsi="Arial Narrow"/>
        </w:rPr>
      </w:pPr>
      <w:r w:rsidRPr="00422155">
        <w:rPr>
          <w:rFonts w:ascii="Arial Narrow" w:hAnsi="Arial Narrow"/>
        </w:rPr>
        <w:t>En el estudio de factibilidad y las proyecciones financieras que se presentan a esta SSF, el destino de los fondos debe venir acorde a lo establecido en el prospecto, escritura de emisión y acuerdo de autorización de la emisión dictado del órgano social competente.</w:t>
      </w:r>
    </w:p>
    <w:p w:rsidR="007074C6" w:rsidRPr="00287FC2" w:rsidRDefault="007074C6" w:rsidP="007074C6">
      <w:pPr>
        <w:pStyle w:val="Prrafodelista"/>
        <w:spacing w:after="0" w:line="240" w:lineRule="auto"/>
        <w:ind w:left="709"/>
        <w:contextualSpacing w:val="0"/>
        <w:jc w:val="both"/>
        <w:rPr>
          <w:rFonts w:ascii="Arial Narrow" w:hAnsi="Arial Narrow"/>
        </w:rPr>
      </w:pPr>
    </w:p>
    <w:p w:rsidR="007074C6" w:rsidRDefault="007074C6"/>
    <w:sectPr w:rsidR="007074C6" w:rsidSect="00DC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A5FEB"/>
    <w:multiLevelType w:val="hybridMultilevel"/>
    <w:tmpl w:val="0EE6D340"/>
    <w:lvl w:ilvl="0" w:tplc="6002ADF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BC1F5E"/>
    <w:multiLevelType w:val="hybridMultilevel"/>
    <w:tmpl w:val="3C2CEA2A"/>
    <w:lvl w:ilvl="0" w:tplc="D696C5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AD12553"/>
    <w:multiLevelType w:val="hybridMultilevel"/>
    <w:tmpl w:val="18A03274"/>
    <w:lvl w:ilvl="0" w:tplc="D6A4EC5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662A29"/>
    <w:multiLevelType w:val="hybridMultilevel"/>
    <w:tmpl w:val="3182B622"/>
    <w:lvl w:ilvl="0" w:tplc="D778CC5E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7074C6"/>
    <w:rsid w:val="00190DF2"/>
    <w:rsid w:val="001A3118"/>
    <w:rsid w:val="003A4ABD"/>
    <w:rsid w:val="0070269A"/>
    <w:rsid w:val="007074C6"/>
    <w:rsid w:val="00910E53"/>
    <w:rsid w:val="00A65895"/>
    <w:rsid w:val="00B02071"/>
    <w:rsid w:val="00DC29AD"/>
    <w:rsid w:val="00E27B23"/>
    <w:rsid w:val="00FB343A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4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074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2018-06-26T21:22:00Z</dcterms:created>
  <dcterms:modified xsi:type="dcterms:W3CDTF">2018-06-26T21:22:00Z</dcterms:modified>
</cp:coreProperties>
</file>